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7"/>
        <w:overflowPunct w:val="0"/>
        <w:adjustRightInd/>
        <w:textAlignment w:val="auto"/>
        <w:rPr>
          <w:rFonts w:asciiTheme="minorEastAsia" w:hAnsiTheme="minorEastAsia" w:eastAsiaTheme="minorEastAsia"/>
        </w:rPr>
      </w:pPr>
    </w:p>
    <w:p>
      <w:pPr>
        <w:overflowPunct w:val="0"/>
        <w:rPr>
          <w:rFonts w:asciiTheme="minorEastAsia" w:hAnsiTheme="minorEastAsia" w:eastAsiaTheme="minorEastAsia"/>
        </w:rPr>
      </w:pPr>
    </w:p>
    <w:p>
      <w:pPr>
        <w:widowControl/>
        <w:jc w:val="center"/>
        <w:rPr>
          <w:rFonts w:asciiTheme="minorEastAsia" w:hAnsiTheme="minorEastAsia" w:eastAsiaTheme="minorEastAsia"/>
          <w:w w:val="80"/>
          <w:sz w:val="44"/>
          <w:szCs w:val="44"/>
        </w:rPr>
      </w:pPr>
    </w:p>
    <w:p>
      <w:pPr>
        <w:pStyle w:val="2"/>
        <w:keepNext w:val="0"/>
        <w:keepLines w:val="0"/>
        <w:widowControl/>
        <w:spacing w:before="0" w:after="0" w:line="420" w:lineRule="atLeast"/>
        <w:jc w:val="center"/>
        <w:rPr>
          <w:rFonts w:hint="default" w:asciiTheme="minorEastAsia" w:hAnsiTheme="minorEastAsia" w:eastAsiaTheme="minorEastAsia"/>
          <w:b w:val="0"/>
          <w:w w:val="80"/>
          <w:kern w:val="2"/>
          <w:sz w:val="52"/>
          <w:szCs w:val="52"/>
          <w:lang w:val="en-US" w:eastAsia="zh-CN"/>
        </w:rPr>
      </w:pPr>
      <w:r>
        <w:rPr>
          <w:rFonts w:hint="eastAsia" w:asciiTheme="minorEastAsia" w:hAnsiTheme="minorEastAsia" w:eastAsiaTheme="minorEastAsia"/>
          <w:b w:val="0"/>
          <w:w w:val="80"/>
          <w:kern w:val="2"/>
          <w:sz w:val="52"/>
          <w:szCs w:val="52"/>
          <w:lang w:eastAsia="zh-CN"/>
        </w:rPr>
        <w:t>南通市保安服务有限公司防弹运钞车采购项目（二标段）</w:t>
      </w: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rPr>
      </w:pPr>
    </w:p>
    <w:p>
      <w:pPr>
        <w:tabs>
          <w:tab w:val="left" w:pos="6300"/>
        </w:tabs>
        <w:snapToGrid w:val="0"/>
        <w:spacing w:line="300" w:lineRule="auto"/>
        <w:jc w:val="center"/>
        <w:rPr>
          <w:rFonts w:asciiTheme="minorEastAsia" w:hAnsiTheme="minorEastAsia" w:eastAsiaTheme="minorEastAsia"/>
          <w:w w:val="80"/>
          <w:sz w:val="84"/>
        </w:rPr>
      </w:pPr>
    </w:p>
    <w:p>
      <w:pPr>
        <w:tabs>
          <w:tab w:val="left" w:pos="1050"/>
          <w:tab w:val="right" w:leader="dot" w:pos="9402"/>
        </w:tabs>
        <w:spacing w:line="1600" w:lineRule="exact"/>
        <w:jc w:val="center"/>
        <w:rPr>
          <w:rFonts w:asciiTheme="minorEastAsia" w:hAnsiTheme="minorEastAsia" w:eastAsiaTheme="minorEastAsia"/>
          <w:b/>
          <w:sz w:val="44"/>
          <w:szCs w:val="44"/>
        </w:rPr>
      </w:pPr>
      <w:r>
        <w:rPr>
          <w:rFonts w:hint="eastAsia" w:asciiTheme="minorEastAsia" w:hAnsiTheme="minorEastAsia" w:eastAsiaTheme="minorEastAsia"/>
          <w:b/>
          <w:w w:val="80"/>
          <w:sz w:val="72"/>
          <w:szCs w:val="72"/>
        </w:rPr>
        <w:t>公开招标文</w:t>
      </w:r>
      <w:bookmarkStart w:id="11" w:name="_GoBack"/>
      <w:bookmarkEnd w:id="11"/>
      <w:r>
        <w:rPr>
          <w:rFonts w:hint="eastAsia" w:asciiTheme="minorEastAsia" w:hAnsiTheme="minorEastAsia" w:eastAsiaTheme="minorEastAsia"/>
          <w:b/>
          <w:w w:val="80"/>
          <w:sz w:val="72"/>
          <w:szCs w:val="72"/>
        </w:rPr>
        <w:t>件</w:t>
      </w:r>
    </w:p>
    <w:p>
      <w:pPr>
        <w:tabs>
          <w:tab w:val="left" w:pos="1050"/>
          <w:tab w:val="right" w:leader="dot" w:pos="9402"/>
        </w:tabs>
        <w:spacing w:line="520" w:lineRule="exact"/>
        <w:jc w:val="center"/>
        <w:rPr>
          <w:rFonts w:asciiTheme="minorEastAsia" w:hAnsiTheme="minorEastAsia" w:eastAsiaTheme="minorEastAsia"/>
          <w:w w:val="80"/>
          <w:sz w:val="32"/>
          <w:szCs w:val="32"/>
        </w:rPr>
      </w:pPr>
      <w:r>
        <w:rPr>
          <w:rFonts w:hint="eastAsia" w:asciiTheme="minorEastAsia" w:hAnsiTheme="minorEastAsia" w:eastAsiaTheme="minorEastAsia"/>
          <w:w w:val="80"/>
          <w:sz w:val="32"/>
          <w:szCs w:val="32"/>
        </w:rPr>
        <w:t>（资格后审）</w:t>
      </w:r>
    </w:p>
    <w:p>
      <w:pPr>
        <w:snapToGrid w:val="0"/>
        <w:spacing w:line="520" w:lineRule="exact"/>
        <w:jc w:val="center"/>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二次</w:t>
      </w:r>
      <w:r>
        <w:rPr>
          <w:rFonts w:hint="eastAsia" w:asciiTheme="minorEastAsia" w:hAnsiTheme="minorEastAsia" w:eastAsiaTheme="minorEastAsia"/>
          <w:b/>
          <w:sz w:val="28"/>
          <w:szCs w:val="28"/>
          <w:lang w:eastAsia="zh-CN"/>
        </w:rPr>
        <w:t>）</w:t>
      </w:r>
    </w:p>
    <w:p>
      <w:pPr>
        <w:snapToGrid w:val="0"/>
        <w:spacing w:line="520" w:lineRule="exact"/>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widowControl/>
        <w:spacing w:line="520" w:lineRule="exact"/>
        <w:jc w:val="left"/>
        <w:rPr>
          <w:rFonts w:asciiTheme="minorEastAsia" w:hAnsiTheme="minorEastAsia" w:eastAsiaTheme="minorEastAsia"/>
          <w:b/>
          <w:sz w:val="28"/>
          <w:szCs w:val="28"/>
        </w:rPr>
      </w:pPr>
    </w:p>
    <w:p>
      <w:pPr>
        <w:pStyle w:val="21"/>
        <w:rPr>
          <w:rFonts w:asciiTheme="minorEastAsia" w:hAnsiTheme="minorEastAsia" w:eastAsiaTheme="minorEastAsia"/>
        </w:rPr>
      </w:pPr>
    </w:p>
    <w:p>
      <w:pPr>
        <w:pStyle w:val="21"/>
        <w:rPr>
          <w:rFonts w:asciiTheme="minorEastAsia" w:hAnsiTheme="minorEastAsia" w:eastAsiaTheme="minorEastAsia"/>
        </w:rPr>
      </w:pPr>
    </w:p>
    <w:p>
      <w:pPr>
        <w:pStyle w:val="21"/>
        <w:rPr>
          <w:rFonts w:asciiTheme="minorEastAsia" w:hAnsiTheme="minorEastAsia" w:eastAsiaTheme="minorEastAsia"/>
        </w:rPr>
      </w:pPr>
    </w:p>
    <w:p>
      <w:pPr>
        <w:widowControl/>
        <w:spacing w:line="520" w:lineRule="exact"/>
        <w:jc w:val="left"/>
        <w:rPr>
          <w:rFonts w:asciiTheme="minorEastAsia" w:hAnsiTheme="minorEastAsia" w:eastAsiaTheme="minorEastAsia"/>
          <w:sz w:val="28"/>
          <w:szCs w:val="28"/>
        </w:rPr>
      </w:pPr>
    </w:p>
    <w:p>
      <w:pPr>
        <w:widowControl/>
        <w:spacing w:line="520" w:lineRule="exact"/>
        <w:jc w:val="left"/>
        <w:rPr>
          <w:rFonts w:asciiTheme="minorEastAsia" w:hAnsiTheme="minorEastAsia" w:eastAsiaTheme="minorEastAsia"/>
          <w:sz w:val="28"/>
          <w:szCs w:val="28"/>
        </w:rPr>
      </w:pPr>
    </w:p>
    <w:p>
      <w:pPr>
        <w:widowControl/>
        <w:spacing w:line="520" w:lineRule="exact"/>
        <w:jc w:val="center"/>
        <w:rPr>
          <w:rFonts w:hint="eastAsia" w:asciiTheme="minorEastAsia" w:hAnsiTheme="minorEastAsia" w:eastAsiaTheme="minorEastAsia"/>
          <w:w w:val="80"/>
          <w:sz w:val="28"/>
          <w:szCs w:val="28"/>
          <w:lang w:eastAsia="zh-CN"/>
        </w:rPr>
      </w:pPr>
      <w:r>
        <w:rPr>
          <w:rFonts w:hint="eastAsia" w:asciiTheme="minorEastAsia" w:hAnsiTheme="minorEastAsia" w:eastAsiaTheme="minorEastAsia"/>
          <w:w w:val="80"/>
          <w:sz w:val="28"/>
          <w:szCs w:val="28"/>
        </w:rPr>
        <w:t>招标人：</w:t>
      </w:r>
      <w:r>
        <w:rPr>
          <w:rFonts w:hint="eastAsia" w:asciiTheme="minorEastAsia" w:hAnsiTheme="minorEastAsia" w:eastAsiaTheme="minorEastAsia"/>
          <w:w w:val="80"/>
          <w:sz w:val="28"/>
          <w:szCs w:val="28"/>
          <w:lang w:eastAsia="zh-CN"/>
        </w:rPr>
        <w:t>南通市保安服务有限公司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招标代理机构：中诚智信工程咨询集团股份有限公司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二○二</w:t>
      </w:r>
      <w:r>
        <w:rPr>
          <w:rFonts w:hint="eastAsia" w:asciiTheme="minorEastAsia" w:hAnsiTheme="minorEastAsia" w:eastAsiaTheme="minorEastAsia"/>
          <w:w w:val="80"/>
          <w:sz w:val="28"/>
          <w:szCs w:val="28"/>
          <w:lang w:val="en-US" w:eastAsia="zh-CN"/>
        </w:rPr>
        <w:t>四</w:t>
      </w:r>
      <w:r>
        <w:rPr>
          <w:rFonts w:hint="eastAsia" w:asciiTheme="minorEastAsia" w:hAnsiTheme="minorEastAsia" w:eastAsiaTheme="minorEastAsia"/>
          <w:w w:val="80"/>
          <w:sz w:val="28"/>
          <w:szCs w:val="28"/>
        </w:rPr>
        <w:t>年</w:t>
      </w:r>
      <w:r>
        <w:rPr>
          <w:rFonts w:hint="eastAsia" w:asciiTheme="minorEastAsia" w:hAnsiTheme="minorEastAsia" w:eastAsiaTheme="minorEastAsia"/>
          <w:w w:val="80"/>
          <w:sz w:val="28"/>
          <w:szCs w:val="28"/>
          <w:lang w:val="en-US" w:eastAsia="zh-CN"/>
        </w:rPr>
        <w:t>七</w:t>
      </w:r>
      <w:r>
        <w:rPr>
          <w:rFonts w:hint="eastAsia" w:asciiTheme="minorEastAsia" w:hAnsiTheme="minorEastAsia" w:eastAsiaTheme="minorEastAsia"/>
          <w:w w:val="80"/>
          <w:sz w:val="28"/>
          <w:szCs w:val="28"/>
        </w:rPr>
        <w:t>月</w:t>
      </w:r>
      <w:r>
        <w:rPr>
          <w:rFonts w:hint="eastAsia" w:asciiTheme="minorEastAsia" w:hAnsiTheme="minorEastAsia" w:eastAsiaTheme="minorEastAsia"/>
          <w:w w:val="80"/>
          <w:sz w:val="28"/>
          <w:szCs w:val="28"/>
          <w:lang w:val="en-US" w:eastAsia="zh-CN"/>
        </w:rPr>
        <w:t>一</w:t>
      </w:r>
      <w:r>
        <w:rPr>
          <w:rFonts w:hint="eastAsia" w:asciiTheme="minorEastAsia" w:hAnsiTheme="minorEastAsia" w:eastAsiaTheme="minorEastAsia"/>
          <w:w w:val="80"/>
          <w:sz w:val="28"/>
          <w:szCs w:val="28"/>
        </w:rPr>
        <w:t>日</w:t>
      </w: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sectPr>
          <w:headerReference r:id="rId4" w:type="first"/>
          <w:footerReference r:id="rId6" w:type="first"/>
          <w:headerReference r:id="rId3" w:type="default"/>
          <w:footerReference r:id="rId5" w:type="default"/>
          <w:pgSz w:w="11906" w:h="16838"/>
          <w:pgMar w:top="1239" w:right="851" w:bottom="851" w:left="1418" w:header="851" w:footer="522" w:gutter="0"/>
          <w:cols w:space="720" w:num="1"/>
          <w:titlePg/>
          <w:docGrid w:linePitch="380" w:charSpace="-5735"/>
        </w:sectPr>
      </w:pP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pPr>
      <w:r>
        <w:rPr>
          <w:rFonts w:hint="eastAsia" w:asciiTheme="minorEastAsia" w:hAnsiTheme="minorEastAsia" w:eastAsiaTheme="minorEastAsia"/>
          <w:b/>
          <w:w w:val="80"/>
          <w:sz w:val="44"/>
          <w:szCs w:val="44"/>
        </w:rPr>
        <w:t>目  录</w:t>
      </w:r>
    </w:p>
    <w:p>
      <w:pPr>
        <w:pStyle w:val="7"/>
        <w:overflowPunct w:val="0"/>
        <w:ind w:firstLine="0"/>
        <w:jc w:val="center"/>
        <w:rPr>
          <w:rFonts w:asciiTheme="minorEastAsia" w:hAnsiTheme="minorEastAsia" w:eastAsiaTheme="minorEastAsia"/>
          <w:sz w:val="30"/>
        </w:rPr>
      </w:pP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 </w:instrText>
      </w:r>
      <w:r>
        <w:rPr>
          <w:rFonts w:asciiTheme="minorEastAsia" w:hAnsiTheme="minorEastAsia" w:eastAsiaTheme="minorEastAsia"/>
          <w:b/>
          <w:bCs/>
          <w:sz w:val="32"/>
          <w:szCs w:val="32"/>
        </w:rPr>
        <w:fldChar w:fldCharType="separate"/>
      </w:r>
      <w:r>
        <w:rPr>
          <w:rFonts w:asciiTheme="minorEastAsia" w:hAnsiTheme="minorEastAsia" w:eastAsiaTheme="minorEastAsia"/>
          <w:sz w:val="32"/>
          <w:szCs w:val="32"/>
        </w:rPr>
        <w:t>第一章 招标公告</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第二章 投标人须知</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第三章 项目需求</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第四章 评审程序和方法</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五</w:t>
      </w:r>
      <w:r>
        <w:rPr>
          <w:rFonts w:asciiTheme="minorEastAsia" w:hAnsiTheme="minorEastAsia" w:eastAsiaTheme="minorEastAsia"/>
          <w:sz w:val="32"/>
          <w:szCs w:val="32"/>
        </w:rPr>
        <w:t xml:space="preserve">章 </w:t>
      </w:r>
      <w:r>
        <w:rPr>
          <w:rFonts w:hint="eastAsia" w:asciiTheme="minorEastAsia" w:hAnsiTheme="minorEastAsia" w:eastAsiaTheme="minorEastAsia"/>
          <w:sz w:val="32"/>
          <w:szCs w:val="32"/>
        </w:rPr>
        <w:t>合同授予及主要</w:t>
      </w:r>
      <w:r>
        <w:rPr>
          <w:rFonts w:asciiTheme="minorEastAsia" w:hAnsiTheme="minorEastAsia" w:eastAsiaTheme="minorEastAsia"/>
          <w:sz w:val="32"/>
          <w:szCs w:val="32"/>
        </w:rPr>
        <w:t>条款</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六</w:t>
      </w:r>
      <w:r>
        <w:rPr>
          <w:rFonts w:asciiTheme="minorEastAsia" w:hAnsiTheme="minorEastAsia" w:eastAsiaTheme="minorEastAsia"/>
          <w:sz w:val="32"/>
          <w:szCs w:val="32"/>
        </w:rPr>
        <w:t>章 履约验收及付款</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七</w:t>
      </w:r>
      <w:r>
        <w:rPr>
          <w:rFonts w:asciiTheme="minorEastAsia" w:hAnsiTheme="minorEastAsia" w:eastAsiaTheme="minorEastAsia"/>
          <w:sz w:val="32"/>
          <w:szCs w:val="32"/>
        </w:rPr>
        <w:t>章 质疑与投诉</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八</w:t>
      </w:r>
      <w:r>
        <w:rPr>
          <w:rFonts w:asciiTheme="minorEastAsia" w:hAnsiTheme="minorEastAsia" w:eastAsiaTheme="minorEastAsia"/>
          <w:sz w:val="32"/>
          <w:szCs w:val="32"/>
        </w:rPr>
        <w:t>章 投标文件的组成及相关格式</w:t>
      </w:r>
    </w:p>
    <w:p>
      <w:pPr>
        <w:tabs>
          <w:tab w:val="left" w:pos="1050"/>
          <w:tab w:val="right" w:leader="dot" w:pos="9402"/>
        </w:tabs>
        <w:spacing w:before="240" w:beforeLines="100" w:line="600" w:lineRule="exact"/>
        <w:jc w:val="center"/>
        <w:outlineLvl w:val="0"/>
        <w:rPr>
          <w:rFonts w:asciiTheme="minorEastAsia" w:hAnsiTheme="minorEastAsia" w:eastAsiaTheme="minorEastAsia"/>
          <w:b/>
          <w:bCs/>
          <w:sz w:val="32"/>
          <w:szCs w:val="32"/>
        </w:rPr>
        <w:sectPr>
          <w:footerReference r:id="rId8" w:type="first"/>
          <w:footerReference r:id="rId7" w:type="default"/>
          <w:pgSz w:w="11906" w:h="16838"/>
          <w:pgMar w:top="1239" w:right="851" w:bottom="851" w:left="1418" w:header="851" w:footer="522" w:gutter="0"/>
          <w:cols w:space="720" w:num="1"/>
          <w:titlePg/>
          <w:docGrid w:linePitch="380" w:charSpace="-5735"/>
        </w:sectPr>
      </w:pPr>
      <w:r>
        <w:rPr>
          <w:rFonts w:asciiTheme="minorEastAsia" w:hAnsiTheme="minorEastAsia" w:eastAsiaTheme="minorEastAsia"/>
          <w:b/>
          <w:bCs/>
          <w:sz w:val="32"/>
          <w:szCs w:val="32"/>
        </w:rPr>
        <w:fldChar w:fldCharType="end"/>
      </w:r>
      <w:bookmarkStart w:id="0" w:name="_Toc363573853"/>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第一章  招标公告</w:t>
      </w:r>
      <w:bookmarkEnd w:id="0"/>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中诚智信工程咨询集团股份有限公司（以下称招标代理机构）受</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（以下称招标人）的委托，就</w:t>
      </w:r>
      <w:r>
        <w:rPr>
          <w:rFonts w:hint="eastAsia" w:asciiTheme="minorEastAsia" w:hAnsiTheme="minorEastAsia" w:eastAsiaTheme="minorEastAsia"/>
          <w:sz w:val="24"/>
          <w:szCs w:val="24"/>
          <w:lang w:eastAsia="zh-CN"/>
        </w:rPr>
        <w:t>南通市保安服务有限公司防弹运钞车采购项目（二标段）</w:t>
      </w:r>
      <w:r>
        <w:rPr>
          <w:rFonts w:hint="eastAsia" w:asciiTheme="minorEastAsia" w:hAnsiTheme="minorEastAsia" w:eastAsiaTheme="minorEastAsia"/>
          <w:sz w:val="24"/>
          <w:szCs w:val="24"/>
        </w:rPr>
        <w:t>组织公开招标采购，诚邀符合条件的潜在投标人参加投标。</w:t>
      </w:r>
    </w:p>
    <w:p>
      <w:pPr>
        <w:spacing w:line="420" w:lineRule="exact"/>
        <w:ind w:firstLine="424" w:firstLineChars="176"/>
        <w:outlineLvl w:val="1"/>
        <w:rPr>
          <w:rFonts w:asciiTheme="minorEastAsia" w:hAnsiTheme="minorEastAsia" w:eastAsiaTheme="minorEastAsia"/>
          <w:sz w:val="24"/>
          <w:szCs w:val="24"/>
        </w:rPr>
      </w:pPr>
      <w:r>
        <w:rPr>
          <w:rFonts w:asciiTheme="minorEastAsia" w:hAnsiTheme="minorEastAsia" w:eastAsiaTheme="minorEastAsia"/>
          <w:b/>
          <w:sz w:val="24"/>
          <w:szCs w:val="24"/>
        </w:rPr>
        <w:t>一、</w:t>
      </w:r>
      <w:r>
        <w:rPr>
          <w:rFonts w:asciiTheme="minorEastAsia" w:hAnsiTheme="minorEastAsia" w:eastAsiaTheme="minorEastAsia"/>
          <w:sz w:val="24"/>
          <w:szCs w:val="24"/>
        </w:rPr>
        <w:t>项目名称：</w:t>
      </w:r>
      <w:r>
        <w:rPr>
          <w:rFonts w:hint="eastAsia" w:asciiTheme="minorEastAsia" w:hAnsiTheme="minorEastAsia" w:eastAsiaTheme="minorEastAsia"/>
          <w:sz w:val="24"/>
          <w:szCs w:val="24"/>
          <w:lang w:eastAsia="zh-CN"/>
        </w:rPr>
        <w:t>南通市保安服务有限公司防弹运钞车采购项目（二标段）</w:t>
      </w:r>
      <w:r>
        <w:rPr>
          <w:rFonts w:asciiTheme="minorEastAsia" w:hAnsiTheme="minorEastAsia" w:eastAsiaTheme="minorEastAsia"/>
          <w:sz w:val="24"/>
          <w:szCs w:val="24"/>
        </w:rPr>
        <w:t>。</w:t>
      </w:r>
    </w:p>
    <w:p>
      <w:pPr>
        <w:spacing w:line="420" w:lineRule="exact"/>
        <w:ind w:firstLine="422" w:firstLineChars="176"/>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、项目需求：</w:t>
      </w:r>
      <w:r>
        <w:rPr>
          <w:rFonts w:hint="eastAsia" w:asciiTheme="minorEastAsia" w:hAnsiTheme="minorEastAsia" w:eastAsiaTheme="minorEastAsia"/>
          <w:sz w:val="24"/>
          <w:szCs w:val="24"/>
        </w:rPr>
        <w:t>防弹运钞车采购，需运抵招标人指定地点、安装、调试，直至验收合格，直至交付招标人使用。</w:t>
      </w:r>
    </w:p>
    <w:tbl>
      <w:tblPr>
        <w:tblStyle w:val="58"/>
        <w:tblpPr w:leftFromText="180" w:rightFromText="180" w:vertAnchor="text" w:horzAnchor="page" w:tblpX="2478"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11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pPr>
              <w:spacing w:line="360" w:lineRule="exact"/>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序号</w:t>
            </w:r>
          </w:p>
        </w:tc>
        <w:tc>
          <w:tcPr>
            <w:tcW w:w="4111"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3453"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pPr>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411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防弹运钞车（</w:t>
            </w:r>
            <w:r>
              <w:rPr>
                <w:rFonts w:hint="eastAsia" w:asciiTheme="minorEastAsia" w:hAnsiTheme="minorEastAsia" w:eastAsiaTheme="minorEastAsia" w:cstheme="minorEastAsia"/>
                <w:sz w:val="24"/>
                <w:szCs w:val="24"/>
                <w:lang w:eastAsia="zh-CN"/>
              </w:rPr>
              <w:t>低</w:t>
            </w:r>
            <w:r>
              <w:rPr>
                <w:rFonts w:hint="eastAsia" w:asciiTheme="minorEastAsia" w:hAnsiTheme="minorEastAsia" w:eastAsiaTheme="minorEastAsia" w:cstheme="minorEastAsia"/>
                <w:spacing w:val="-2"/>
                <w:sz w:val="24"/>
                <w:szCs w:val="24"/>
                <w:lang w:eastAsia="zh-CN"/>
              </w:rPr>
              <w:t>顶方厢型燃油车</w:t>
            </w:r>
            <w:r>
              <w:rPr>
                <w:rFonts w:hint="eastAsia" w:asciiTheme="minorEastAsia" w:hAnsiTheme="minorEastAsia" w:eastAsiaTheme="minorEastAsia" w:cstheme="minorEastAsia"/>
                <w:sz w:val="24"/>
                <w:szCs w:val="24"/>
              </w:rPr>
              <w:t>）</w:t>
            </w:r>
          </w:p>
        </w:tc>
        <w:tc>
          <w:tcPr>
            <w:tcW w:w="3453"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辆</w:t>
            </w:r>
          </w:p>
        </w:tc>
      </w:tr>
    </w:tbl>
    <w:p>
      <w:pPr>
        <w:spacing w:line="600" w:lineRule="exact"/>
        <w:rPr>
          <w:rFonts w:hint="eastAsia" w:asciiTheme="minorEastAsia" w:hAnsiTheme="minorEastAsia" w:eastAsiaTheme="minorEastAsia" w:cstheme="minorEastAsia"/>
          <w:sz w:val="24"/>
          <w:szCs w:val="24"/>
        </w:rPr>
      </w:pPr>
    </w:p>
    <w:p>
      <w:pPr>
        <w:spacing w:line="600" w:lineRule="exact"/>
        <w:rPr>
          <w:rFonts w:hint="eastAsia" w:ascii="宋体" w:hAnsi="宋体" w:eastAsia="宋体" w:cs="宋体"/>
          <w:sz w:val="24"/>
          <w:szCs w:val="24"/>
        </w:rPr>
      </w:pPr>
    </w:p>
    <w:p>
      <w:pPr>
        <w:pStyle w:val="32"/>
        <w:rPr>
          <w:rFonts w:hint="eastAsia" w:ascii="宋体" w:hAnsi="宋体" w:eastAsia="宋体" w:cs="宋体"/>
          <w:sz w:val="24"/>
          <w:szCs w:val="24"/>
        </w:rPr>
      </w:pPr>
    </w:p>
    <w:p>
      <w:pPr>
        <w:ind w:firstLine="562" w:firstLineChars="200"/>
        <w:rPr>
          <w:rFonts w:hint="default"/>
          <w:lang w:val="en-US"/>
        </w:rPr>
      </w:pPr>
      <w:r>
        <w:rPr>
          <w:rFonts w:hint="eastAsia"/>
          <w:b/>
          <w:bCs/>
          <w:sz w:val="28"/>
          <w:szCs w:val="28"/>
          <w:lang w:val="en-US" w:eastAsia="zh-CN"/>
        </w:rPr>
        <w:t>注：重庆迪马工业有限责任公司已中本项目一标段，故不得参与本标段的投标。重庆金冠汽车制造股份有限公司自愿放弃中标该标段，故不得参与本标段二次招标的投标。</w:t>
      </w:r>
    </w:p>
    <w:p>
      <w:pPr>
        <w:spacing w:line="420" w:lineRule="exact"/>
        <w:ind w:firstLine="422" w:firstLineChars="176"/>
        <w:outlineLvl w:val="1"/>
        <w:rPr>
          <w:rFonts w:hint="eastAsia" w:cs="宋体" w:asciiTheme="minorEastAsia" w:hAnsiTheme="minorEastAsia" w:eastAsiaTheme="minorEastAsia"/>
          <w:kern w:val="0"/>
          <w:sz w:val="24"/>
          <w:szCs w:val="24"/>
          <w:highlight w:val="none"/>
          <w:lang w:eastAsia="zh-CN"/>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w:t>
      </w:r>
      <w:r>
        <w:rPr>
          <w:rFonts w:asciiTheme="minorEastAsia" w:hAnsiTheme="minorEastAsia" w:eastAsiaTheme="minorEastAsia"/>
          <w:sz w:val="24"/>
          <w:szCs w:val="24"/>
          <w:highlight w:val="none"/>
        </w:rPr>
        <w:t>项目预算：</w:t>
      </w:r>
      <w:r>
        <w:rPr>
          <w:rFonts w:hint="eastAsia" w:cs="宋体" w:asciiTheme="minorEastAsia" w:hAnsiTheme="minorEastAsia" w:eastAsiaTheme="minorEastAsia"/>
          <w:kern w:val="0"/>
          <w:sz w:val="24"/>
          <w:szCs w:val="24"/>
          <w:highlight w:val="none"/>
          <w:lang w:val="en-US" w:eastAsia="zh-CN"/>
        </w:rPr>
        <w:t>104</w:t>
      </w:r>
      <w:r>
        <w:rPr>
          <w:rFonts w:hint="eastAsia" w:cs="宋体" w:asciiTheme="minorEastAsia" w:hAnsiTheme="minorEastAsia" w:eastAsiaTheme="minorEastAsia"/>
          <w:kern w:val="0"/>
          <w:sz w:val="24"/>
          <w:szCs w:val="24"/>
          <w:highlight w:val="none"/>
        </w:rPr>
        <w:t>万元</w:t>
      </w:r>
      <w:r>
        <w:rPr>
          <w:rFonts w:hint="eastAsia" w:cs="宋体" w:asciiTheme="minorEastAsia" w:hAnsiTheme="minorEastAsia" w:eastAsiaTheme="minorEastAsia"/>
          <w:kern w:val="0"/>
          <w:sz w:val="24"/>
          <w:szCs w:val="24"/>
          <w:highlight w:val="none"/>
          <w:lang w:eastAsia="zh-CN"/>
        </w:rPr>
        <w:t>。</w:t>
      </w:r>
    </w:p>
    <w:p>
      <w:pPr>
        <w:spacing w:line="420" w:lineRule="exact"/>
        <w:ind w:firstLine="422" w:firstLineChars="176"/>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四、合同履行期限：自合同签订之日起 50 天内完成供货、安装、调试。</w:t>
      </w:r>
    </w:p>
    <w:p>
      <w:pPr>
        <w:spacing w:line="420" w:lineRule="exact"/>
        <w:ind w:firstLine="424" w:firstLineChars="176"/>
        <w:outlineLvl w:val="1"/>
        <w:rPr>
          <w:rFonts w:asciiTheme="minorEastAsia" w:hAnsiTheme="minorEastAsia" w:eastAsiaTheme="minorEastAsia"/>
          <w:kern w:val="0"/>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、投标人资格：</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投标人应是在中华人民共和国注册、具备独立法人资格的生产商或代理商；</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投标人是代理商投标的，须提供代理商营业执照；</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本项目不接受任何形式的联合体投标；</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单位负责人为同一人或者存在直接控股、管理关系的不同投标人，不得同时参与同一采购项目相同标段的采购活动；为采购项目提供整体设计、规范编制或者项目管理、监理等服务的投标人，不得再参加该采购项目的其他采购活动。</w:t>
      </w:r>
    </w:p>
    <w:p>
      <w:pPr>
        <w:spacing w:line="420" w:lineRule="exact"/>
        <w:ind w:firstLine="482" w:firstLineChars="200"/>
        <w:outlineLvl w:val="1"/>
        <w:rPr>
          <w:rFonts w:asciiTheme="minorEastAsia" w:hAnsiTheme="minorEastAsia" w:eastAsiaTheme="minorEastAsia"/>
        </w:rPr>
      </w:pPr>
      <w:r>
        <w:rPr>
          <w:rFonts w:hint="eastAsia" w:asciiTheme="minorEastAsia" w:hAnsiTheme="minorEastAsia" w:eastAsiaTheme="minorEastAsia"/>
          <w:b/>
          <w:sz w:val="24"/>
          <w:szCs w:val="24"/>
        </w:rPr>
        <w:t>六、招标文件的获取</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sz w:val="24"/>
          <w:szCs w:val="24"/>
        </w:rPr>
        <w:t>下载本项目的招标文件。</w:t>
      </w:r>
    </w:p>
    <w:p>
      <w:pPr>
        <w:spacing w:line="420" w:lineRule="exact"/>
        <w:ind w:firstLine="487" w:firstLineChars="202"/>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投标保证金</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1、本项目投标人须交纳投标保证金人民币</w:t>
      </w:r>
      <w:r>
        <w:rPr>
          <w:rFonts w:hint="eastAsia" w:ascii="宋体" w:hAnsi="宋体" w:eastAsia="宋体"/>
          <w:b/>
          <w:bCs/>
          <w:sz w:val="24"/>
          <w:szCs w:val="24"/>
          <w:lang w:val="en-US" w:eastAsia="zh-CN"/>
        </w:rPr>
        <w:t>贰万</w:t>
      </w:r>
      <w:r>
        <w:rPr>
          <w:rFonts w:hint="eastAsia" w:ascii="宋体" w:hAnsi="宋体" w:eastAsia="宋体"/>
          <w:b/>
          <w:bCs/>
          <w:sz w:val="24"/>
          <w:szCs w:val="24"/>
        </w:rPr>
        <w:t>圆整（¥</w:t>
      </w:r>
      <w:r>
        <w:rPr>
          <w:rFonts w:hint="eastAsia" w:ascii="宋体" w:hAnsi="宋体" w:eastAsia="宋体"/>
          <w:b/>
          <w:bCs/>
          <w:sz w:val="24"/>
          <w:szCs w:val="24"/>
          <w:lang w:val="en-US" w:eastAsia="zh-CN"/>
        </w:rPr>
        <w:t>20000</w:t>
      </w:r>
      <w:r>
        <w:rPr>
          <w:rFonts w:hint="eastAsia" w:ascii="宋体" w:hAnsi="宋体" w:eastAsia="宋体"/>
          <w:b/>
          <w:bCs/>
          <w:sz w:val="24"/>
          <w:szCs w:val="24"/>
        </w:rPr>
        <w:t>.00元）</w:t>
      </w:r>
      <w:r>
        <w:rPr>
          <w:rFonts w:hint="eastAsia" w:ascii="宋体" w:hAnsi="宋体" w:eastAsia="宋体"/>
          <w:sz w:val="24"/>
          <w:szCs w:val="24"/>
        </w:rPr>
        <w:t>；</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账户名称：中诚智信工程咨询集团股份有限公司</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开户银行：上海浦东发展银行苏州高新技术产业开发区支行</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银行账号：89030154740003067</w:t>
      </w:r>
    </w:p>
    <w:p>
      <w:pPr>
        <w:pStyle w:val="21"/>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注：投标保证金</w:t>
      </w:r>
      <w:r>
        <w:rPr>
          <w:rFonts w:hint="eastAsia" w:ascii="宋体" w:hAnsi="宋体" w:eastAsia="宋体"/>
          <w:b/>
          <w:bCs/>
          <w:sz w:val="24"/>
          <w:szCs w:val="24"/>
          <w:lang w:val="en-US" w:eastAsia="zh-CN"/>
        </w:rPr>
        <w:t>的形式：</w:t>
      </w:r>
      <w:r>
        <w:rPr>
          <w:rFonts w:hint="eastAsia" w:ascii="宋体" w:hAnsi="宋体"/>
          <w:b/>
          <w:bCs/>
          <w:sz w:val="24"/>
          <w:szCs w:val="24"/>
          <w:lang w:val="en-US"/>
        </w:rPr>
        <w:t>转账、电汇、网银，银行电子保函、保险电子保函、现金、本票等形式。各</w:t>
      </w:r>
      <w:r>
        <w:rPr>
          <w:rFonts w:hint="eastAsia" w:ascii="宋体" w:hAnsi="宋体"/>
          <w:b/>
          <w:bCs/>
          <w:sz w:val="24"/>
          <w:szCs w:val="24"/>
          <w:lang w:val="en-US" w:eastAsia="zh-CN"/>
        </w:rPr>
        <w:t>投标人</w:t>
      </w:r>
      <w:r>
        <w:rPr>
          <w:rFonts w:hint="eastAsia" w:ascii="宋体" w:hAnsi="宋体"/>
          <w:b/>
          <w:bCs/>
          <w:sz w:val="24"/>
          <w:szCs w:val="24"/>
          <w:lang w:val="en-US"/>
        </w:rPr>
        <w:t>根据企业实际情况合理选择</w:t>
      </w:r>
      <w:r>
        <w:rPr>
          <w:rFonts w:hint="eastAsia" w:ascii="宋体" w:hAnsi="宋体"/>
          <w:b/>
          <w:bCs/>
          <w:sz w:val="24"/>
          <w:szCs w:val="24"/>
          <w:lang w:val="en-US" w:eastAsia="zh-CN"/>
        </w:rPr>
        <w:t>投标</w:t>
      </w:r>
      <w:r>
        <w:rPr>
          <w:rFonts w:hint="eastAsia" w:ascii="宋体" w:hAnsi="宋体"/>
          <w:b/>
          <w:bCs/>
          <w:sz w:val="24"/>
          <w:szCs w:val="24"/>
          <w:lang w:val="en-US"/>
        </w:rPr>
        <w:t>保证金的缴纳形式，各类缴纳形式具有同等法律效力。各</w:t>
      </w:r>
      <w:r>
        <w:rPr>
          <w:rFonts w:hint="eastAsia" w:ascii="宋体" w:hAnsi="宋体"/>
          <w:b/>
          <w:bCs/>
          <w:sz w:val="24"/>
          <w:szCs w:val="24"/>
          <w:lang w:val="en-US" w:eastAsia="zh-CN"/>
        </w:rPr>
        <w:t>投标人</w:t>
      </w:r>
      <w:r>
        <w:rPr>
          <w:rFonts w:hint="eastAsia" w:ascii="宋体" w:hAnsi="宋体"/>
          <w:b/>
          <w:bCs/>
          <w:sz w:val="24"/>
          <w:szCs w:val="24"/>
          <w:lang w:val="en-US"/>
        </w:rPr>
        <w:t>必须以企业法人基本存款帐户办理保证金缴纳手续</w:t>
      </w:r>
      <w:r>
        <w:rPr>
          <w:rFonts w:hint="eastAsia" w:ascii="宋体" w:hAnsi="宋体"/>
          <w:b/>
          <w:bCs/>
          <w:sz w:val="24"/>
          <w:szCs w:val="24"/>
          <w:lang w:val="en-US" w:eastAsia="zh-CN"/>
        </w:rPr>
        <w:t>（现金除外）</w:t>
      </w:r>
      <w:r>
        <w:rPr>
          <w:rFonts w:hint="eastAsia" w:ascii="宋体" w:hAnsi="宋体"/>
          <w:b/>
          <w:bCs/>
          <w:sz w:val="24"/>
          <w:szCs w:val="24"/>
          <w:lang w:val="en-US"/>
        </w:rPr>
        <w:t>，否则不予接受。</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特别提醒：投标人应当按照规定的时间和方式，及时、足额汇入投标保证金，以保证金到达指定账户的时刻作为有效保证金时限的依据，各投标人应当充分预判因各种因素导致保证金到账的滞后情况，提前做好相关准备。</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2、不按招标文件要求递交本项目投标保证金的，其投标文件将被招标代理机构将拒绝。</w:t>
      </w:r>
    </w:p>
    <w:p>
      <w:pPr>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八、投标文件</w:t>
      </w:r>
      <w:r>
        <w:rPr>
          <w:rFonts w:asciiTheme="minorEastAsia" w:hAnsiTheme="minorEastAsia" w:eastAsiaTheme="minorEastAsia"/>
          <w:b/>
          <w:sz w:val="24"/>
          <w:szCs w:val="24"/>
        </w:rPr>
        <w:t>的递交接收</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1、文件递交方式：直接送达。</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递交截止时间及地点：</w:t>
      </w:r>
      <w:r>
        <w:rPr>
          <w:rFonts w:hint="eastAsia" w:cs="Times New Roman" w:asciiTheme="minorEastAsia" w:hAnsiTheme="minorEastAsia" w:eastAsiaTheme="minorEastAsia"/>
          <w:b/>
          <w:sz w:val="24"/>
          <w:szCs w:val="24"/>
          <w:u w:val="thick" w:color="FF0000"/>
        </w:rPr>
        <w:t>202</w:t>
      </w:r>
      <w:r>
        <w:rPr>
          <w:rFonts w:hint="eastAsia" w:cs="Times New Roman" w:asciiTheme="minorEastAsia" w:hAnsiTheme="minorEastAsia" w:eastAsiaTheme="minorEastAsia"/>
          <w:b/>
          <w:sz w:val="24"/>
          <w:szCs w:val="24"/>
          <w:u w:val="thick" w:color="FF0000"/>
          <w:lang w:val="en-US" w:eastAsia="zh-CN"/>
        </w:rPr>
        <w:t>4</w:t>
      </w:r>
      <w:r>
        <w:rPr>
          <w:rFonts w:hint="eastAsia" w:cs="Times New Roman" w:asciiTheme="minorEastAsia" w:hAnsiTheme="minorEastAsia" w:eastAsiaTheme="minorEastAsia"/>
          <w:b/>
          <w:sz w:val="24"/>
          <w:szCs w:val="24"/>
          <w:u w:val="thick" w:color="FF0000"/>
        </w:rPr>
        <w:t>年</w:t>
      </w:r>
      <w:r>
        <w:rPr>
          <w:rFonts w:hint="eastAsia" w:cs="Times New Roman" w:asciiTheme="minorEastAsia" w:hAnsiTheme="minorEastAsia" w:eastAsiaTheme="minorEastAsia"/>
          <w:b/>
          <w:sz w:val="24"/>
          <w:szCs w:val="24"/>
          <w:u w:val="thick" w:color="FF0000"/>
          <w:lang w:val="en-US" w:eastAsia="zh-CN"/>
        </w:rPr>
        <w:t>7</w:t>
      </w:r>
      <w:r>
        <w:rPr>
          <w:rFonts w:hint="eastAsia" w:cs="Times New Roman" w:asciiTheme="minorEastAsia" w:hAnsiTheme="minorEastAsia" w:eastAsiaTheme="minorEastAsia"/>
          <w:b/>
          <w:sz w:val="24"/>
          <w:szCs w:val="24"/>
          <w:u w:val="thick" w:color="FF0000"/>
        </w:rPr>
        <w:t>月</w:t>
      </w:r>
      <w:r>
        <w:rPr>
          <w:rFonts w:hint="eastAsia" w:cs="Times New Roman" w:asciiTheme="minorEastAsia" w:hAnsiTheme="minorEastAsia" w:eastAsiaTheme="minorEastAsia"/>
          <w:b/>
          <w:sz w:val="24"/>
          <w:szCs w:val="24"/>
          <w:u w:val="thick" w:color="FF0000"/>
          <w:lang w:val="en-US" w:eastAsia="zh-CN"/>
        </w:rPr>
        <w:t>24</w:t>
      </w:r>
      <w:r>
        <w:rPr>
          <w:rFonts w:hint="eastAsia" w:cs="Times New Roman" w:asciiTheme="minorEastAsia" w:hAnsiTheme="minorEastAsia" w:eastAsiaTheme="minorEastAsia"/>
          <w:b/>
          <w:sz w:val="24"/>
          <w:szCs w:val="24"/>
          <w:u w:val="thick" w:color="FF0000"/>
        </w:rPr>
        <w:t>日</w:t>
      </w:r>
      <w:r>
        <w:rPr>
          <w:rFonts w:hint="eastAsia" w:cs="Times New Roman" w:asciiTheme="minorEastAsia" w:hAnsiTheme="minorEastAsia" w:eastAsiaTheme="minorEastAsia"/>
          <w:b/>
          <w:sz w:val="24"/>
          <w:szCs w:val="24"/>
          <w:u w:val="thick" w:color="FF0000"/>
          <w:lang w:val="en-US" w:eastAsia="zh-CN"/>
        </w:rPr>
        <w:t>14</w:t>
      </w:r>
      <w:r>
        <w:rPr>
          <w:rFonts w:hint="eastAsia" w:cs="Times New Roman" w:asciiTheme="minorEastAsia" w:hAnsiTheme="minorEastAsia" w:eastAsiaTheme="minorEastAsia"/>
          <w:b/>
          <w:sz w:val="24"/>
          <w:szCs w:val="24"/>
          <w:u w:val="thick" w:color="FF0000"/>
        </w:rPr>
        <w:t>点</w:t>
      </w:r>
      <w:r>
        <w:rPr>
          <w:rFonts w:hint="eastAsia" w:cs="Times New Roman" w:asciiTheme="minorEastAsia" w:hAnsiTheme="minorEastAsia" w:eastAsiaTheme="minorEastAsia"/>
          <w:b/>
          <w:sz w:val="24"/>
          <w:szCs w:val="24"/>
          <w:u w:val="thick" w:color="FF0000"/>
          <w:lang w:val="en-US" w:eastAsia="zh-CN"/>
        </w:rPr>
        <w:t>00</w:t>
      </w:r>
      <w:r>
        <w:rPr>
          <w:rFonts w:hint="eastAsia" w:cs="Times New Roman" w:asciiTheme="minorEastAsia" w:hAnsiTheme="minorEastAsia" w:eastAsiaTheme="minorEastAsia"/>
          <w:b/>
          <w:sz w:val="24"/>
          <w:szCs w:val="24"/>
          <w:u w:val="thick" w:color="FF0000"/>
        </w:rPr>
        <w:t>分</w:t>
      </w:r>
      <w:r>
        <w:rPr>
          <w:rFonts w:hint="eastAsia" w:asciiTheme="minorEastAsia" w:hAnsiTheme="minorEastAsia" w:eastAsiaTheme="minorEastAsia"/>
          <w:b w:val="0"/>
          <w:bCs/>
          <w:sz w:val="24"/>
          <w:szCs w:val="24"/>
        </w:rPr>
        <w:t>前；</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b w:val="0"/>
          <w:bCs/>
          <w:sz w:val="24"/>
          <w:szCs w:val="24"/>
        </w:rPr>
        <w:t>。</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3、</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截止时间：</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必须在规定的接收截止时间前送至</w:t>
      </w:r>
      <w:r>
        <w:rPr>
          <w:rFonts w:hint="eastAsia" w:asciiTheme="minorEastAsia" w:hAnsiTheme="minorEastAsia" w:eastAsiaTheme="minorEastAsia"/>
          <w:b w:val="0"/>
          <w:bCs/>
          <w:sz w:val="24"/>
          <w:szCs w:val="24"/>
          <w:lang w:val="en-US" w:eastAsia="zh-CN"/>
        </w:rPr>
        <w:t>指定地点</w:t>
      </w:r>
      <w:r>
        <w:rPr>
          <w:rFonts w:hint="eastAsia" w:asciiTheme="minorEastAsia" w:hAnsiTheme="minorEastAsia" w:eastAsiaTheme="minorEastAsia"/>
          <w:b w:val="0"/>
          <w:bCs/>
          <w:sz w:val="24"/>
          <w:szCs w:val="24"/>
          <w:lang w:eastAsia="zh-CN"/>
        </w:rPr>
        <w:t>，招标人</w:t>
      </w:r>
      <w:r>
        <w:rPr>
          <w:rFonts w:hint="eastAsia" w:asciiTheme="minorEastAsia" w:hAnsiTheme="minorEastAsia" w:eastAsiaTheme="minorEastAsia"/>
          <w:b w:val="0"/>
          <w:bCs/>
          <w:sz w:val="24"/>
          <w:szCs w:val="24"/>
        </w:rPr>
        <w:t>或代理机构将拒绝接收在截止时间后递交的文件。</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九、资格审查</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1、资格审查时间：</w:t>
      </w:r>
      <w:r>
        <w:rPr>
          <w:rFonts w:hint="eastAsia" w:asciiTheme="minorEastAsia" w:hAnsiTheme="minorEastAsia" w:eastAsiaTheme="minorEastAsia"/>
          <w:b/>
          <w:sz w:val="24"/>
          <w:szCs w:val="24"/>
          <w:u w:val="thick" w:color="FF0000"/>
        </w:rPr>
        <w:t>开标结束后当即开始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w:t>
      </w:r>
      <w:r>
        <w:rPr>
          <w:rFonts w:asciiTheme="minorEastAsia" w:hAnsiTheme="minorEastAsia" w:eastAsiaTheme="minorEastAsia"/>
          <w:sz w:val="24"/>
          <w:szCs w:val="24"/>
        </w:rPr>
        <w:t>地点：</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sz w:val="24"/>
          <w:u w:val="singl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、招标人依法委托评标小组对各投标人的资格进行审查，审查通过方可参与项目的技术评审。</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十、评标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1、评标时间：</w:t>
      </w:r>
      <w:r>
        <w:rPr>
          <w:rFonts w:hint="eastAsia" w:asciiTheme="minorEastAsia" w:hAnsiTheme="minorEastAsia" w:eastAsiaTheme="minorEastAsia"/>
          <w:b/>
          <w:sz w:val="24"/>
          <w:szCs w:val="24"/>
          <w:u w:val="thick" w:color="FF0000"/>
        </w:rPr>
        <w:t>资格审查结束后当即开始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2、评标</w:t>
      </w:r>
      <w:r>
        <w:rPr>
          <w:rFonts w:asciiTheme="minorEastAsia" w:hAnsiTheme="minorEastAsia" w:eastAsiaTheme="minorEastAsia"/>
          <w:sz w:val="24"/>
          <w:szCs w:val="24"/>
        </w:rPr>
        <w:t>地点：</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sz w:val="24"/>
          <w:u w:val="singl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、评标委员会负责具体评标事务。</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十一、履约保证金：</w:t>
      </w:r>
    </w:p>
    <w:p>
      <w:pPr>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、本项目中标后的履约保证金为合同价的10%。</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十二、投标</w:t>
      </w:r>
      <w:r>
        <w:rPr>
          <w:rFonts w:asciiTheme="minorEastAsia" w:hAnsiTheme="minorEastAsia" w:eastAsiaTheme="minorEastAsia"/>
          <w:b/>
          <w:sz w:val="24"/>
          <w:szCs w:val="24"/>
        </w:rPr>
        <w:t>联系方式</w:t>
      </w:r>
      <w:r>
        <w:rPr>
          <w:rFonts w:hint="eastAsia" w:asciiTheme="minorEastAsia" w:hAnsiTheme="minorEastAsia" w:eastAsiaTheme="minorEastAsia"/>
          <w:b/>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1、招标人</w:t>
      </w:r>
    </w:p>
    <w:p>
      <w:pPr>
        <w:spacing w:line="420" w:lineRule="exact"/>
        <w:ind w:firstLine="720" w:firstLineChars="3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南通市保安服务有限公司</w:t>
      </w:r>
    </w:p>
    <w:p>
      <w:pPr>
        <w:pStyle w:val="21"/>
        <w:ind w:firstLine="720" w:firstLineChars="3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地 址：南通市崇川区石桥路333号</w:t>
      </w:r>
    </w:p>
    <w:p>
      <w:pPr>
        <w:pStyle w:val="21"/>
        <w:ind w:firstLine="720" w:firstLineChars="3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联系人：徐雷</w:t>
      </w:r>
    </w:p>
    <w:p>
      <w:pPr>
        <w:pStyle w:val="21"/>
        <w:ind w:firstLine="720" w:firstLineChars="300"/>
      </w:pPr>
      <w:r>
        <w:rPr>
          <w:rFonts w:hint="eastAsia" w:cs="Times New Roman" w:asciiTheme="minorEastAsia" w:hAnsiTheme="minorEastAsia" w:eastAsiaTheme="minorEastAsia"/>
          <w:kern w:val="2"/>
          <w:sz w:val="24"/>
          <w:szCs w:val="24"/>
          <w:lang w:val="en-US" w:eastAsia="zh-CN" w:bidi="ar-SA"/>
        </w:rPr>
        <w:t>联系电话：</w:t>
      </w:r>
      <w:r>
        <w:rPr>
          <w:rFonts w:hint="eastAsia" w:ascii="宋体" w:hAnsi="宋体" w:eastAsia="宋体"/>
          <w:sz w:val="24"/>
          <w:szCs w:val="24"/>
        </w:rPr>
        <w:t>18252508066</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、招标代理机构</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：中诚智信工程咨询集团股份有限公司</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地址：南通市崇川区恒隆国际B座</w:t>
      </w:r>
      <w:r>
        <w:rPr>
          <w:rFonts w:hint="eastAsia" w:asciiTheme="minorEastAsia" w:hAnsiTheme="minorEastAsia" w:eastAsiaTheme="minorEastAsia"/>
          <w:sz w:val="24"/>
          <w:szCs w:val="24"/>
        </w:rPr>
        <w:t>801</w:t>
      </w:r>
      <w:r>
        <w:rPr>
          <w:rFonts w:asciiTheme="minorEastAsia" w:hAnsiTheme="minorEastAsia" w:eastAsiaTheme="minorEastAsia"/>
          <w:sz w:val="24"/>
          <w:szCs w:val="24"/>
        </w:rPr>
        <w:t>室</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单舒</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13328094029，0513-85980007</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邮箱：</w:t>
      </w:r>
      <w:r>
        <w:rPr>
          <w:rFonts w:hint="eastAsia" w:asciiTheme="minorEastAsia" w:hAnsiTheme="minorEastAsia" w:eastAsiaTheme="minorEastAsia"/>
          <w:sz w:val="24"/>
          <w:szCs w:val="24"/>
        </w:rPr>
        <w:t>1010491310@qq.com</w:t>
      </w:r>
    </w:p>
    <w:p>
      <w:pPr>
        <w:spacing w:line="420" w:lineRule="exact"/>
        <w:ind w:firstLine="849" w:firstLineChars="354"/>
        <w:rPr>
          <w:rFonts w:asciiTheme="minorEastAsia" w:hAnsiTheme="minorEastAsia" w:eastAsiaTheme="minorEastAsia"/>
          <w:sz w:val="24"/>
          <w:szCs w:val="24"/>
        </w:rPr>
      </w:pPr>
      <w:bookmarkStart w:id="1" w:name="_Toc363573854"/>
    </w:p>
    <w:p>
      <w:pPr>
        <w:spacing w:line="420" w:lineRule="exact"/>
        <w:ind w:firstLine="849" w:firstLineChars="354"/>
        <w:rPr>
          <w:rFonts w:asciiTheme="minorEastAsia" w:hAnsiTheme="minorEastAsia" w:eastAsiaTheme="minorEastAsia"/>
          <w:sz w:val="24"/>
          <w:szCs w:val="24"/>
        </w:rPr>
      </w:pPr>
    </w:p>
    <w:p>
      <w:pPr>
        <w:spacing w:line="420" w:lineRule="exact"/>
        <w:ind w:firstLine="849" w:firstLineChars="354"/>
        <w:rPr>
          <w:rFonts w:asciiTheme="minorEastAsia" w:hAnsiTheme="minorEastAsia" w:eastAsiaTheme="minorEastAsia"/>
          <w:sz w:val="24"/>
          <w:szCs w:val="24"/>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both"/>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第二章  投标人须知</w:t>
      </w:r>
      <w:bookmarkEnd w:id="1"/>
    </w:p>
    <w:p>
      <w:pPr>
        <w:snapToGrid w:val="0"/>
        <w:spacing w:line="420" w:lineRule="exact"/>
        <w:ind w:firstLine="482" w:firstLineChars="200"/>
        <w:outlineLvl w:val="1"/>
        <w:rPr>
          <w:rFonts w:asciiTheme="minorEastAsia" w:hAnsiTheme="minorEastAsia" w:eastAsiaTheme="minorEastAsia"/>
          <w:b/>
          <w:bCs/>
          <w:sz w:val="24"/>
          <w:szCs w:val="24"/>
        </w:rPr>
      </w:pPr>
      <w:r>
        <w:rPr>
          <w:rFonts w:asciiTheme="minorEastAsia" w:hAnsiTheme="minorEastAsia" w:eastAsiaTheme="minorEastAsia"/>
          <w:b/>
          <w:bCs/>
          <w:sz w:val="24"/>
          <w:szCs w:val="24"/>
        </w:rPr>
        <w:t>一、</w:t>
      </w:r>
      <w:r>
        <w:rPr>
          <w:rFonts w:hint="eastAsia" w:asciiTheme="minorEastAsia" w:hAnsiTheme="minorEastAsia" w:eastAsiaTheme="minorEastAsia"/>
          <w:b/>
          <w:bCs/>
          <w:sz w:val="24"/>
          <w:szCs w:val="24"/>
        </w:rPr>
        <w:t>说明</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1、本招标文件仅适用于本代理机构组织的公开招标活动。</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2、公开招标活动及因本次招标产生的合同受中国法律制约和保护。</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3、招标文件的解释权属于</w:t>
      </w:r>
      <w:r>
        <w:rPr>
          <w:rFonts w:hint="eastAsia" w:asciiTheme="minorEastAsia" w:hAnsiTheme="minorEastAsia" w:eastAsiaTheme="minorEastAsia"/>
          <w:bCs/>
          <w:sz w:val="24"/>
          <w:szCs w:val="24"/>
          <w:lang w:val="en-US" w:eastAsia="zh-CN"/>
        </w:rPr>
        <w:t>招标人</w:t>
      </w:r>
      <w:r>
        <w:rPr>
          <w:rFonts w:hint="eastAsia" w:asciiTheme="minorEastAsia" w:hAnsiTheme="minorEastAsia" w:eastAsiaTheme="minorEastAsia"/>
          <w:bCs/>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7个工作日内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5、投标人应认真审阅本招标文件中的所有事项、格式、条款和规范要求等，如果投标人没有按照招标文件要求提交投标文件，或者投标文件没有对招标文件做出实质性响应，将被拒绝参与投标。</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文件项目需求提供的可能涉及到的工艺、材料、设备、商标、样本、技术规范、参数规格、品牌等，仅作为说明并没有限制性，投标人在投标中可以选用替代标准，但这些替代标准要优于或等于项目需求技术规格中要求的标准，以满足招标人的需要。</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二、招标文件的获取</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kern w:val="0"/>
          <w:sz w:val="24"/>
          <w:szCs w:val="24"/>
        </w:rPr>
        <w:t>栏</w:t>
      </w:r>
      <w:r>
        <w:rPr>
          <w:rFonts w:hint="eastAsia" w:asciiTheme="minorEastAsia" w:hAnsiTheme="minorEastAsia" w:eastAsiaTheme="minorEastAsia"/>
          <w:sz w:val="24"/>
          <w:szCs w:val="24"/>
        </w:rPr>
        <w:t>下载本项目的招标文件。</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三、招标文件的补充说明、澄清、修改、答疑</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1、代理机构有权对发出的招标文件进行必要的补充说明、澄清或修改。</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2、凡涉及招标文件的补充说明、澄清或修改，均以代理机构在</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kern w:val="0"/>
          <w:sz w:val="24"/>
          <w:szCs w:val="24"/>
        </w:rPr>
        <w:t>栏</w:t>
      </w:r>
      <w:r>
        <w:rPr>
          <w:rFonts w:hint="eastAsia" w:asciiTheme="minorEastAsia" w:hAnsiTheme="minorEastAsia" w:eastAsiaTheme="minorEastAsia"/>
          <w:sz w:val="24"/>
          <w:szCs w:val="24"/>
        </w:rPr>
        <w:t>发布的信息为准。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3、代理机构对招标文件的补充说明、澄清或修改，将构成招标文件的一部分，对投标人具有约束力。</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4、补充说明、澄清或修改的内容可能影响到响应文件编制的，代理机构将在提交投标文件截止期15日前，发布补充说明、澄清或修改的公告，不足15日的应当顺延首次提交投标文件截止之日。</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5、除非代理机构以书面的形式对招标文件作出澄清、修改及补充，投标人对涉及招标文件的任何推论、理解和结论所造成的结果，均由投标人自负。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6、招标采购单位视情组织答疑会。如有产生答疑且对招标文件内容有修改，代理机构将按照本须知有关规定，以补充通知（公告）的方式发出。</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7、招标项目涉及到的现场勘察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7.1、招标文件所提供的项目相关数据仅做参考，投标人必须在投标文件递交日前自行对有关现场和周围环境进行勘察，以获取编制投标文件所需的信息。勘察现场如有费用产生，由投标人自行承担。</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7.2、招标人向投标人提供有关现场的资料和数据，是招标人现有的并认为能使投标人可利用的资料。招标人对投标人由此而做出的推论、理解和结论概不负责。</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7.3、潜在投标人为投标而勘察项目现场，但不得因此使招标人承担有关的责任和蒙受损失。投标人须承担勘察现场而带来的一切责任及风险。</w:t>
      </w:r>
    </w:p>
    <w:p>
      <w:pPr>
        <w:snapToGrid w:val="0"/>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7.4、投标人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w:t>
      </w:r>
      <w:r>
        <w:rPr>
          <w:rFonts w:asciiTheme="minorEastAsia" w:hAnsiTheme="minorEastAsia" w:eastAsiaTheme="minorEastAsia"/>
          <w:b/>
          <w:sz w:val="24"/>
          <w:szCs w:val="24"/>
        </w:rPr>
        <w:t>、投标文件的</w:t>
      </w:r>
      <w:r>
        <w:rPr>
          <w:rFonts w:hint="eastAsia" w:asciiTheme="minorEastAsia" w:hAnsiTheme="minorEastAsia" w:eastAsiaTheme="minorEastAsia"/>
          <w:b/>
          <w:sz w:val="24"/>
          <w:szCs w:val="24"/>
        </w:rPr>
        <w:t>组成</w:t>
      </w:r>
      <w:r>
        <w:rPr>
          <w:rFonts w:asciiTheme="minorEastAsia" w:hAnsiTheme="minorEastAsia" w:eastAsiaTheme="minorEastAsia"/>
          <w:b/>
          <w:sz w:val="24"/>
          <w:szCs w:val="24"/>
        </w:rPr>
        <w:t>及装订</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投标文件</w:t>
      </w:r>
      <w:r>
        <w:rPr>
          <w:rFonts w:hint="eastAsia" w:asciiTheme="minorEastAsia" w:hAnsiTheme="minorEastAsia" w:eastAsiaTheme="minorEastAsia"/>
          <w:sz w:val="24"/>
          <w:szCs w:val="24"/>
        </w:rPr>
        <w:t>由“A</w:t>
      </w:r>
      <w:r>
        <w:rPr>
          <w:rFonts w:asciiTheme="minorEastAsia" w:hAnsiTheme="minorEastAsia" w:eastAsiaTheme="minorEastAsia"/>
          <w:sz w:val="24"/>
          <w:szCs w:val="24"/>
        </w:rPr>
        <w:t>资格后审材料</w:t>
      </w:r>
      <w:r>
        <w:rPr>
          <w:rFonts w:hint="eastAsia" w:asciiTheme="minorEastAsia" w:hAnsiTheme="minorEastAsia" w:eastAsiaTheme="minorEastAsia"/>
          <w:sz w:val="24"/>
          <w:szCs w:val="24"/>
        </w:rPr>
        <w:t>文件”、“B</w:t>
      </w:r>
      <w:r>
        <w:rPr>
          <w:rFonts w:asciiTheme="minorEastAsia" w:hAnsiTheme="minorEastAsia" w:eastAsiaTheme="minorEastAsia"/>
          <w:sz w:val="24"/>
          <w:szCs w:val="24"/>
        </w:rPr>
        <w:t>技术</w:t>
      </w:r>
      <w:r>
        <w:rPr>
          <w:rFonts w:hint="eastAsia" w:asciiTheme="minorEastAsia" w:hAnsiTheme="minorEastAsia" w:eastAsiaTheme="minorEastAsia"/>
          <w:sz w:val="24"/>
          <w:szCs w:val="24"/>
        </w:rPr>
        <w:t>标响应文件”、“C价格标响应文件”共3</w:t>
      </w:r>
      <w:r>
        <w:rPr>
          <w:rFonts w:asciiTheme="minorEastAsia" w:hAnsiTheme="minorEastAsia" w:eastAsiaTheme="minorEastAsia"/>
          <w:sz w:val="24"/>
          <w:szCs w:val="24"/>
        </w:rPr>
        <w:t>部分组成</w:t>
      </w:r>
      <w:r>
        <w:rPr>
          <w:rFonts w:hint="eastAsia" w:asciiTheme="minorEastAsia" w:hAnsiTheme="minorEastAsia" w:eastAsiaTheme="minorEastAsia"/>
          <w:sz w:val="24"/>
          <w:szCs w:val="24"/>
        </w:rPr>
        <w:t>（以下由文件前缀序号代称）</w:t>
      </w:r>
      <w:r>
        <w:rPr>
          <w:rFonts w:asciiTheme="minorEastAsia" w:hAnsiTheme="minorEastAsia" w:eastAsiaTheme="minorEastAsia"/>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w:t>
      </w:r>
      <w:r>
        <w:rPr>
          <w:rFonts w:hint="eastAsia" w:asciiTheme="minorEastAsia" w:hAnsiTheme="minorEastAsia" w:eastAsiaTheme="minorEastAsia"/>
          <w:kern w:val="0"/>
          <w:sz w:val="24"/>
          <w:szCs w:val="24"/>
        </w:rPr>
        <w:t>人</w:t>
      </w:r>
      <w:r>
        <w:rPr>
          <w:rFonts w:hint="eastAsia" w:asciiTheme="minorEastAsia" w:hAnsiTheme="minorEastAsia" w:eastAsiaTheme="minorEastAsia"/>
          <w:sz w:val="24"/>
          <w:szCs w:val="24"/>
        </w:rPr>
        <w:t>按项目需求结合第四章评审程序和方法并参照第八章投标文件的组成及相关格式编写投标文件，并牢固装订成册。投标文件均需采用</w:t>
      </w:r>
      <w:r>
        <w:rPr>
          <w:rFonts w:asciiTheme="minorEastAsia" w:hAnsiTheme="minorEastAsia" w:eastAsiaTheme="minorEastAsia"/>
          <w:sz w:val="24"/>
          <w:szCs w:val="24"/>
        </w:rPr>
        <w:t>A4</w:t>
      </w:r>
      <w:r>
        <w:rPr>
          <w:rFonts w:hint="eastAsia" w:asciiTheme="minorEastAsia" w:hAnsiTheme="minorEastAsia" w:eastAsiaTheme="minorEastAsia"/>
          <w:sz w:val="24"/>
          <w:szCs w:val="24"/>
        </w:rPr>
        <w:t>纸（图纸等除外），投标文件不得行间插字、涂改、增删，如修改错漏处，须经签署投标文件的投标人法人代表或其委托的代理人（以下称被委托受权人）签字（或盖章）并加盖公章。</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3、价格标响应文件中的所有报价表，必须装订成册。</w:t>
      </w:r>
    </w:p>
    <w:p>
      <w:pPr>
        <w:snapToGrid w:val="0"/>
        <w:spacing w:line="420" w:lineRule="exact"/>
        <w:ind w:firstLine="482" w:firstLineChars="200"/>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五、投标文件的份数、签署和退还</w:t>
      </w:r>
    </w:p>
    <w:p>
      <w:pPr>
        <w:snapToGrid w:val="0"/>
        <w:spacing w:line="42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1、投标文件均为</w:t>
      </w:r>
      <w:r>
        <w:rPr>
          <w:rFonts w:hint="eastAsia" w:asciiTheme="minorEastAsia" w:hAnsiTheme="minorEastAsia" w:eastAsiaTheme="minorEastAsia"/>
          <w:b/>
          <w:sz w:val="24"/>
          <w:szCs w:val="24"/>
          <w:u w:val="thick" w:color="FF0000"/>
        </w:rPr>
        <w:t>一份“正本”和二份“副本”</w:t>
      </w:r>
      <w:r>
        <w:rPr>
          <w:rFonts w:hint="eastAsia" w:asciiTheme="minorEastAsia" w:hAnsiTheme="minorEastAsia" w:eastAsiaTheme="minorEastAsia"/>
          <w:b/>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2、在每一份投标文件上要明确标注项目名称、投标文件各自对应的名称、投标人全称、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正本</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副本</w:t>
      </w:r>
      <w:r>
        <w:rPr>
          <w:rFonts w:asciiTheme="minorEastAsia" w:hAnsiTheme="minorEastAsia" w:eastAsiaTheme="minorEastAsia"/>
          <w:sz w:val="24"/>
          <w:szCs w:val="24"/>
        </w:rPr>
        <w:t>”</w:t>
      </w:r>
      <w:r>
        <w:rPr>
          <w:rFonts w:hint="eastAsia" w:asciiTheme="minorEastAsia" w:hAnsiTheme="minorEastAsia" w:eastAsiaTheme="minorEastAsia"/>
          <w:sz w:val="24"/>
          <w:szCs w:val="24"/>
        </w:rPr>
        <w:t>字样，“正本”和“副本”若有差异，概以“正本”为准。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3、投标文件中的所有“正本”，须为打印的，其正文内容由法定代表人或被委托受权人签字（或盖章）并加盖公章，“副本”可为“正本”的复印件。</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4、开标程序顺利进行后，所有投标文件都将作为档案保存，不论中标与否，代理机构均不退回（未拆封的除外）。</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六、投标文件的密封及标记</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、投标人须将本项目投标文件“【A】【B】【C】”</w:t>
      </w:r>
      <w:r>
        <w:rPr>
          <w:rFonts w:hint="eastAsia" w:asciiTheme="minorEastAsia" w:hAnsiTheme="minorEastAsia" w:eastAsiaTheme="minorEastAsia"/>
          <w:b/>
          <w:sz w:val="24"/>
          <w:szCs w:val="24"/>
        </w:rPr>
        <w:t>分别单独密封</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、密封后，应在每一密封的投标文件上明确标注投标项目名称、投标文件各自对应的名称、投标人全称及日期，同时加盖投标人公章。</w:t>
      </w:r>
    </w:p>
    <w:p>
      <w:pPr>
        <w:snapToGrid w:val="0"/>
        <w:spacing w:line="42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特别提醒：</w:t>
      </w:r>
      <w:r>
        <w:rPr>
          <w:rFonts w:hint="eastAsia" w:asciiTheme="minorEastAsia" w:hAnsiTheme="minorEastAsia" w:eastAsiaTheme="minorEastAsia"/>
          <w:sz w:val="24"/>
          <w:szCs w:val="24"/>
        </w:rPr>
        <w:t>投标文件中的【A】与【B】的“正本”或“副本”中，均不得含有任何【C】中的报价表（报价单）的内容，否则作废标处理。</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七、投标文件内容</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（格式参见第八章）（含一正二副文件）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bookmarkStart w:id="2" w:name="_Hlk10361781"/>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1、投标人具有独立法人资格的</w:t>
      </w:r>
      <w:r>
        <w:rPr>
          <w:rFonts w:hint="eastAsia" w:asciiTheme="minorEastAsia" w:hAnsiTheme="minorEastAsia" w:eastAsiaTheme="minorEastAsia"/>
          <w:b/>
          <w:bCs/>
          <w:sz w:val="24"/>
          <w:szCs w:val="24"/>
        </w:rPr>
        <w:t>生产商或代理商</w:t>
      </w:r>
      <w:r>
        <w:rPr>
          <w:rFonts w:hint="eastAsia" w:asciiTheme="minorEastAsia" w:hAnsiTheme="minorEastAsia" w:eastAsiaTheme="minorEastAsia"/>
          <w:sz w:val="24"/>
          <w:szCs w:val="24"/>
        </w:rPr>
        <w:t>，提供有效的营业执照及税务登记证；或者是三证合一的营业执照件的复印件（须加盖投标人公章）。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2、投标人是代理商投标的，须提供代理商营业执照原件的复印件（须加盖投标人公章）</w:t>
      </w:r>
      <w:r>
        <w:rPr>
          <w:rFonts w:hint="eastAsia" w:asciiTheme="minorEastAsia" w:hAnsiTheme="minorEastAsia" w:eastAsiaTheme="minorEastAsia"/>
          <w:b/>
          <w:bCs/>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、投标人须提供参与本次项目采购活动前三年内，在经营活动中没有违法记录的书面《</w:t>
      </w:r>
      <w:r>
        <w:rPr>
          <w:rFonts w:hint="eastAsia" w:asciiTheme="minorEastAsia" w:hAnsiTheme="minorEastAsia" w:eastAsiaTheme="minorEastAsia"/>
          <w:b/>
          <w:bCs/>
          <w:sz w:val="24"/>
          <w:szCs w:val="24"/>
        </w:rPr>
        <w:t>无违法记录承诺函</w:t>
      </w:r>
      <w:r>
        <w:rPr>
          <w:rFonts w:hint="eastAsia" w:asciiTheme="minorEastAsia" w:hAnsiTheme="minorEastAsia" w:eastAsiaTheme="minorEastAsia"/>
          <w:sz w:val="24"/>
          <w:szCs w:val="24"/>
        </w:rPr>
        <w:t>》（须加盖公章）。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bookmarkEnd w:id="2"/>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B、技术标响应文件（格式参见第八章）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投标人应根据本招标文件第三章“项目需求”提供的主要技术规范，服务要求标准等，仔细阅读并在理解的基础上结合现场踏勘的资料与第四章“评审程序和方法”内的评审细则，编写编制技术标文件。以下技术标文件的内容，不得有缺项或漏项。否则将有可能被视为未实质性响应招标文件要求而作无效投标处理，亦可能直接影响技术标评审的得分。</w:t>
      </w:r>
    </w:p>
    <w:p>
      <w:pPr>
        <w:spacing w:line="420" w:lineRule="exact"/>
        <w:ind w:firstLine="484" w:firstLineChars="202"/>
        <w:outlineLvl w:val="3"/>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1、投标响应函；</w:t>
      </w:r>
    </w:p>
    <w:p>
      <w:pPr>
        <w:spacing w:line="420" w:lineRule="exact"/>
        <w:ind w:firstLine="484" w:firstLineChars="202"/>
        <w:rPr>
          <w:rFonts w:hint="eastAsia" w:asciiTheme="minorEastAsia" w:hAnsiTheme="minorEastAsia" w:eastAsiaTheme="minorEastAsia"/>
          <w:b w:val="0"/>
          <w:bCs/>
          <w:sz w:val="24"/>
          <w:szCs w:val="24"/>
          <w:lang w:eastAsia="zh-CN"/>
        </w:rPr>
      </w:pPr>
      <w:r>
        <w:rPr>
          <w:rFonts w:hint="eastAsia" w:asciiTheme="minorEastAsia" w:hAnsiTheme="minorEastAsia" w:eastAsiaTheme="minorEastAsia"/>
          <w:b w:val="0"/>
          <w:bCs/>
          <w:sz w:val="24"/>
          <w:szCs w:val="24"/>
          <w:lang w:val="en-US" w:eastAsia="zh-CN"/>
        </w:rPr>
        <w:t>2</w:t>
      </w:r>
      <w:r>
        <w:rPr>
          <w:rFonts w:hint="eastAsia" w:asciiTheme="minorEastAsia" w:hAnsiTheme="minorEastAsia" w:eastAsiaTheme="minorEastAsia"/>
          <w:b w:val="0"/>
          <w:bCs/>
          <w:sz w:val="24"/>
          <w:szCs w:val="24"/>
        </w:rPr>
        <w:t>、技术条款响应一览表</w:t>
      </w:r>
      <w:r>
        <w:rPr>
          <w:rFonts w:hint="eastAsia" w:asciiTheme="minorEastAsia" w:hAnsiTheme="minorEastAsia" w:eastAsiaTheme="minorEastAsia"/>
          <w:b w:val="0"/>
          <w:bCs/>
          <w:sz w:val="24"/>
          <w:szCs w:val="24"/>
          <w:lang w:eastAsia="zh-CN"/>
        </w:rPr>
        <w:t>；</w:t>
      </w:r>
    </w:p>
    <w:p>
      <w:pPr>
        <w:spacing w:line="420" w:lineRule="exact"/>
        <w:ind w:firstLine="484" w:firstLineChars="202"/>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3、</w:t>
      </w:r>
      <w:r>
        <w:rPr>
          <w:rFonts w:hint="eastAsia" w:asciiTheme="minorEastAsia" w:hAnsiTheme="minorEastAsia" w:eastAsiaTheme="minorEastAsia"/>
          <w:b w:val="0"/>
          <w:bCs/>
          <w:sz w:val="24"/>
          <w:szCs w:val="24"/>
        </w:rPr>
        <w:t>招标文件第四章评审程序和方法要求提交的其它材料</w:t>
      </w:r>
      <w:r>
        <w:rPr>
          <w:rFonts w:hint="eastAsia" w:asciiTheme="minorEastAsia" w:hAnsiTheme="minorEastAsia" w:eastAsiaTheme="minorEastAsia"/>
          <w:b w:val="0"/>
          <w:bCs/>
          <w:sz w:val="24"/>
          <w:szCs w:val="24"/>
          <w:lang w:eastAsia="zh-CN"/>
        </w:rPr>
        <w:t>。</w:t>
      </w:r>
    </w:p>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pacing w:line="44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别提醒】价格标响应文件中的报价，包括本招标文件规定涵盖的所有招标范围及相应说明的全部内容及费用。本次招标项目的商务付款方式要求，必须完全响应不得有任何负偏离，且不接受任何意在更改的说明，否则作无效投标处理。投标人中标后如据此提出疑义，不履行签订合同等下一步工作，招标人有权没收其全额投标保证金并取消其中标资格。</w:t>
      </w:r>
    </w:p>
    <w:p>
      <w:pPr>
        <w:numPr>
          <w:ilvl w:val="0"/>
          <w:numId w:val="2"/>
        </w:numPr>
        <w:spacing w:line="420" w:lineRule="exact"/>
        <w:outlineLvl w:val="3"/>
        <w:rPr>
          <w:rFonts w:asciiTheme="minorEastAsia" w:hAnsiTheme="minorEastAsia" w:eastAsiaTheme="minorEastAsia"/>
          <w:sz w:val="24"/>
          <w:szCs w:val="24"/>
        </w:rPr>
      </w:pPr>
      <w:r>
        <w:rPr>
          <w:rFonts w:asciiTheme="minorEastAsia" w:hAnsiTheme="minorEastAsia" w:eastAsiaTheme="minorEastAsia"/>
          <w:sz w:val="24"/>
          <w:szCs w:val="24"/>
        </w:rPr>
        <w:t>投标响应报价总表；</w:t>
      </w:r>
    </w:p>
    <w:p>
      <w:pPr>
        <w:pStyle w:val="21"/>
        <w:ind w:left="485"/>
        <w:rPr>
          <w:rFonts w:asciiTheme="minorEastAsia" w:hAnsiTheme="minorEastAsia" w:eastAsiaTheme="minorEastAsia"/>
          <w:sz w:val="24"/>
          <w:szCs w:val="24"/>
        </w:rPr>
      </w:pPr>
      <w:r>
        <w:rPr>
          <w:rFonts w:hint="eastAsia" w:asciiTheme="minorEastAsia" w:hAnsiTheme="minorEastAsia" w:eastAsiaTheme="minorEastAsia"/>
          <w:sz w:val="24"/>
          <w:szCs w:val="24"/>
        </w:rPr>
        <w:t>2、投标报价明细表。</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八</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联合投标：</w:t>
      </w:r>
    </w:p>
    <w:p>
      <w:pPr>
        <w:spacing w:line="42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本项目不接受多个投标人组成联合体参与投标。</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w:t>
      </w:r>
      <w:r>
        <w:rPr>
          <w:rFonts w:asciiTheme="minorEastAsia" w:hAnsiTheme="minorEastAsia" w:eastAsiaTheme="minorEastAsia"/>
          <w:b/>
          <w:bCs/>
          <w:sz w:val="24"/>
          <w:szCs w:val="24"/>
        </w:rPr>
        <w:t>文件递交</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1、文件递交方式：直接送达。</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递交截止时间及地点：</w:t>
      </w:r>
      <w:r>
        <w:rPr>
          <w:rFonts w:hint="eastAsia" w:cs="Times New Roman" w:asciiTheme="minorEastAsia" w:hAnsiTheme="minorEastAsia" w:eastAsiaTheme="minorEastAsia"/>
          <w:b/>
          <w:sz w:val="24"/>
          <w:szCs w:val="24"/>
          <w:u w:val="thick" w:color="FF0000"/>
        </w:rPr>
        <w:t>202</w:t>
      </w:r>
      <w:r>
        <w:rPr>
          <w:rFonts w:hint="eastAsia" w:cs="Times New Roman" w:asciiTheme="minorEastAsia" w:hAnsiTheme="minorEastAsia" w:eastAsiaTheme="minorEastAsia"/>
          <w:b/>
          <w:sz w:val="24"/>
          <w:szCs w:val="24"/>
          <w:u w:val="thick" w:color="FF0000"/>
          <w:lang w:val="en-US" w:eastAsia="zh-CN"/>
        </w:rPr>
        <w:t>4</w:t>
      </w:r>
      <w:r>
        <w:rPr>
          <w:rFonts w:hint="eastAsia" w:cs="Times New Roman" w:asciiTheme="minorEastAsia" w:hAnsiTheme="minorEastAsia" w:eastAsiaTheme="minorEastAsia"/>
          <w:b/>
          <w:sz w:val="24"/>
          <w:szCs w:val="24"/>
          <w:u w:val="thick" w:color="FF0000"/>
        </w:rPr>
        <w:t>年</w:t>
      </w:r>
      <w:r>
        <w:rPr>
          <w:rFonts w:hint="eastAsia" w:cs="Times New Roman" w:asciiTheme="minorEastAsia" w:hAnsiTheme="minorEastAsia" w:eastAsiaTheme="minorEastAsia"/>
          <w:b/>
          <w:sz w:val="24"/>
          <w:szCs w:val="24"/>
          <w:u w:val="thick" w:color="FF0000"/>
          <w:lang w:val="en-US" w:eastAsia="zh-CN"/>
        </w:rPr>
        <w:t>7</w:t>
      </w:r>
      <w:r>
        <w:rPr>
          <w:rFonts w:hint="eastAsia" w:cs="Times New Roman" w:asciiTheme="minorEastAsia" w:hAnsiTheme="minorEastAsia" w:eastAsiaTheme="minorEastAsia"/>
          <w:b/>
          <w:sz w:val="24"/>
          <w:szCs w:val="24"/>
          <w:u w:val="thick" w:color="FF0000"/>
        </w:rPr>
        <w:t>月</w:t>
      </w:r>
      <w:r>
        <w:rPr>
          <w:rFonts w:hint="eastAsia" w:cs="Times New Roman" w:asciiTheme="minorEastAsia" w:hAnsiTheme="minorEastAsia" w:eastAsiaTheme="minorEastAsia"/>
          <w:b/>
          <w:sz w:val="24"/>
          <w:szCs w:val="24"/>
          <w:u w:val="thick" w:color="FF0000"/>
          <w:lang w:val="en-US" w:eastAsia="zh-CN"/>
        </w:rPr>
        <w:t>24</w:t>
      </w:r>
      <w:r>
        <w:rPr>
          <w:rFonts w:hint="eastAsia" w:cs="Times New Roman" w:asciiTheme="minorEastAsia" w:hAnsiTheme="minorEastAsia" w:eastAsiaTheme="minorEastAsia"/>
          <w:b/>
          <w:sz w:val="24"/>
          <w:szCs w:val="24"/>
          <w:u w:val="thick" w:color="FF0000"/>
        </w:rPr>
        <w:t>日</w:t>
      </w:r>
      <w:r>
        <w:rPr>
          <w:rFonts w:hint="eastAsia" w:cs="Times New Roman" w:asciiTheme="minorEastAsia" w:hAnsiTheme="minorEastAsia" w:eastAsiaTheme="minorEastAsia"/>
          <w:b/>
          <w:sz w:val="24"/>
          <w:szCs w:val="24"/>
          <w:u w:val="thick" w:color="FF0000"/>
          <w:lang w:val="en-US" w:eastAsia="zh-CN"/>
        </w:rPr>
        <w:t>14</w:t>
      </w:r>
      <w:r>
        <w:rPr>
          <w:rFonts w:hint="eastAsia" w:cs="Times New Roman" w:asciiTheme="minorEastAsia" w:hAnsiTheme="minorEastAsia" w:eastAsiaTheme="minorEastAsia"/>
          <w:b/>
          <w:sz w:val="24"/>
          <w:szCs w:val="24"/>
          <w:u w:val="thick" w:color="FF0000"/>
        </w:rPr>
        <w:t>点</w:t>
      </w:r>
      <w:r>
        <w:rPr>
          <w:rFonts w:hint="eastAsia" w:cs="Times New Roman" w:asciiTheme="minorEastAsia" w:hAnsiTheme="minorEastAsia" w:eastAsiaTheme="minorEastAsia"/>
          <w:b/>
          <w:sz w:val="24"/>
          <w:szCs w:val="24"/>
          <w:u w:val="thick" w:color="FF0000"/>
          <w:lang w:val="en-US" w:eastAsia="zh-CN"/>
        </w:rPr>
        <w:t>00</w:t>
      </w:r>
      <w:r>
        <w:rPr>
          <w:rFonts w:hint="eastAsia" w:cs="Times New Roman" w:asciiTheme="minorEastAsia" w:hAnsiTheme="minorEastAsia" w:eastAsiaTheme="minorEastAsia"/>
          <w:b/>
          <w:sz w:val="24"/>
          <w:szCs w:val="24"/>
          <w:u w:val="thick" w:color="FF0000"/>
        </w:rPr>
        <w:t>分</w:t>
      </w:r>
      <w:r>
        <w:rPr>
          <w:rFonts w:hint="eastAsia" w:asciiTheme="minorEastAsia" w:hAnsiTheme="minorEastAsia" w:eastAsiaTheme="minorEastAsia"/>
          <w:b w:val="0"/>
          <w:bCs/>
          <w:sz w:val="24"/>
          <w:szCs w:val="24"/>
        </w:rPr>
        <w:t>前；</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b w:val="0"/>
          <w:bCs/>
          <w:sz w:val="24"/>
          <w:szCs w:val="24"/>
        </w:rPr>
        <w:t>。</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3、</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截止时间：</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必须在规定的接收截止时间前送至</w:t>
      </w:r>
      <w:r>
        <w:rPr>
          <w:rFonts w:hint="eastAsia" w:asciiTheme="minorEastAsia" w:hAnsiTheme="minorEastAsia" w:eastAsiaTheme="minorEastAsia"/>
          <w:b w:val="0"/>
          <w:bCs/>
          <w:sz w:val="24"/>
          <w:szCs w:val="24"/>
          <w:lang w:val="en-US" w:eastAsia="zh-CN"/>
        </w:rPr>
        <w:t>指定地点</w:t>
      </w:r>
      <w:r>
        <w:rPr>
          <w:rFonts w:hint="eastAsia" w:asciiTheme="minorEastAsia" w:hAnsiTheme="minorEastAsia" w:eastAsiaTheme="minorEastAsia"/>
          <w:b w:val="0"/>
          <w:bCs/>
          <w:sz w:val="24"/>
          <w:szCs w:val="24"/>
          <w:lang w:eastAsia="zh-CN"/>
        </w:rPr>
        <w:t>，招标人</w:t>
      </w:r>
      <w:r>
        <w:rPr>
          <w:rFonts w:hint="eastAsia" w:asciiTheme="minorEastAsia" w:hAnsiTheme="minorEastAsia" w:eastAsiaTheme="minorEastAsia"/>
          <w:b w:val="0"/>
          <w:bCs/>
          <w:sz w:val="24"/>
          <w:szCs w:val="24"/>
        </w:rPr>
        <w:t>或代理机构将拒绝接收在截止时间后递交的文件。</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投标文件的有效期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1、从投标文件接收截止之日算起，</w:t>
      </w:r>
      <w:r>
        <w:rPr>
          <w:rFonts w:asciiTheme="minorEastAsia" w:hAnsiTheme="minorEastAsia" w:eastAsiaTheme="minorEastAsia"/>
          <w:sz w:val="24"/>
          <w:szCs w:val="24"/>
        </w:rPr>
        <w:t>45个</w:t>
      </w:r>
      <w:r>
        <w:rPr>
          <w:rFonts w:hint="eastAsia" w:asciiTheme="minorEastAsia" w:hAnsiTheme="minorEastAsia" w:eastAsiaTheme="minorEastAsia"/>
          <w:sz w:val="24"/>
          <w:szCs w:val="24"/>
        </w:rPr>
        <w:t>日历天内投标书应保持有效。有效期短于这个规定期限的投标，将被拒绝。</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特殊情况下，招标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将被拒绝，但投标保证金可退还。</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十一、投标费用</w:t>
      </w:r>
    </w:p>
    <w:p>
      <w:pPr>
        <w:snapToGrid w:val="0"/>
        <w:spacing w:line="420" w:lineRule="exact"/>
        <w:ind w:firstLine="494" w:firstLineChars="206"/>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1、投标人应承担其报名投标项目、编制投标文件以及递交投标文件所涉及的一切费用。无论投标结果如何，招标人对上述费用不负任何责任。</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十二、投标报价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1、本项目不接受任何有选择的报价。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2、投标报价均以人民币为报价的货币单位。</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、报价表必须加盖投标人公章且必须经法定代表人或被委托受权人签署。</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、报价出现前后不一致的，按照下列规定修正：</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（1）投标文件中报价表（开标一览表）内容与投标文件技术响应中内容明细不一致的，以报价表（开标一览表）为准；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（2）投标文件中涉及大写金额和小写金额不一致的，以大写金额为准；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（3）单价金额小数点或者百分比有明显错位的，以报价表（开标一览表）的总价为准，并修改单价；</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（4）总价金额与按单价汇总金额不一致的，以单价金额计算结果为准。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同时出现两种以上不一致的，按照前款规定的顺序修正。修正后的报价应当由投标人的法定代表人或其授权的代表签字确认后产生约束力，投标人不确认的，其投标无效。</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5、投标</w:t>
      </w:r>
      <w:r>
        <w:rPr>
          <w:rFonts w:hint="eastAsia" w:asciiTheme="minorEastAsia" w:hAnsiTheme="minorEastAsia" w:eastAsiaTheme="minorEastAsia"/>
          <w:sz w:val="24"/>
          <w:szCs w:val="24"/>
        </w:rPr>
        <w:t>报价总价包括：</w:t>
      </w:r>
    </w:p>
    <w:p>
      <w:pPr>
        <w:tabs>
          <w:tab w:val="left" w:pos="284"/>
        </w:tabs>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cstheme="minorEastAsia"/>
          <w:sz w:val="24"/>
          <w:szCs w:val="24"/>
        </w:rPr>
        <w:t>投标报价应包括招标文件所确定的招标范围相应货物和服务的供货、包装、运输、保险、辅助设备、安装调试、管理、维护（包括质保期内的一切维修、保养、更换零部件、人工等伴随服务）、售后服务、劳务、培训、验收、办公设备、设备、工具、耗材、运送工具及耗材、利润、风险、商检费、税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招标代理服务费</w:t>
      </w:r>
      <w:r>
        <w:rPr>
          <w:rFonts w:hint="eastAsia" w:asciiTheme="minorEastAsia" w:hAnsiTheme="minorEastAsia" w:eastAsiaTheme="minorEastAsia" w:cstheme="minorEastAsia"/>
          <w:sz w:val="24"/>
          <w:szCs w:val="24"/>
        </w:rPr>
        <w:t>及政策性文件规定等各项应有费用，以及为完成该项货物或者服务项目所涉及到的一切相关费用，招标人不再支付其他任何费用。安装、调试、验收过程中，如发现有漏项、缺件，中标人应无条件、无偿补齐，所发生的一切费用，视为已包含在投标人的报价之中，且并不因此而影响交付实际使用人的时间。</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6、本次公开招标项目仅为一次商务报价，一旦中标即为中标价。</w:t>
      </w:r>
      <w:r>
        <w:rPr>
          <w:rFonts w:hint="eastAsia" w:asciiTheme="minorEastAsia" w:hAnsiTheme="minorEastAsia" w:eastAsiaTheme="minorEastAsia"/>
          <w:sz w:val="24"/>
          <w:szCs w:val="24"/>
        </w:rPr>
        <w:t>除非因特殊原因并经买卖双方协商同意，中标的投标人（以下称中标人）不得再要求追加任何费用。同时，除非合同条款中另有规定，否则，中标人的中标价在合同实施期间不得因市场变化因素而变动。</w:t>
      </w:r>
    </w:p>
    <w:p>
      <w:pPr>
        <w:snapToGrid w:val="0"/>
        <w:spacing w:line="420" w:lineRule="exact"/>
        <w:ind w:firstLine="482" w:firstLineChars="200"/>
        <w:outlineLvl w:val="1"/>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十</w:t>
      </w:r>
      <w:r>
        <w:rPr>
          <w:rFonts w:hint="eastAsia" w:asciiTheme="minorEastAsia" w:hAnsiTheme="minorEastAsia" w:eastAsiaTheme="minorEastAsia"/>
          <w:b/>
          <w:bCs/>
          <w:sz w:val="24"/>
          <w:szCs w:val="24"/>
        </w:rPr>
        <w:t>三</w:t>
      </w:r>
      <w:r>
        <w:rPr>
          <w:rFonts w:hint="eastAsia" w:asciiTheme="minorEastAsia" w:hAnsiTheme="minorEastAsia" w:eastAsiaTheme="minorEastAsia"/>
          <w:b/>
          <w:bCs/>
          <w:sz w:val="24"/>
          <w:szCs w:val="24"/>
          <w:lang w:val="zh-CN"/>
        </w:rPr>
        <w:t>、</w:t>
      </w:r>
      <w:r>
        <w:rPr>
          <w:rFonts w:hint="eastAsia" w:asciiTheme="minorEastAsia" w:hAnsiTheme="minorEastAsia" w:eastAsiaTheme="minorEastAsia"/>
          <w:b/>
          <w:bCs/>
          <w:sz w:val="24"/>
          <w:szCs w:val="24"/>
        </w:rPr>
        <w:t>投标</w:t>
      </w:r>
      <w:r>
        <w:rPr>
          <w:rFonts w:hint="eastAsia" w:asciiTheme="minorEastAsia" w:hAnsiTheme="minorEastAsia" w:eastAsiaTheme="minorEastAsia"/>
          <w:b/>
          <w:bCs/>
          <w:sz w:val="24"/>
          <w:szCs w:val="24"/>
          <w:lang w:val="zh-CN"/>
        </w:rPr>
        <w:t>保证金</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1、本项目投标人须交纳投标保证金人民币</w:t>
      </w:r>
      <w:r>
        <w:rPr>
          <w:rFonts w:hint="eastAsia" w:ascii="宋体" w:hAnsi="宋体" w:eastAsia="宋体"/>
          <w:b/>
          <w:bCs/>
          <w:sz w:val="24"/>
          <w:szCs w:val="24"/>
          <w:lang w:val="en-US" w:eastAsia="zh-CN"/>
        </w:rPr>
        <w:t>贰万</w:t>
      </w:r>
      <w:r>
        <w:rPr>
          <w:rFonts w:hint="eastAsia" w:ascii="宋体" w:hAnsi="宋体" w:eastAsia="宋体"/>
          <w:b/>
          <w:bCs/>
          <w:sz w:val="24"/>
          <w:szCs w:val="24"/>
        </w:rPr>
        <w:t>圆整（¥</w:t>
      </w:r>
      <w:r>
        <w:rPr>
          <w:rFonts w:hint="eastAsia" w:ascii="宋体" w:hAnsi="宋体" w:eastAsia="宋体"/>
          <w:b/>
          <w:bCs/>
          <w:sz w:val="24"/>
          <w:szCs w:val="24"/>
          <w:lang w:val="en-US" w:eastAsia="zh-CN"/>
        </w:rPr>
        <w:t>20000</w:t>
      </w:r>
      <w:r>
        <w:rPr>
          <w:rFonts w:hint="eastAsia" w:ascii="宋体" w:hAnsi="宋体" w:eastAsia="宋体"/>
          <w:b/>
          <w:bCs/>
          <w:sz w:val="24"/>
          <w:szCs w:val="24"/>
        </w:rPr>
        <w:t>.00元）</w:t>
      </w:r>
      <w:r>
        <w:rPr>
          <w:rFonts w:hint="eastAsia" w:ascii="宋体" w:hAnsi="宋体" w:eastAsia="宋体"/>
          <w:sz w:val="24"/>
          <w:szCs w:val="24"/>
        </w:rPr>
        <w:t>；</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账户名称：中诚智信工程咨询集团股份有限公司</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开户银行：上海浦东发展银行苏州高新技术产业开发区支行</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银行账号：89030154740003067</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注：投标保证金</w:t>
      </w:r>
      <w:r>
        <w:rPr>
          <w:rFonts w:hint="eastAsia" w:ascii="宋体" w:hAnsi="宋体" w:eastAsia="宋体"/>
          <w:b/>
          <w:bCs/>
          <w:sz w:val="24"/>
          <w:szCs w:val="24"/>
          <w:lang w:val="en-US" w:eastAsia="zh-CN"/>
        </w:rPr>
        <w:t>的形式：</w:t>
      </w:r>
      <w:r>
        <w:rPr>
          <w:rFonts w:hint="eastAsia" w:ascii="宋体" w:hAnsi="宋体" w:eastAsia="宋体"/>
          <w:b/>
          <w:bCs/>
          <w:sz w:val="24"/>
          <w:szCs w:val="24"/>
          <w:lang w:val="en-US"/>
        </w:rPr>
        <w:t>转账、电汇、网银，银行电子保函、保险电子保函、现金、本票等形式。各</w:t>
      </w:r>
      <w:r>
        <w:rPr>
          <w:rFonts w:hint="eastAsia" w:ascii="宋体" w:hAnsi="宋体" w:eastAsia="宋体"/>
          <w:b/>
          <w:bCs/>
          <w:sz w:val="24"/>
          <w:szCs w:val="24"/>
          <w:lang w:val="en-US" w:eastAsia="zh-CN"/>
        </w:rPr>
        <w:t>投标人</w:t>
      </w:r>
      <w:r>
        <w:rPr>
          <w:rFonts w:hint="eastAsia" w:ascii="宋体" w:hAnsi="宋体" w:eastAsia="宋体"/>
          <w:b/>
          <w:bCs/>
          <w:sz w:val="24"/>
          <w:szCs w:val="24"/>
          <w:lang w:val="en-US"/>
        </w:rPr>
        <w:t>根据企业实际情况合理选择</w:t>
      </w:r>
      <w:r>
        <w:rPr>
          <w:rFonts w:hint="eastAsia" w:ascii="宋体" w:hAnsi="宋体" w:eastAsia="宋体"/>
          <w:b/>
          <w:bCs/>
          <w:sz w:val="24"/>
          <w:szCs w:val="24"/>
          <w:lang w:val="en-US" w:eastAsia="zh-CN"/>
        </w:rPr>
        <w:t>投标</w:t>
      </w:r>
      <w:r>
        <w:rPr>
          <w:rFonts w:hint="eastAsia" w:ascii="宋体" w:hAnsi="宋体" w:eastAsia="宋体"/>
          <w:b/>
          <w:bCs/>
          <w:sz w:val="24"/>
          <w:szCs w:val="24"/>
          <w:lang w:val="en-US"/>
        </w:rPr>
        <w:t>保证金的缴纳形式，各类缴纳形式具有同等法律效力。各</w:t>
      </w:r>
      <w:r>
        <w:rPr>
          <w:rFonts w:hint="eastAsia" w:ascii="宋体" w:hAnsi="宋体" w:eastAsia="宋体"/>
          <w:b/>
          <w:bCs/>
          <w:sz w:val="24"/>
          <w:szCs w:val="24"/>
          <w:lang w:val="en-US" w:eastAsia="zh-CN"/>
        </w:rPr>
        <w:t>投标人</w:t>
      </w:r>
      <w:r>
        <w:rPr>
          <w:rFonts w:hint="eastAsia" w:ascii="宋体" w:hAnsi="宋体" w:eastAsia="宋体"/>
          <w:b/>
          <w:bCs/>
          <w:sz w:val="24"/>
          <w:szCs w:val="24"/>
          <w:lang w:val="en-US"/>
        </w:rPr>
        <w:t>必须以企业法人基本存款帐户办理保证金缴纳手续</w:t>
      </w:r>
      <w:r>
        <w:rPr>
          <w:rFonts w:hint="eastAsia" w:ascii="宋体" w:hAnsi="宋体" w:eastAsia="宋体"/>
          <w:b/>
          <w:bCs/>
          <w:sz w:val="24"/>
          <w:szCs w:val="24"/>
          <w:lang w:val="en-US" w:eastAsia="zh-CN"/>
        </w:rPr>
        <w:t>（现金除外）</w:t>
      </w:r>
      <w:r>
        <w:rPr>
          <w:rFonts w:hint="eastAsia" w:ascii="宋体" w:hAnsi="宋体" w:eastAsia="宋体"/>
          <w:b/>
          <w:bCs/>
          <w:sz w:val="24"/>
          <w:szCs w:val="24"/>
          <w:lang w:val="en-US"/>
        </w:rPr>
        <w:t>，否则不予接受。</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特别提醒：投标人应当按照规定的时间和方式，及时、足额汇入投标保证金，以保证金到达指定账户的时刻作为有效保证金时限的依据，各投标人应当充分预判因各种因素导致保证金到账的滞后情况，提前做好相关准备。</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2、不按招标文件要求递交本项目投标保证金的，其投标文件将被招标代理机构将拒绝。</w:t>
      </w:r>
    </w:p>
    <w:p>
      <w:pPr>
        <w:snapToGrid w:val="0"/>
        <w:spacing w:line="420" w:lineRule="exact"/>
        <w:ind w:firstLine="494" w:firstLineChars="206"/>
        <w:rPr>
          <w:rFonts w:asciiTheme="minorEastAsia" w:hAnsiTheme="minorEastAsia" w:eastAsiaTheme="minorEastAsia"/>
          <w:sz w:val="24"/>
          <w:szCs w:val="24"/>
        </w:rPr>
      </w:pPr>
      <w:r>
        <w:rPr>
          <w:rFonts w:hint="eastAsia" w:ascii="宋体" w:hAnsi="宋体" w:eastAsia="宋体"/>
          <w:sz w:val="24"/>
          <w:szCs w:val="24"/>
        </w:rPr>
        <w:t>3、</w:t>
      </w:r>
      <w:r>
        <w:rPr>
          <w:rFonts w:hint="eastAsia" w:asciiTheme="minorEastAsia" w:hAnsiTheme="minorEastAsia" w:eastAsiaTheme="minorEastAsia"/>
          <w:sz w:val="24"/>
          <w:szCs w:val="24"/>
        </w:rPr>
        <w:t>招标人最迟将在与中标人签订合同后5日内，向未中标的投标人和中标人退还投标保证金（无息）。</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4、发生下列情况之一，投标保证金将不予退还：</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 xml:space="preserve">（1）投标人在提交投标文件截止时间后撤回投标文件的； </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（2）投标人在投标文件中提供虚假材料的；</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 xml:space="preserve">）投标人与招标人、其他投标人或者采购代理机构恶意串通的； </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 xml:space="preserve">）除因不可抗力或招标文件认可的情形以外，中标人不与招标人签订合同的； </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）投标人在投标过程中有违反有关法律法规的行为；</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 xml:space="preserve">）投标人有招标文件规定的其他不予退还投标保证金的情形。 </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十四、履约保证金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、本项目中标后的履约保证金为合同价的10%。</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napToGrid w:val="0"/>
        <w:spacing w:line="420" w:lineRule="exact"/>
        <w:ind w:firstLine="496" w:firstLineChars="206"/>
        <w:outlineLvl w:val="1"/>
        <w:rPr>
          <w:rFonts w:asciiTheme="minorEastAsia" w:hAnsiTheme="minorEastAsia" w:eastAsiaTheme="minorEastAsia"/>
          <w:bCs/>
          <w:sz w:val="24"/>
          <w:szCs w:val="24"/>
          <w:lang w:val="zh-CN"/>
        </w:rPr>
      </w:pPr>
      <w:r>
        <w:rPr>
          <w:rFonts w:hint="eastAsia" w:asciiTheme="minorEastAsia" w:hAnsiTheme="minorEastAsia" w:eastAsiaTheme="minorEastAsia"/>
          <w:b/>
          <w:sz w:val="24"/>
          <w:szCs w:val="24"/>
        </w:rPr>
        <w:t>十五、付款方式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【特别提醒】付款方式不接受负偏离及任何意图改变付款方式的意图表达，否则作无效投标处理。</w:t>
      </w:r>
    </w:p>
    <w:p>
      <w:pPr>
        <w:numPr>
          <w:ilvl w:val="0"/>
          <w:numId w:val="3"/>
        </w:numPr>
        <w:snapToGrid w:val="0"/>
        <w:spacing w:line="420" w:lineRule="exact"/>
        <w:ind w:firstLine="480" w:firstLineChars="200"/>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付款方</w:t>
      </w:r>
      <w:r>
        <w:rPr>
          <w:rFonts w:hint="eastAsia" w:asciiTheme="minorEastAsia" w:hAnsiTheme="minorEastAsia" w:eastAsiaTheme="minorEastAsia"/>
          <w:bCs/>
          <w:sz w:val="24"/>
          <w:szCs w:val="24"/>
          <w:lang w:val="zh-CN"/>
        </w:rPr>
        <w:t>式：车辆验收合格上牌后7个工作日内，付清全款</w:t>
      </w:r>
      <w:r>
        <w:rPr>
          <w:rFonts w:ascii="宋体" w:hAnsi="宋体" w:eastAsia="宋体" w:cs="宋体"/>
          <w:sz w:val="24"/>
          <w:szCs w:val="24"/>
        </w:rPr>
        <w:t>。</w:t>
      </w:r>
    </w:p>
    <w:p>
      <w:pPr>
        <w:snapToGrid w:val="0"/>
        <w:spacing w:line="420" w:lineRule="exact"/>
        <w:ind w:firstLine="480" w:firstLineChars="200"/>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2、最终以双方签订的采购合同内确定的付款结算条款为准。</w:t>
      </w:r>
    </w:p>
    <w:p>
      <w:pPr>
        <w:snapToGrid w:val="0"/>
        <w:spacing w:line="42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十</w:t>
      </w:r>
      <w:r>
        <w:rPr>
          <w:rFonts w:hint="eastAsia" w:asciiTheme="minorEastAsia" w:hAnsiTheme="minorEastAsia" w:eastAsiaTheme="minorEastAsia"/>
          <w:b/>
          <w:sz w:val="24"/>
          <w:szCs w:val="24"/>
        </w:rPr>
        <w:t>六</w:t>
      </w:r>
      <w:r>
        <w:rPr>
          <w:rFonts w:hint="eastAsia" w:asciiTheme="minorEastAsia" w:hAnsiTheme="minorEastAsia" w:eastAsiaTheme="minorEastAsia"/>
          <w:b/>
          <w:sz w:val="24"/>
          <w:szCs w:val="24"/>
          <w:lang w:val="zh-CN"/>
        </w:rPr>
        <w:t>、服务量的调整及结算方式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如因招标人实际需求，采购的货物数量发生变化，中标人须无条件满足招标人要求，确保货物质量；结算时按招标人确认的实际货物量进行结算，项目综合单价不变。</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十七、代理服务费</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1、中标单位中标后向代理公司支付招标代理服务费和专家评审费，招标代理服务费为</w:t>
      </w:r>
      <w:r>
        <w:rPr>
          <w:rFonts w:hint="eastAsia" w:asciiTheme="minorEastAsia" w:hAnsiTheme="minorEastAsia" w:eastAsiaTheme="minorEastAsia"/>
          <w:sz w:val="24"/>
          <w:szCs w:val="24"/>
          <w:lang w:val="en-US" w:eastAsia="zh-CN"/>
        </w:rPr>
        <w:t>3000</w:t>
      </w:r>
      <w:r>
        <w:rPr>
          <w:rFonts w:hint="eastAsia" w:asciiTheme="minorEastAsia" w:hAnsiTheme="minorEastAsia" w:eastAsiaTheme="minorEastAsia"/>
          <w:sz w:val="24"/>
          <w:szCs w:val="24"/>
        </w:rPr>
        <w:t>元，专家评审费另按实结算。</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2、投标人自行考虑包含在投标总价内的该项费用及风险并将其综合在单价内，不得单列。</w:t>
      </w:r>
    </w:p>
    <w:p>
      <w:pPr>
        <w:snapToGrid w:val="0"/>
        <w:spacing w:line="440" w:lineRule="exact"/>
        <w:ind w:firstLine="480" w:firstLineChars="200"/>
        <w:rPr>
          <w:rFonts w:asciiTheme="minorEastAsia" w:hAnsiTheme="minorEastAsia" w:eastAsiaTheme="minorEastAsia"/>
          <w:sz w:val="21"/>
          <w:szCs w:val="21"/>
        </w:rPr>
      </w:pPr>
      <w:r>
        <w:rPr>
          <w:rFonts w:hint="eastAsia" w:asciiTheme="minorEastAsia" w:hAnsiTheme="minorEastAsia" w:eastAsiaTheme="minorEastAsia"/>
          <w:sz w:val="24"/>
          <w:szCs w:val="24"/>
        </w:rPr>
        <w:t>3、代理服务费应在中标通知书发出时一次性付清。</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十八、未尽事宜</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按相关的法律法规执行。</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bookmarkStart w:id="3" w:name="_Toc363573855"/>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第三章</w:t>
      </w:r>
      <w:r>
        <w:rPr>
          <w:rFonts w:asciiTheme="minorEastAsia" w:hAnsiTheme="minorEastAsia" w:eastAsiaTheme="minorEastAsia"/>
          <w:b/>
          <w:w w:val="80"/>
          <w:sz w:val="32"/>
          <w:szCs w:val="32"/>
        </w:rPr>
        <w:t xml:space="preserve">  </w:t>
      </w:r>
      <w:r>
        <w:rPr>
          <w:rFonts w:hint="eastAsia" w:asciiTheme="minorEastAsia" w:hAnsiTheme="minorEastAsia" w:eastAsiaTheme="minorEastAsia"/>
          <w:b/>
          <w:w w:val="80"/>
          <w:sz w:val="32"/>
          <w:szCs w:val="32"/>
        </w:rPr>
        <w:t>项目需求</w:t>
      </w:r>
      <w:bookmarkEnd w:id="3"/>
    </w:p>
    <w:p>
      <w:pPr>
        <w:snapToGrid w:val="0"/>
        <w:spacing w:line="360" w:lineRule="exact"/>
        <w:ind w:firstLine="482" w:firstLineChars="200"/>
        <w:rPr>
          <w:rFonts w:hint="eastAsia" w:asciiTheme="minorEastAsia" w:hAnsiTheme="minorEastAsia" w:eastAsiaTheme="minorEastAsia" w:cstheme="minorEastAsia"/>
          <w:b/>
          <w:bCs/>
          <w:sz w:val="24"/>
          <w:szCs w:val="24"/>
        </w:rPr>
      </w:pPr>
      <w:bookmarkStart w:id="4" w:name="_Toc13543213"/>
      <w:r>
        <w:rPr>
          <w:rFonts w:hint="eastAsia" w:asciiTheme="minorEastAsia" w:hAnsiTheme="minorEastAsia" w:eastAsiaTheme="minorEastAsia" w:cstheme="minorEastAsia"/>
          <w:b/>
          <w:bCs/>
          <w:sz w:val="24"/>
          <w:szCs w:val="24"/>
        </w:rPr>
        <w:t>一、采购清单</w:t>
      </w:r>
    </w:p>
    <w:tbl>
      <w:tblPr>
        <w:tblStyle w:val="58"/>
        <w:tblpPr w:leftFromText="180" w:rightFromText="180" w:vertAnchor="text" w:horzAnchor="page" w:tblpX="2283" w:tblpY="3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11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pPr>
              <w:spacing w:line="360" w:lineRule="exact"/>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序号</w:t>
            </w:r>
          </w:p>
        </w:tc>
        <w:tc>
          <w:tcPr>
            <w:tcW w:w="4111"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3453"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vAlign w:val="center"/>
          </w:tcPr>
          <w:p>
            <w:pPr>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411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防弹运钞车（</w:t>
            </w:r>
            <w:r>
              <w:rPr>
                <w:rFonts w:hint="eastAsia" w:asciiTheme="minorEastAsia" w:hAnsiTheme="minorEastAsia" w:eastAsiaTheme="minorEastAsia" w:cstheme="minorEastAsia"/>
                <w:sz w:val="24"/>
                <w:szCs w:val="24"/>
                <w:lang w:eastAsia="zh-CN"/>
              </w:rPr>
              <w:t>低</w:t>
            </w:r>
            <w:r>
              <w:rPr>
                <w:rFonts w:hint="eastAsia" w:asciiTheme="minorEastAsia" w:hAnsiTheme="minorEastAsia" w:eastAsiaTheme="minorEastAsia" w:cstheme="minorEastAsia"/>
                <w:spacing w:val="-2"/>
                <w:sz w:val="24"/>
                <w:szCs w:val="24"/>
                <w:lang w:eastAsia="zh-CN"/>
              </w:rPr>
              <w:t>顶方厢型燃油车</w:t>
            </w:r>
            <w:r>
              <w:rPr>
                <w:rFonts w:hint="eastAsia" w:asciiTheme="minorEastAsia" w:hAnsiTheme="minorEastAsia" w:eastAsiaTheme="minorEastAsia" w:cstheme="minorEastAsia"/>
                <w:sz w:val="24"/>
                <w:szCs w:val="24"/>
              </w:rPr>
              <w:t>）</w:t>
            </w:r>
          </w:p>
        </w:tc>
        <w:tc>
          <w:tcPr>
            <w:tcW w:w="3453"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辆</w:t>
            </w:r>
          </w:p>
        </w:tc>
      </w:tr>
    </w:tbl>
    <w:p>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sz w:val="24"/>
          <w:szCs w:val="24"/>
        </w:rPr>
        <w:t>基本要求</w:t>
      </w:r>
    </w:p>
    <w:p>
      <w:pPr>
        <w:spacing w:line="360" w:lineRule="exact"/>
        <w:ind w:firstLine="480" w:firstLineChars="200"/>
        <w:rPr>
          <w:rFonts w:hint="eastAsia" w:asciiTheme="minorEastAsia" w:hAnsiTheme="minorEastAsia" w:eastAsiaTheme="minorEastAsia" w:cstheme="minorEastAsia"/>
          <w:sz w:val="24"/>
          <w:szCs w:val="24"/>
        </w:rPr>
      </w:pPr>
    </w:p>
    <w:p>
      <w:pPr>
        <w:spacing w:line="360" w:lineRule="exact"/>
        <w:ind w:firstLine="480" w:firstLineChars="200"/>
        <w:rPr>
          <w:rFonts w:hint="eastAsia" w:asciiTheme="minorEastAsia" w:hAnsiTheme="minorEastAsia" w:eastAsiaTheme="minorEastAsia" w:cstheme="minorEastAsia"/>
          <w:sz w:val="24"/>
          <w:szCs w:val="24"/>
        </w:rPr>
      </w:pPr>
    </w:p>
    <w:p>
      <w:pPr>
        <w:spacing w:line="360" w:lineRule="exact"/>
        <w:ind w:firstLine="480" w:firstLineChars="200"/>
        <w:rPr>
          <w:rFonts w:hint="eastAsia" w:asciiTheme="minorEastAsia" w:hAnsiTheme="minorEastAsia" w:eastAsiaTheme="minorEastAsia" w:cstheme="minorEastAsia"/>
          <w:sz w:val="24"/>
          <w:szCs w:val="24"/>
        </w:rPr>
      </w:pP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招标人使用要求，保证能通过招标人的质量验收、竣工验收等各类验收。</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应保证招标人在使用其所供货物时不受第三方提出侵犯其专利权、著作权和工业产权等知识产权的起诉。一旦出现侵权，一律由投标人承担全部责任。同时，投标人对招标人采购的货物所涉及的技术、产能等信息负有保密义务。</w:t>
      </w: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3.投标人中标后须与招标人在投标产品的“功能配置、技术要求等”方面及时交底沟通；中标人开始制造产品之前，招标人有权要求中标人对产品进行微调，最终的产品须经招标人确认同意。</w:t>
      </w:r>
    </w:p>
    <w:p>
      <w:pPr>
        <w:snapToGrid w:val="0"/>
        <w:spacing w:line="360" w:lineRule="exact"/>
        <w:ind w:firstLine="482"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三、技术要求</w:t>
      </w:r>
    </w:p>
    <w:p>
      <w:pPr>
        <w:spacing w:line="440" w:lineRule="exact"/>
        <w:ind w:left="520" w:left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低</w:t>
      </w:r>
      <w:r>
        <w:rPr>
          <w:rFonts w:hint="eastAsia" w:asciiTheme="minorEastAsia" w:hAnsiTheme="minorEastAsia" w:eastAsiaTheme="minorEastAsia" w:cstheme="minorEastAsia"/>
          <w:color w:val="auto"/>
          <w:sz w:val="24"/>
          <w:szCs w:val="24"/>
        </w:rPr>
        <w:t>顶方厢型燃油车技术参数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4台</w:t>
      </w:r>
      <w:r>
        <w:rPr>
          <w:rFonts w:hint="eastAsia" w:asciiTheme="minorEastAsia" w:hAnsiTheme="minorEastAsia" w:eastAsiaTheme="minorEastAsia" w:cstheme="minorEastAsia"/>
          <w:color w:val="auto"/>
          <w:sz w:val="24"/>
          <w:szCs w:val="24"/>
          <w:lang w:eastAsia="zh-CN"/>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249"/>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ind w:firstLine="0" w:firstLineChars="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序号</w:t>
            </w:r>
          </w:p>
        </w:tc>
        <w:tc>
          <w:tcPr>
            <w:tcW w:w="2249" w:type="dxa"/>
            <w:vAlign w:val="center"/>
          </w:tcPr>
          <w:p>
            <w:pPr>
              <w:pStyle w:val="32"/>
              <w:ind w:firstLine="0" w:firstLineChars="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名称</w:t>
            </w:r>
          </w:p>
        </w:tc>
        <w:tc>
          <w:tcPr>
            <w:tcW w:w="5196" w:type="dxa"/>
            <w:vAlign w:val="center"/>
          </w:tcPr>
          <w:p>
            <w:pPr>
              <w:pStyle w:val="32"/>
              <w:ind w:firstLine="0" w:firstLineChars="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底盘型号</w:t>
            </w:r>
          </w:p>
        </w:tc>
        <w:tc>
          <w:tcPr>
            <w:tcW w:w="5196" w:type="dxa"/>
            <w:vAlign w:val="center"/>
          </w:tcPr>
          <w:p>
            <w:pPr>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JX1045</w:t>
            </w:r>
            <w:r>
              <w:rPr>
                <w:rFonts w:asciiTheme="minorEastAsia" w:hAnsiTheme="minorEastAsia" w:eastAsiaTheme="minorEastAsia" w:cstheme="minorEastAsia"/>
                <w:color w:val="auto"/>
                <w:spacing w:val="4"/>
                <w:sz w:val="24"/>
                <w:szCs w:val="24"/>
              </w:rPr>
              <w:t>TJC26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驱动形式</w:t>
            </w:r>
          </w:p>
        </w:tc>
        <w:tc>
          <w:tcPr>
            <w:tcW w:w="5196" w:type="dxa"/>
            <w:vAlign w:val="center"/>
          </w:tcPr>
          <w:p>
            <w:pPr>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整车外形 （mm）（长×宽×高）±30</w:t>
            </w:r>
          </w:p>
        </w:tc>
        <w:tc>
          <w:tcPr>
            <w:tcW w:w="5196" w:type="dxa"/>
            <w:vAlign w:val="center"/>
          </w:tcPr>
          <w:p>
            <w:pPr>
              <w:jc w:val="left"/>
              <w:rPr>
                <w:rFonts w:hint="default" w:asciiTheme="minorEastAsia" w:hAnsiTheme="minorEastAsia" w:eastAsiaTheme="minorEastAsia" w:cstheme="minorEastAsia"/>
                <w:color w:val="auto"/>
                <w:spacing w:val="4"/>
                <w:sz w:val="24"/>
                <w:szCs w:val="24"/>
                <w:lang w:val="en-US" w:eastAsia="zh-CN"/>
              </w:rPr>
            </w:pPr>
            <w:r>
              <w:rPr>
                <w:rFonts w:hint="eastAsia" w:asciiTheme="minorEastAsia" w:hAnsiTheme="minorEastAsia" w:eastAsiaTheme="minorEastAsia" w:cstheme="minorEastAsia"/>
                <w:color w:val="auto"/>
                <w:spacing w:val="4"/>
                <w:sz w:val="24"/>
                <w:szCs w:val="24"/>
              </w:rPr>
              <w:t>5990（带前后保险杠）×2098×23</w:t>
            </w:r>
            <w:r>
              <w:rPr>
                <w:rFonts w:hint="eastAsia" w:asciiTheme="minorEastAsia" w:hAnsiTheme="minorEastAsia" w:eastAsiaTheme="minorEastAsia" w:cstheme="minorEastAsia"/>
                <w:color w:val="auto"/>
                <w:spacing w:val="4"/>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钞厢尺寸(mm) (长×宽×高)±30</w:t>
            </w:r>
          </w:p>
        </w:tc>
        <w:tc>
          <w:tcPr>
            <w:tcW w:w="5196" w:type="dxa"/>
            <w:vAlign w:val="center"/>
          </w:tcPr>
          <w:p>
            <w:pPr>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2180×1980×1</w:t>
            </w:r>
            <w:r>
              <w:rPr>
                <w:rFonts w:hint="eastAsia" w:asciiTheme="minorEastAsia" w:hAnsiTheme="minorEastAsia" w:eastAsiaTheme="minorEastAsia" w:cstheme="minorEastAsia"/>
                <w:color w:val="auto"/>
                <w:spacing w:val="4"/>
                <w:sz w:val="24"/>
                <w:szCs w:val="24"/>
                <w:lang w:val="en-US" w:eastAsia="zh-CN"/>
              </w:rPr>
              <w:t>415</w:t>
            </w:r>
            <w:r>
              <w:rPr>
                <w:rFonts w:hint="eastAsia" w:asciiTheme="minorEastAsia" w:hAnsiTheme="minorEastAsia" w:eastAsiaTheme="minorEastAsia" w:cstheme="minorEastAsia"/>
                <w:color w:val="auto"/>
                <w:spacing w:val="4"/>
                <w:sz w:val="24"/>
                <w:szCs w:val="24"/>
              </w:rPr>
              <w:t>(单层门)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钞厢容积（m</w:t>
            </w:r>
            <w:r>
              <w:rPr>
                <w:rFonts w:hint="eastAsia" w:asciiTheme="minorEastAsia" w:hAnsiTheme="minorEastAsia" w:eastAsiaTheme="minorEastAsia" w:cstheme="minorEastAsia"/>
                <w:color w:val="auto"/>
                <w:spacing w:val="4"/>
                <w:sz w:val="24"/>
                <w:szCs w:val="24"/>
                <w:vertAlign w:val="superscript"/>
              </w:rPr>
              <w:t>3</w:t>
            </w:r>
            <w:r>
              <w:rPr>
                <w:rFonts w:hint="eastAsia" w:asciiTheme="minorEastAsia" w:hAnsiTheme="minorEastAsia" w:eastAsiaTheme="minorEastAsia" w:cstheme="minorEastAsia"/>
                <w:color w:val="auto"/>
                <w:spacing w:val="4"/>
                <w:sz w:val="24"/>
                <w:szCs w:val="24"/>
              </w:rPr>
              <w:t>）</w:t>
            </w:r>
          </w:p>
        </w:tc>
        <w:tc>
          <w:tcPr>
            <w:tcW w:w="5196"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w:t>
            </w:r>
            <w:r>
              <w:rPr>
                <w:rFonts w:asciiTheme="minorEastAsia" w:hAnsiTheme="minorEastAsia" w:eastAsiaTheme="minorEastAsia" w:cstheme="minorEastAsia"/>
                <w:color w:val="auto"/>
                <w:spacing w:val="4"/>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整备质量(kg)</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w:t>
            </w:r>
            <w:r>
              <w:rPr>
                <w:rFonts w:asciiTheme="minorEastAsia" w:hAnsiTheme="minorEastAsia" w:eastAsiaTheme="minorEastAsia" w:cstheme="minorEastAsia"/>
                <w:color w:val="auto"/>
                <w:spacing w:val="4"/>
                <w:sz w:val="24"/>
                <w:szCs w:val="24"/>
              </w:rPr>
              <w:t>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总质量(kg)</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额定载质量(kg)(含乘员)</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驾驶室准乘人数(人)</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发动机型号及型式</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JX</w:t>
            </w:r>
            <w:r>
              <w:rPr>
                <w:rFonts w:asciiTheme="minorEastAsia" w:hAnsiTheme="minorEastAsia" w:eastAsiaTheme="minorEastAsia" w:cstheme="minorEastAsia"/>
                <w:color w:val="auto"/>
                <w:spacing w:val="4"/>
                <w:sz w:val="24"/>
                <w:szCs w:val="24"/>
              </w:rPr>
              <w:t xml:space="preserve">4D20A6H  </w:t>
            </w:r>
            <w:r>
              <w:rPr>
                <w:rFonts w:hint="eastAsia" w:asciiTheme="minorEastAsia" w:hAnsiTheme="minorEastAsia" w:eastAsiaTheme="minorEastAsia" w:cstheme="minorEastAsia"/>
                <w:color w:val="auto"/>
                <w:spacing w:val="4"/>
                <w:sz w:val="24"/>
                <w:szCs w:val="24"/>
              </w:rPr>
              <w:t>增压中冷、高压共轨柴油机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排量(L)</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≥2.</w:t>
            </w:r>
            <w:r>
              <w:rPr>
                <w:rFonts w:asciiTheme="minorEastAsia" w:hAnsiTheme="minorEastAsia" w:eastAsiaTheme="minorEastAsia" w:cstheme="minorEastAsia"/>
                <w:color w:val="auto"/>
                <w:spacing w:val="4"/>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排放标准</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国VI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额定功率(kW)</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asciiTheme="minorEastAsia" w:hAnsiTheme="minorEastAsia" w:eastAsiaTheme="minorEastAsia" w:cstheme="minorEastAsia"/>
                <w:color w:val="auto"/>
                <w:spacing w:val="4"/>
                <w:sz w:val="24"/>
                <w:szCs w:val="24"/>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最大扭矩(N.m)</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轮距(前/后)(mm)</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1745/1642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轴距(mm)</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≥33</w:t>
            </w:r>
            <w:r>
              <w:rPr>
                <w:rFonts w:asciiTheme="minorEastAsia" w:hAnsiTheme="minorEastAsia" w:eastAsiaTheme="minorEastAsia" w:cstheme="minorEastAsia"/>
                <w:color w:val="auto"/>
                <w:spacing w:val="4"/>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spacing w:line="36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最高车速 (km/h)</w:t>
            </w:r>
          </w:p>
        </w:tc>
        <w:tc>
          <w:tcPr>
            <w:tcW w:w="5196" w:type="dxa"/>
            <w:vAlign w:val="center"/>
          </w:tcPr>
          <w:p>
            <w:pPr>
              <w:spacing w:line="360" w:lineRule="exac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spacing w:line="360" w:lineRule="exact"/>
              <w:jc w:val="left"/>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轮胎规格</w:t>
            </w:r>
          </w:p>
        </w:tc>
        <w:tc>
          <w:tcPr>
            <w:tcW w:w="5196"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185/75 R16C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2"/>
              <w:numPr>
                <w:ilvl w:val="0"/>
                <w:numId w:val="4"/>
              </w:numPr>
              <w:ind w:firstLine="0" w:firstLineChars="0"/>
              <w:jc w:val="center"/>
              <w:rPr>
                <w:rFonts w:asciiTheme="minorEastAsia" w:hAnsiTheme="minorEastAsia" w:eastAsiaTheme="minorEastAsia" w:cstheme="minorEastAsia"/>
                <w:color w:val="auto"/>
                <w:szCs w:val="24"/>
              </w:rPr>
            </w:pPr>
          </w:p>
        </w:tc>
        <w:tc>
          <w:tcPr>
            <w:tcW w:w="2249"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防护级别</w:t>
            </w:r>
          </w:p>
        </w:tc>
        <w:tc>
          <w:tcPr>
            <w:tcW w:w="5196" w:type="dxa"/>
            <w:vAlign w:val="center"/>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GA164-2018 A级防护及以上</w:t>
            </w:r>
          </w:p>
        </w:tc>
      </w:tr>
    </w:tbl>
    <w:p>
      <w:pPr>
        <w:pStyle w:val="32"/>
        <w:ind w:firstLine="504"/>
        <w:rPr>
          <w:rFonts w:asciiTheme="minorEastAsia" w:hAnsiTheme="minorEastAsia" w:eastAsiaTheme="minorEastAsia" w:cstheme="minorEastAsia"/>
          <w:color w:val="auto"/>
          <w:szCs w:val="24"/>
        </w:rPr>
      </w:pPr>
    </w:p>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配置要求：</w:t>
      </w:r>
    </w:p>
    <w:tbl>
      <w:tblPr>
        <w:tblStyle w:val="58"/>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6508"/>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25" w:type="dxa"/>
          </w:tcPr>
          <w:p>
            <w:pPr>
              <w:pStyle w:val="32"/>
              <w:ind w:firstLine="0" w:firstLineChars="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序号</w:t>
            </w:r>
          </w:p>
        </w:tc>
        <w:tc>
          <w:tcPr>
            <w:tcW w:w="6508" w:type="dxa"/>
          </w:tcPr>
          <w:p>
            <w:pPr>
              <w:pStyle w:val="32"/>
              <w:ind w:firstLine="0" w:firstLineChars="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名称</w:t>
            </w:r>
          </w:p>
        </w:tc>
        <w:tc>
          <w:tcPr>
            <w:tcW w:w="887" w:type="dxa"/>
          </w:tcPr>
          <w:p>
            <w:pPr>
              <w:pStyle w:val="32"/>
              <w:ind w:firstLine="0" w:firstLineChars="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收音机带USB接口</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前暖风</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前空调系统</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动力转向</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手动后视镜</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子午线轮胎</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ABS</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反光背心</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color w:val="auto"/>
                <w:szCs w:val="24"/>
              </w:rPr>
            </w:pPr>
          </w:p>
        </w:tc>
        <w:tc>
          <w:tcPr>
            <w:tcW w:w="6508" w:type="dxa"/>
          </w:tcPr>
          <w:p>
            <w:pPr>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后空调系统</w:t>
            </w:r>
          </w:p>
        </w:tc>
        <w:tc>
          <w:tcPr>
            <w:tcW w:w="887" w:type="dxa"/>
          </w:tcPr>
          <w:p>
            <w:pPr>
              <w:spacing w:line="36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遥控中控门锁</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pacing w:val="4"/>
                <w:sz w:val="24"/>
                <w:szCs w:val="24"/>
              </w:rPr>
              <w:t>手动天窗</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押运舱换气通道</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全车座椅安全带（两点式）</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押运舱3人连排座椅（右侧座位靠背可折叠）</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驾驶舱两侧电动升降式票据传递孔（兼射击孔）</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5吨级千斤顶</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尾门意外开启声光报警系统</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前防撞保险杠</w:t>
            </w:r>
            <w:r>
              <w:rPr>
                <w:rFonts w:hint="eastAsia" w:asciiTheme="minorEastAsia" w:hAnsiTheme="minorEastAsia" w:eastAsiaTheme="minorEastAsia" w:cstheme="minorEastAsia"/>
                <w:kern w:val="0"/>
                <w:sz w:val="24"/>
                <w:szCs w:val="24"/>
              </w:rPr>
              <w:t>（钢管制作、外协）</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后保险杠（带踏步）</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押运舱耐磨地板胶</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钞厢地板花纹钢板</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钞舱前滑门机械碰锁</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钞</w:t>
            </w:r>
            <w:r>
              <w:rPr>
                <w:rFonts w:hint="eastAsia" w:asciiTheme="minorEastAsia" w:hAnsiTheme="minorEastAsia" w:eastAsiaTheme="minorEastAsia" w:cstheme="minorEastAsia"/>
                <w:spacing w:val="4"/>
                <w:sz w:val="24"/>
                <w:szCs w:val="24"/>
              </w:rPr>
              <w:t>舱后门双机械锁/齿轮传动三向天地锁结构</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押运舱两侧射击孔</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押运舱右侧外开门</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单层单开式后保险门</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车门辅助支撑装置</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2kg灭火器一个</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kern w:val="0"/>
                <w:sz w:val="24"/>
                <w:szCs w:val="24"/>
              </w:rPr>
              <w:t>后尾门门框下平面及立面加铺花纹铝板</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停车楔（2个）</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前轮应急防爆装置</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车门开启声光警示器</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远程停驶/强制应急灯闪烁控制系统</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车载高清DVR---720P（六路摄像机，监控车前、车后、驾驶舱、运钞舱、车辆左右两侧）（吊屏）</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双向语音对讲及紧急报警</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4G图像传输</w:t>
            </w:r>
          </w:p>
        </w:tc>
        <w:tc>
          <w:tcPr>
            <w:tcW w:w="887" w:type="dxa"/>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2"/>
              <w:numPr>
                <w:ilvl w:val="0"/>
                <w:numId w:val="5"/>
              </w:numPr>
              <w:ind w:firstLine="0" w:firstLineChars="0"/>
              <w:jc w:val="center"/>
              <w:rPr>
                <w:rFonts w:asciiTheme="minorEastAsia" w:hAnsiTheme="minorEastAsia" w:eastAsiaTheme="minorEastAsia" w:cstheme="minorEastAsia"/>
                <w:szCs w:val="24"/>
              </w:rPr>
            </w:pPr>
          </w:p>
        </w:tc>
        <w:tc>
          <w:tcPr>
            <w:tcW w:w="6508" w:type="dxa"/>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GPS卫星定位</w:t>
            </w:r>
          </w:p>
        </w:tc>
        <w:tc>
          <w:tcPr>
            <w:tcW w:w="887" w:type="dxa"/>
          </w:tcPr>
          <w:p>
            <w:pPr>
              <w:spacing w:line="360" w:lineRule="exact"/>
              <w:jc w:val="center"/>
              <w:rPr>
                <w:rFonts w:asciiTheme="minorEastAsia" w:hAnsiTheme="minorEastAsia" w:eastAsiaTheme="minorEastAsia" w:cstheme="minorEastAsia"/>
                <w:sz w:val="24"/>
                <w:szCs w:val="24"/>
              </w:rPr>
            </w:pPr>
          </w:p>
        </w:tc>
      </w:tr>
    </w:tbl>
    <w:p>
      <w:pPr>
        <w:spacing w:line="360" w:lineRule="exact"/>
        <w:ind w:right="210"/>
        <w:jc w:val="left"/>
        <w:rPr>
          <w:rFonts w:hint="eastAsia" w:ascii="宋体" w:hAnsi="宋体" w:cs="宋体"/>
          <w:b/>
          <w:color w:val="FF0000"/>
          <w:szCs w:val="21"/>
        </w:rPr>
      </w:pP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四、报价方式</w:t>
      </w:r>
    </w:p>
    <w:p>
      <w:pPr>
        <w:tabs>
          <w:tab w:val="left" w:pos="284"/>
        </w:tabs>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本项目投标报价为</w:t>
      </w:r>
      <w:r>
        <w:rPr>
          <w:rFonts w:hint="eastAsia" w:asciiTheme="minorEastAsia" w:hAnsiTheme="minorEastAsia" w:eastAsiaTheme="minorEastAsia" w:cstheme="minorEastAsia"/>
          <w:b/>
          <w:bCs/>
          <w:sz w:val="24"/>
          <w:szCs w:val="24"/>
          <w:u w:val="single"/>
        </w:rPr>
        <w:t>固定总价</w:t>
      </w:r>
      <w:r>
        <w:rPr>
          <w:rFonts w:hint="eastAsia" w:asciiTheme="minorEastAsia" w:hAnsiTheme="minorEastAsia" w:eastAsiaTheme="minorEastAsia" w:cstheme="minorEastAsia"/>
          <w:sz w:val="24"/>
          <w:szCs w:val="24"/>
        </w:rPr>
        <w:t>，投标报价应包括招标文件所确定的招标范围相应货物和服务的供货、包装、运输、保险、辅助设备、安装调试、管理、维护（包括质保期内的一切维修、保养、更换零部件、人工等伴随服务）、售后服务、劳务、培训、验收、办公设备、设备、工具、耗材、运送工具及耗材、利润、风险、商检费、税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招标代理服务费</w:t>
      </w:r>
      <w:r>
        <w:rPr>
          <w:rFonts w:hint="eastAsia" w:asciiTheme="minorEastAsia" w:hAnsiTheme="minorEastAsia" w:eastAsiaTheme="minorEastAsia" w:cstheme="minorEastAsia"/>
          <w:sz w:val="24"/>
          <w:szCs w:val="24"/>
        </w:rPr>
        <w:t>及政策性文件规定等各项应有费用，以及为完成该项货物或者服务项目所涉及到的一切相关费用，招标人不再支付其他任何费用。安装、调试、验收过程中，如发现有漏项、缺件，中标人应无条件、无偿补齐，所发生的一切费用，视为已包含在投标人的报价之中，且并不因此而影响交付实际使用人的时间。</w:t>
      </w: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五、交货期及交货地点</w:t>
      </w:r>
    </w:p>
    <w:p>
      <w:pPr>
        <w:spacing w:line="360" w:lineRule="exact"/>
        <w:ind w:right="21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1、交货日期：自合同签订之日起 50 天内完成供货、安装、调试。</w:t>
      </w:r>
    </w:p>
    <w:p>
      <w:pPr>
        <w:spacing w:line="360" w:lineRule="exact"/>
        <w:ind w:right="21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2、交货地点：招标人指定地点。</w:t>
      </w: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六、验收标准</w:t>
      </w:r>
    </w:p>
    <w:p>
      <w:pPr>
        <w:adjustRightInd w:val="0"/>
        <w:snapToGrid w:val="0"/>
        <w:spacing w:line="360" w:lineRule="exact"/>
        <w:ind w:right="21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1.按照国家3C强制认证、《机动车运行安全技术条件》（GB7258-2019）及《专用运钞车防护技术条件》（GA164-2018）的规定标准验收，中标人予以配合。</w:t>
      </w:r>
    </w:p>
    <w:p>
      <w:pPr>
        <w:adjustRightInd w:val="0"/>
        <w:snapToGrid w:val="0"/>
        <w:spacing w:line="360" w:lineRule="exact"/>
        <w:ind w:right="210"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所有车辆（包括零部件）须为全新的、未使用过的原装正品，中标人所提供的货物在验收时，应提供发票、产品合格证书、配件清单等,涉及进口的产品、部件、配件等须提供中国海关进口货物报关单、完税证明及商检证明等材料；提供有关车辆的操作规程和使用说明书，维护手册、保养修理所需的各种随车工具及相关设计、制造、检验、安装、技术性指导等文件和确保车辆上牌所需的应由中标人提供的必要文件。</w:t>
      </w: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七、质保期及售后服务</w:t>
      </w:r>
    </w:p>
    <w:p>
      <w:pPr>
        <w:spacing w:line="360" w:lineRule="exact"/>
        <w:ind w:firstLine="480" w:firstLineChars="200"/>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rPr>
        <w:t>（一）质保期：整车保修</w:t>
      </w:r>
      <w:r>
        <w:rPr>
          <w:rFonts w:hint="eastAsia" w:asciiTheme="minorEastAsia" w:hAnsiTheme="minorEastAsia" w:eastAsiaTheme="minorEastAsia" w:cstheme="minorEastAsia"/>
          <w:color w:val="auto"/>
          <w:sz w:val="24"/>
          <w:szCs w:val="24"/>
          <w:lang w:val="en-US" w:eastAsia="zh-CN"/>
        </w:rPr>
        <w:t>期为两年或六万公里（二者任一条件先到为准。）</w:t>
      </w:r>
      <w:r>
        <w:rPr>
          <w:rFonts w:hint="eastAsia" w:asciiTheme="minorEastAsia" w:hAnsiTheme="minorEastAsia" w:eastAsiaTheme="minorEastAsia" w:cstheme="minorEastAsia"/>
          <w:color w:val="auto"/>
          <w:sz w:val="24"/>
          <w:szCs w:val="24"/>
        </w:rPr>
        <w:t>自验收合格之日起算。</w:t>
      </w:r>
      <w:r>
        <w:rPr>
          <w:rFonts w:hint="eastAsia" w:asciiTheme="minorEastAsia" w:hAnsiTheme="minorEastAsia" w:eastAsiaTheme="minorEastAsia" w:cstheme="minorEastAsia"/>
          <w:bCs/>
          <w:color w:val="auto"/>
          <w:sz w:val="24"/>
          <w:szCs w:val="24"/>
        </w:rPr>
        <w:t>中标人对质保期内所发生的设备</w:t>
      </w:r>
      <w:r>
        <w:rPr>
          <w:rFonts w:hint="eastAsia" w:asciiTheme="minorEastAsia" w:hAnsiTheme="minorEastAsia" w:eastAsiaTheme="minorEastAsia" w:cstheme="minorEastAsia"/>
          <w:bCs/>
          <w:color w:val="auto"/>
          <w:sz w:val="24"/>
          <w:szCs w:val="24"/>
          <w:lang w:val="en-US" w:eastAsia="zh-CN"/>
        </w:rPr>
        <w:t>质量问题因此产生</w:t>
      </w:r>
      <w:r>
        <w:rPr>
          <w:rFonts w:hint="eastAsia" w:asciiTheme="minorEastAsia" w:hAnsiTheme="minorEastAsia" w:eastAsiaTheme="minorEastAsia" w:cstheme="minorEastAsia"/>
          <w:bCs/>
          <w:color w:val="auto"/>
          <w:sz w:val="24"/>
          <w:szCs w:val="24"/>
        </w:rPr>
        <w:t>维修</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更换等一切费用负责。</w:t>
      </w:r>
    </w:p>
    <w:p>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（二）售后服务</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1.所有的售后服务均由中标人受理。如果发生问题并且收到报告，中标人应当在2小时内予以答复。</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2.如发现所提供的车辆存在问题，需要中标人解决或配合解决时，应在接到通知后2小时内派有关人员到达现场，在6小时内排除故障。</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3.中标人派往招标人现场的人员，应具有较高的业务素质，现场解决问题时，不得无故拖延或推迟，应为招标人提供最佳的服务。</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4.中标人必须无偿向招标人提供操作维护培训，直至其能熟练独立操作及日常维护与保养，简单故障诊断与排除。</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5.在质保期内因设备质量问题造成的设备故障和零部件损坏，供应商应无条件维修和/或更换，更换的零部件质保期顺延。</w:t>
      </w:r>
    </w:p>
    <w:p>
      <w:pPr>
        <w:spacing w:line="3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八、付款方式</w:t>
      </w:r>
    </w:p>
    <w:p>
      <w:pPr>
        <w:spacing w:line="3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车辆验收合格上牌后7个工作日内，付清全款。</w:t>
      </w:r>
    </w:p>
    <w:p>
      <w:pPr>
        <w:jc w:val="center"/>
        <w:rPr>
          <w:rFonts w:ascii="宋体" w:hAnsi="宋体" w:cs="宋体"/>
          <w:b/>
        </w:rPr>
      </w:pPr>
    </w:p>
    <w:p>
      <w:pPr>
        <w:jc w:val="center"/>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 xml:space="preserve">第四章  </w:t>
      </w:r>
      <w:bookmarkStart w:id="5" w:name="_Toc182848996"/>
      <w:r>
        <w:rPr>
          <w:rFonts w:hint="eastAsia" w:asciiTheme="minorEastAsia" w:hAnsiTheme="minorEastAsia" w:eastAsiaTheme="minorEastAsia"/>
          <w:b/>
          <w:w w:val="80"/>
          <w:sz w:val="32"/>
          <w:szCs w:val="32"/>
        </w:rPr>
        <w:t>评审程序和方法</w:t>
      </w:r>
    </w:p>
    <w:bookmarkEnd w:id="5"/>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一、评标小组组成</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1、依法成立评标委员会，成员人数为</w:t>
      </w:r>
      <w:r>
        <w:rPr>
          <w:rFonts w:hint="eastAsia" w:asciiTheme="minorEastAsia" w:hAnsiTheme="minorEastAsia" w:eastAsiaTheme="minorEastAsia"/>
          <w:b/>
          <w:sz w:val="24"/>
          <w:szCs w:val="24"/>
        </w:rPr>
        <w:t>3</w:t>
      </w:r>
      <w:r>
        <w:rPr>
          <w:rFonts w:hint="eastAsia" w:asciiTheme="minorEastAsia" w:hAnsiTheme="minorEastAsia" w:eastAsiaTheme="minorEastAsia"/>
          <w:sz w:val="24"/>
          <w:szCs w:val="24"/>
        </w:rPr>
        <w:t>人或以上单数。</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二、评标小组的职责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评标小组负责具体的评审事务，并履行以下职责：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1、审查投标文件是否符合招标文件的要求，并做出评价；</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2、可以要求投标人对投标文件内的有关事项做出解释或澄清；</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3、推荐中标候选人或按次序排列的中标候选人名单；</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4、评标小组成员应当履行下列义务：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（1）遵纪守法，客观、公正、廉洁地履行职责；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（4）评审程序中的有关记录由评标小组成员签名，存档备查。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（6）评标小组成员在评审过程中受到非法干涉的，应当及时向财政、监察等部门举报。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（7）评标小组成员有义务及责任配合招标人答复投标人提出的质疑，配合财政部门的投诉处理和监督检查工作。</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三、开标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1、招标代理机构主持开标并记录，及时处理投标人代表提出的询问或者回避申请。</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2、投标人不足3家的不得开标。</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四、评审原则及方法</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1、评审程序：资格符合性评审→技术标评审→商务标评审→确定中标候选人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2、本项目采用</w:t>
      </w:r>
      <w:r>
        <w:rPr>
          <w:rFonts w:hint="eastAsia" w:asciiTheme="minorEastAsia" w:hAnsiTheme="minorEastAsia" w:eastAsiaTheme="minorEastAsia"/>
          <w:sz w:val="24"/>
          <w:szCs w:val="24"/>
          <w:u w:val="single"/>
        </w:rPr>
        <w:t xml:space="preserve">  综合评分法  </w:t>
      </w:r>
      <w:r>
        <w:rPr>
          <w:rFonts w:hint="eastAsia" w:asciiTheme="minorEastAsia" w:hAnsiTheme="minorEastAsia" w:eastAsiaTheme="minorEastAsia"/>
          <w:sz w:val="24"/>
          <w:szCs w:val="24"/>
        </w:rPr>
        <w:t>，即指投标文件满足本项目招标文件全部实质性要求，且按照评审因素的量化指标，经评审后得分最高的投标人推荐为中标人的评标方法。</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委员会成员：对符合资格的投标人的投标文件进行符合性审查，以确定其是否满足招标文件的实质性要求；按照招标文件中规定的评标方法和标准，对符合性审查合格的投标文件进行技术和商务评估，综合比较与评价。</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4、对投标文件的评审判定，只依据投标文件内容本身，不依靠开标后任何外来证明文件。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5、本次项目技术标和价格标评审总分值为100分。评审因素比重如下：</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（1）“技术标分值”占总分值的比重为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rPr>
        <w:t xml:space="preserve">0%（权重）  </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（2）“价格标分值”占总分值的比重为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30</w:t>
      </w:r>
      <w:r>
        <w:rPr>
          <w:rFonts w:hint="eastAsia" w:asciiTheme="minorEastAsia" w:hAnsiTheme="minorEastAsia" w:eastAsiaTheme="minorEastAsia"/>
          <w:sz w:val="24"/>
          <w:szCs w:val="24"/>
          <w:u w:val="single"/>
        </w:rPr>
        <w:t xml:space="preserve">%（权重）  </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6、评标委员会评委独立对每个进入打分程序的有效投标人的投标文件技术部分以打分的形式进行评审和评价（计算结果均四舍五入保留两位小数）。</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7、当评标委员会评委为5人以上的，技术分是在去掉一个最高分和一个最低分后均算而成，当评委少于5人（含5人）时，技术分按算术平均值计算，分值小数点后保留两位。</w:t>
      </w:r>
    </w:p>
    <w:p>
      <w:pPr>
        <w:snapToGrid w:val="0"/>
        <w:spacing w:line="420" w:lineRule="exact"/>
        <w:ind w:firstLine="484" w:firstLineChars="202"/>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8、开启投标人的商务报价标。</w:t>
      </w:r>
    </w:p>
    <w:p>
      <w:pPr>
        <w:snapToGrid w:val="0"/>
        <w:spacing w:line="420" w:lineRule="exact"/>
        <w:ind w:firstLine="484" w:firstLineChars="202"/>
        <w:rPr>
          <w:rFonts w:ascii="宋体" w:hAnsi="宋体" w:eastAsia="宋体" w:cs="宋体"/>
          <w:bCs/>
          <w:kern w:val="0"/>
          <w:sz w:val="24"/>
          <w:szCs w:val="24"/>
        </w:rPr>
      </w:pPr>
      <w:r>
        <w:rPr>
          <w:rFonts w:hint="eastAsia" w:asciiTheme="minorEastAsia" w:hAnsiTheme="minorEastAsia" w:eastAsiaTheme="minorEastAsia"/>
          <w:sz w:val="24"/>
          <w:szCs w:val="24"/>
        </w:rPr>
        <w:t>9、</w:t>
      </w:r>
      <w:r>
        <w:rPr>
          <w:rFonts w:hint="eastAsia" w:ascii="宋体" w:hAnsi="宋体" w:eastAsia="宋体" w:cs="宋体"/>
          <w:bCs/>
          <w:kern w:val="0"/>
          <w:sz w:val="24"/>
          <w:szCs w:val="24"/>
        </w:rPr>
        <w:t>取综合得分（综合得分为技术标得分、商务标得分的总和）第一名的作为第一中标候选人，中标价为其投标报价，如有异议则增补排名靠后的中标候选人替补。综合得分相同，以投标报价低的优先；投标报价也相同的，则由招标人采取现场抽签的方式确定中标候选人。</w:t>
      </w:r>
    </w:p>
    <w:p>
      <w:pPr>
        <w:snapToGrid w:val="0"/>
        <w:spacing w:line="420" w:lineRule="exact"/>
        <w:ind w:firstLine="484" w:firstLineChars="202"/>
        <w:rPr>
          <w:rFonts w:ascii="宋体" w:hAnsi="宋体" w:eastAsia="宋体" w:cs="宋体"/>
          <w:bCs/>
          <w:kern w:val="0"/>
          <w:sz w:val="24"/>
          <w:szCs w:val="24"/>
        </w:rPr>
      </w:pPr>
      <w:r>
        <w:rPr>
          <w:rFonts w:hint="eastAsia" w:ascii="宋体" w:hAnsi="宋体" w:eastAsia="宋体" w:cs="宋体"/>
          <w:bCs/>
          <w:kern w:val="0"/>
          <w:sz w:val="24"/>
          <w:szCs w:val="24"/>
        </w:rPr>
        <w:t>10、本工程第一名中标候选人原则上为中标人。当标候选人放弃中标、因不可抗力等原因不能履行合同或者被查实存在影响中标结果的违法行为等情形，不符合中标条件的，招标人可以按照评标委员会提出的中标候选人名单排序依次确定其他中标候选人为中标人，也可以重新招标。</w:t>
      </w:r>
    </w:p>
    <w:p>
      <w:pPr>
        <w:pStyle w:val="21"/>
        <w:spacing w:line="440" w:lineRule="exact"/>
        <w:rPr>
          <w:rFonts w:hint="eastAsia" w:asciiTheme="minorEastAsia" w:hAnsiTheme="minorEastAsia" w:eastAsiaTheme="minorEastAsia"/>
          <w:b w:val="0"/>
          <w:bCs/>
          <w:color w:val="0000FF"/>
          <w:sz w:val="24"/>
          <w:szCs w:val="24"/>
          <w:lang w:val="en-US" w:eastAsia="zh-CN"/>
        </w:rPr>
      </w:pPr>
      <w:r>
        <w:rPr>
          <w:rFonts w:hint="eastAsia" w:asciiTheme="minorEastAsia" w:hAnsiTheme="minorEastAsia" w:eastAsiaTheme="minorEastAsia"/>
          <w:b/>
          <w:sz w:val="24"/>
          <w:szCs w:val="24"/>
          <w:lang w:val="en-US" w:eastAsia="zh-CN"/>
        </w:rPr>
        <w:t xml:space="preserve"> </w:t>
      </w:r>
      <w:r>
        <w:rPr>
          <w:rFonts w:hint="eastAsia" w:asciiTheme="minorEastAsia" w:hAnsiTheme="minorEastAsia" w:eastAsiaTheme="minorEastAsia"/>
          <w:b/>
          <w:color w:val="0000FF"/>
          <w:sz w:val="24"/>
          <w:szCs w:val="24"/>
          <w:lang w:val="en-US" w:eastAsia="zh-CN"/>
        </w:rPr>
        <w:t xml:space="preserve"> </w:t>
      </w:r>
      <w:r>
        <w:rPr>
          <w:rFonts w:hint="eastAsia" w:asciiTheme="minorEastAsia" w:hAnsiTheme="minorEastAsia" w:eastAsiaTheme="minorEastAsia"/>
          <w:b w:val="0"/>
          <w:bCs/>
          <w:color w:val="0000FF"/>
          <w:sz w:val="24"/>
          <w:szCs w:val="24"/>
          <w:lang w:val="en-US" w:eastAsia="zh-CN"/>
        </w:rPr>
        <w:t xml:space="preserve">  11、注：重庆迪马工业有限责任公司已中本项目一标段，故不得参与本标段的投标。重庆金冠汽车制造股份有限公司自愿放弃中标该标段，故不得参与本标段二次招标的投标。</w:t>
      </w:r>
    </w:p>
    <w:p>
      <w:pPr>
        <w:pStyle w:val="21"/>
        <w:spacing w:line="440" w:lineRule="exact"/>
        <w:ind w:firstLine="482" w:firstLineChars="200"/>
        <w:rPr>
          <w:rFonts w:hint="default" w:asciiTheme="minorEastAsia" w:hAnsiTheme="minorEastAsia" w:eastAsiaTheme="minorEastAsia"/>
          <w:b/>
          <w:color w:val="0000FF"/>
          <w:sz w:val="24"/>
          <w:szCs w:val="24"/>
          <w:lang w:val="en-US" w:eastAsia="zh-CN"/>
        </w:rPr>
      </w:pPr>
      <w:r>
        <w:rPr>
          <w:rFonts w:hint="eastAsia" w:asciiTheme="minorEastAsia" w:hAnsiTheme="minorEastAsia" w:eastAsiaTheme="minorEastAsia"/>
          <w:b/>
          <w:color w:val="0000FF"/>
          <w:sz w:val="24"/>
          <w:szCs w:val="24"/>
          <w:lang w:val="en-US" w:eastAsia="zh-CN"/>
        </w:rPr>
        <w:t>12、若投标人不足3家的，及评审中出现符合专业条件的投标人或对招标文件作实质响应的投标人不足3家时，除招标任务取消外，招标人有权视情形选择继续开标或改变招标方式。</w:t>
      </w:r>
    </w:p>
    <w:p>
      <w:pPr>
        <w:pStyle w:val="21"/>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五、评审因素</w:t>
      </w:r>
    </w:p>
    <w:p>
      <w:pPr>
        <w:adjustRightInd w:val="0"/>
        <w:snapToGrid w:val="0"/>
        <w:spacing w:line="440" w:lineRule="exac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（一）技术标评审：（</w:t>
      </w:r>
      <w:r>
        <w:rPr>
          <w:rFonts w:hint="eastAsia" w:asciiTheme="minorEastAsia" w:hAnsiTheme="minorEastAsia" w:eastAsiaTheme="minorEastAsia"/>
          <w:b/>
          <w:sz w:val="24"/>
          <w:szCs w:val="24"/>
          <w:lang w:val="en-US" w:eastAsia="zh-CN"/>
        </w:rPr>
        <w:t>70</w:t>
      </w:r>
      <w:r>
        <w:rPr>
          <w:rFonts w:hint="eastAsia" w:asciiTheme="minorEastAsia" w:hAnsiTheme="minorEastAsia" w:eastAsiaTheme="minorEastAsia"/>
          <w:b/>
          <w:sz w:val="24"/>
          <w:szCs w:val="24"/>
        </w:rPr>
        <w:t>分）</w:t>
      </w:r>
    </w:p>
    <w:tbl>
      <w:tblPr>
        <w:tblStyle w:val="57"/>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543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评审类别</w:t>
            </w:r>
          </w:p>
        </w:tc>
        <w:tc>
          <w:tcPr>
            <w:tcW w:w="5431" w:type="dxa"/>
            <w:shd w:val="clear" w:color="auto" w:fill="auto"/>
            <w:vAlign w:val="center"/>
          </w:tcPr>
          <w:p>
            <w:pPr>
              <w:pStyle w:val="348"/>
              <w:spacing w:line="3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评审内容</w:t>
            </w:r>
          </w:p>
        </w:tc>
        <w:tc>
          <w:tcPr>
            <w:tcW w:w="1084" w:type="dxa"/>
            <w:shd w:val="clear" w:color="auto" w:fill="auto"/>
            <w:vAlign w:val="center"/>
          </w:tcPr>
          <w:p>
            <w:pPr>
              <w:pStyle w:val="348"/>
              <w:spacing w:line="3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w:t>
            </w:r>
          </w:p>
        </w:tc>
        <w:tc>
          <w:tcPr>
            <w:tcW w:w="5431" w:type="dxa"/>
            <w:shd w:val="clear" w:color="auto" w:fill="auto"/>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技术要求的符合性，即对提供货物的技术参数、配置、性能是否符合招标文件要求进行评价。符合技术要求的得</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分；技术参数中每有一项负偏离的，扣0.5分；扣完为止。</w:t>
            </w:r>
          </w:p>
          <w:p>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注：提供技术参数的相关证明材料（如相关厂家图册介绍等），并注明对应条款供评审小组评判，否则评审小组有权视相应技术参数负偏离。</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投标人业绩</w:t>
            </w:r>
          </w:p>
        </w:tc>
        <w:tc>
          <w:tcPr>
            <w:tcW w:w="5431" w:type="dxa"/>
            <w:shd w:val="clear" w:color="auto" w:fill="auto"/>
            <w:vAlign w:val="center"/>
          </w:tcPr>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w:t>
            </w: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年（自开标之日往前推算）以来投标人完成的类似本项目的业绩，每提供一份合同得3分，最高得9分。</w:t>
            </w:r>
          </w:p>
          <w:p>
            <w:pPr>
              <w:pStyle w:val="348"/>
              <w:spacing w:line="36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注：提供合同复印件并加盖投标人公章，否则不得分。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综合实力</w:t>
            </w:r>
          </w:p>
        </w:tc>
        <w:tc>
          <w:tcPr>
            <w:tcW w:w="5431" w:type="dxa"/>
            <w:shd w:val="clear" w:color="auto" w:fill="auto"/>
            <w:vAlign w:val="center"/>
          </w:tcPr>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1.投标人具有有效的质量管理体系认证、环境管理体系认证、职业健康安全管理体系认证的，每有一份得2分，最高得6分。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注：提供以上证书复印件及在官方网站上http://www.cnca.gov.cn/查询状态显示“有效”的截图，均需加盖投标人公章，否则不得分。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2.投标人具有有效的AAA级企业资信等级证书、五星级及以上售后服务体系认证证书的，每有一份得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分，最高得6分。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注：提供证书复印件并加盖投标人公章，否则不得分。</w:t>
            </w:r>
          </w:p>
          <w:p>
            <w:pPr>
              <w:pStyle w:val="348"/>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auto"/>
                <w:sz w:val="21"/>
                <w:szCs w:val="21"/>
              </w:rPr>
              <w:t>3.投标车辆具有公安部检测报告的，得2分。（提供复印件并加盖公章，否则不得分）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奖项荣誉</w:t>
            </w:r>
          </w:p>
        </w:tc>
        <w:tc>
          <w:tcPr>
            <w:tcW w:w="5431" w:type="dxa"/>
            <w:shd w:val="clear" w:color="auto" w:fill="auto"/>
            <w:vAlign w:val="center"/>
          </w:tcPr>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投标人获得过相关奖项荣誉的，每提供一份得2分，最高得4分。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注：提供奖项荣誉复印件并加盖公章，否则不得分。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实施方案</w:t>
            </w:r>
          </w:p>
        </w:tc>
        <w:tc>
          <w:tcPr>
            <w:tcW w:w="5431" w:type="dxa"/>
            <w:shd w:val="clear" w:color="auto" w:fill="auto"/>
          </w:tcPr>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根据供应商提供本项目实施方案，包括但不限于采购、生产、质检、运输、验收等。根据实施方案的全面性、完整性、科学性，由评审专家酌情评分。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项目实施方案全面周到、具有详细内容，可行性强的得8-6分；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项目实施方案较全面、有具体内容，有一定可行性的5-3分；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项目实施方案有内容，但欠全面，可行性较差的得2-1分；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质量保证</w:t>
            </w:r>
          </w:p>
        </w:tc>
        <w:tc>
          <w:tcPr>
            <w:tcW w:w="5431" w:type="dxa"/>
            <w:shd w:val="clear" w:color="auto" w:fill="auto"/>
            <w:vAlign w:val="center"/>
          </w:tcPr>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针对本项目的质量保证措施：保障措施科学、合理，质量目标明确，保证措施详尽，针对性强的得7-6分；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保障措施较科学、合理，质量目标较明确，保证措施较详尽，针对性较强的得5-3分；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措施简单、笼统，一般的得2-1分；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培训方案</w:t>
            </w:r>
          </w:p>
        </w:tc>
        <w:tc>
          <w:tcPr>
            <w:tcW w:w="5431" w:type="dxa"/>
            <w:shd w:val="clear" w:color="auto" w:fill="auto"/>
            <w:vAlign w:val="center"/>
          </w:tcPr>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提供产品操作及使用技术培训方案，培训方案科学、合理、内容全面、易于掌握：</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方案完整，架构完善，科学合理，有针对性得7-6分；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方案较完整，架构较完善，比较全面、科学的得5-3分；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方案完整程度一般，架构不够完善，缺乏科学性，内容欠缺较多的得2-1分；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w:t>
            </w:r>
          </w:p>
        </w:tc>
        <w:tc>
          <w:tcPr>
            <w:tcW w:w="5431" w:type="dxa"/>
            <w:shd w:val="clear" w:color="auto" w:fill="auto"/>
            <w:vAlign w:val="center"/>
          </w:tcPr>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根据项目实际需求，提供详细的售后服务方案，包括售后人员配置、技术能力和时间响应保障等方面；</w:t>
            </w:r>
          </w:p>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售后服务方案科学合理、有效、可靠，对本项目针对性强、具有实际可操作性的得8-6分；</w:t>
            </w:r>
          </w:p>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售后服务方案较为科学合理，能满足本项目需求的，且得5-3分；</w:t>
            </w:r>
          </w:p>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售后服务方案缺项，只有部分需求明确响应的得2-1分；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r>
    </w:tbl>
    <w:p>
      <w:pPr>
        <w:adjustRightInd w:val="0"/>
        <w:snapToGrid w:val="0"/>
        <w:spacing w:line="440" w:lineRule="exact"/>
        <w:ind w:firstLine="482" w:firstLineChars="200"/>
        <w:jc w:val="left"/>
        <w:outlineLvl w:val="4"/>
        <w:rPr>
          <w:rFonts w:hint="eastAsia" w:asciiTheme="minorEastAsia" w:hAnsiTheme="minorEastAsia" w:eastAsiaTheme="minorEastAsia"/>
          <w:b/>
          <w:sz w:val="24"/>
          <w:szCs w:val="24"/>
        </w:rPr>
      </w:pPr>
    </w:p>
    <w:p>
      <w:pPr>
        <w:adjustRightInd w:val="0"/>
        <w:snapToGrid w:val="0"/>
        <w:spacing w:line="440" w:lineRule="exact"/>
        <w:ind w:firstLine="482" w:firstLineChars="200"/>
        <w:jc w:val="lef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注：技术标评审涉及的相关证书、合同、证明材料等复印件需加盖公章。</w:t>
      </w:r>
    </w:p>
    <w:p>
      <w:pPr>
        <w:adjustRightInd w:val="0"/>
        <w:snapToGrid w:val="0"/>
        <w:spacing w:line="36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（二）价格标评分：（</w:t>
      </w:r>
      <w:r>
        <w:rPr>
          <w:rFonts w:hint="eastAsia" w:asciiTheme="minorEastAsia" w:hAnsiTheme="minorEastAsia" w:eastAsiaTheme="minorEastAsia"/>
          <w:b/>
          <w:sz w:val="24"/>
          <w:szCs w:val="24"/>
          <w:lang w:val="en-US" w:eastAsia="zh-CN"/>
        </w:rPr>
        <w:t>30</w:t>
      </w:r>
      <w:r>
        <w:rPr>
          <w:rFonts w:hint="eastAsia" w:asciiTheme="minorEastAsia" w:hAnsiTheme="minorEastAsia" w:eastAsiaTheme="minorEastAsia"/>
          <w:b/>
          <w:sz w:val="24"/>
          <w:szCs w:val="24"/>
        </w:rPr>
        <w:t>分）</w:t>
      </w:r>
    </w:p>
    <w:p>
      <w:pPr>
        <w:widowControl/>
        <w:spacing w:line="360" w:lineRule="auto"/>
        <w:ind w:firstLine="566" w:firstLineChars="236"/>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确定有效报价：</w:t>
      </w:r>
      <w:r>
        <w:rPr>
          <w:rFonts w:hint="eastAsia" w:ascii="宋体" w:hAnsi="宋体" w:eastAsia="宋体" w:cs="宋体"/>
          <w:bCs/>
          <w:kern w:val="0"/>
          <w:sz w:val="24"/>
          <w:szCs w:val="24"/>
        </w:rPr>
        <w:t>有效报价是指投标人投标报价低于或等于招标人设定的最高限价，投标报价高于最高限价的为无效报价，作废标处理。</w:t>
      </w:r>
    </w:p>
    <w:p>
      <w:pPr>
        <w:widowControl/>
        <w:spacing w:line="360" w:lineRule="auto"/>
        <w:ind w:firstLine="566" w:firstLineChars="236"/>
        <w:jc w:val="left"/>
        <w:rPr>
          <w:rFonts w:asciiTheme="minorEastAsia" w:hAnsiTheme="minorEastAsia" w:eastAsiaTheme="minorEastAsia"/>
          <w:sz w:val="24"/>
        </w:rPr>
      </w:pPr>
      <w:bookmarkStart w:id="6" w:name="_Hlk116650957"/>
      <w:r>
        <w:rPr>
          <w:rFonts w:hint="eastAsia" w:asciiTheme="minorEastAsia" w:hAnsiTheme="minorEastAsia" w:eastAsiaTheme="minorEastAsia"/>
          <w:sz w:val="24"/>
        </w:rPr>
        <w:t>2、</w:t>
      </w:r>
      <w:r>
        <w:rPr>
          <w:rFonts w:ascii="宋体" w:hAnsi="宋体" w:eastAsia="宋体"/>
          <w:sz w:val="24"/>
        </w:rPr>
        <w:t>确定评标基准价</w:t>
      </w:r>
      <w:r>
        <w:rPr>
          <w:rFonts w:hint="eastAsia" w:asciiTheme="minorEastAsia" w:hAnsiTheme="minorEastAsia" w:eastAsiaTheme="minorEastAsia"/>
          <w:sz w:val="24"/>
        </w:rPr>
        <w:t>：所有有效投标人投标报价的算术平均值为评标基准价。</w:t>
      </w:r>
    </w:p>
    <w:p>
      <w:pPr>
        <w:widowControl/>
        <w:spacing w:line="360" w:lineRule="auto"/>
        <w:ind w:firstLine="566" w:firstLineChars="236"/>
        <w:jc w:val="left"/>
        <w:rPr>
          <w:rFonts w:asciiTheme="minorEastAsia" w:hAnsiTheme="minorEastAsia" w:eastAsiaTheme="minorEastAsia"/>
          <w:sz w:val="24"/>
        </w:rPr>
      </w:pPr>
      <w:r>
        <w:rPr>
          <w:rFonts w:hint="eastAsia" w:ascii="宋体" w:hAnsi="宋体" w:eastAsia="宋体"/>
          <w:sz w:val="24"/>
        </w:rPr>
        <w:t>3、投标报价等于评标基准价的得</w:t>
      </w:r>
      <w:r>
        <w:rPr>
          <w:rFonts w:hint="eastAsia" w:ascii="宋体" w:hAnsi="宋体" w:eastAsia="宋体"/>
          <w:sz w:val="24"/>
          <w:lang w:val="en-US" w:eastAsia="zh-CN"/>
        </w:rPr>
        <w:t>3</w:t>
      </w:r>
      <w:r>
        <w:rPr>
          <w:rFonts w:hint="eastAsia" w:ascii="宋体" w:hAnsi="宋体" w:eastAsia="宋体"/>
          <w:sz w:val="24"/>
        </w:rPr>
        <w:t>0分，投标报价相对评标基准价每高1%扣</w:t>
      </w:r>
      <w:r>
        <w:rPr>
          <w:rFonts w:hint="eastAsia" w:ascii="宋体" w:hAnsi="宋体" w:eastAsia="宋体"/>
          <w:sz w:val="24"/>
          <w:lang w:val="en-US" w:eastAsia="zh-CN"/>
        </w:rPr>
        <w:t>0.9</w:t>
      </w:r>
      <w:r>
        <w:rPr>
          <w:rFonts w:hint="eastAsia" w:ascii="宋体" w:hAnsi="宋体" w:eastAsia="宋体"/>
          <w:sz w:val="24"/>
        </w:rPr>
        <w:t>分</w:t>
      </w:r>
      <w:r>
        <w:rPr>
          <w:rFonts w:hint="eastAsia" w:ascii="宋体" w:hAnsi="宋体" w:eastAsia="宋体"/>
          <w:sz w:val="24"/>
          <w:lang w:eastAsia="zh-CN"/>
        </w:rPr>
        <w:t>，每低于评标基准价1%扣 0.3分</w:t>
      </w:r>
      <w:r>
        <w:rPr>
          <w:rFonts w:hint="eastAsia" w:ascii="宋体" w:hAnsi="宋体" w:eastAsia="宋体"/>
          <w:sz w:val="24"/>
        </w:rPr>
        <w:t>；偏离不足1%的，按照插入法计算得分，评分计算过程中的偏离率和分值计算结果均保留两位小数，第三位四舍五入。</w:t>
      </w:r>
    </w:p>
    <w:bookmarkEnd w:id="6"/>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（三）评标时评委对评标细则若有争议，由评标委员会评委集体讨论确定，并对未尽情况有最终解释权。</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（四）对落标的投标人不做落标原因的解释。</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六、出现下列情形之一的，作无效投标处理：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未按照招标文件的规定提交投标保证金的；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投标文件未按招标文件要求签署、盖章的；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不具备招标文件中规定的资格要求的；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报价超过招标文件中规定的预算金额或者最高限价的；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投标文件含有招标人不能接受的附加条件的</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法律、法规和招标文件规定的其他无效情形。</w:t>
      </w:r>
    </w:p>
    <w:p>
      <w:pPr>
        <w:snapToGrid w:val="0"/>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七、有下列情形之一的，视为投标人串通投标，其投标无效</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1、不同投标人的投标文件由同一单位或者个人编制；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2、不同投标人委托同一单位或者个人办理投标事宜；</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5、不同投标人的投标文件相互混装；</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6、不同投标人的投标保证金从同一单位或者个人的账户转出。</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八、出现下列情形之一的，作废标处理：</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、出现影响采购公正的违法违规行为的；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、所有投标人报价超出采购预算价的；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、因重大变故，采购任务被取消的；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、评标委员会依据法律法规可以认定为废标的其他情况。</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九、中标通知</w:t>
      </w:r>
    </w:p>
    <w:p>
      <w:pPr>
        <w:spacing w:line="420" w:lineRule="exact"/>
        <w:ind w:firstLine="484" w:firstLineChars="202"/>
        <w:rPr>
          <w:rFonts w:asciiTheme="minorEastAsia" w:hAnsiTheme="minorEastAsia" w:eastAsiaTheme="minorEastAsia"/>
          <w:kern w:val="0"/>
          <w:sz w:val="24"/>
          <w:szCs w:val="24"/>
        </w:rPr>
      </w:pPr>
      <w:r>
        <w:rPr>
          <w:rFonts w:asciiTheme="minorEastAsia" w:hAnsiTheme="minorEastAsia" w:eastAsiaTheme="minorEastAsia"/>
          <w:kern w:val="0"/>
          <w:sz w:val="24"/>
          <w:szCs w:val="24"/>
        </w:rPr>
        <w:t>1、开标结束后，招标</w:t>
      </w:r>
      <w:r>
        <w:rPr>
          <w:rFonts w:hint="eastAsia" w:asciiTheme="minorEastAsia" w:hAnsiTheme="minorEastAsia" w:eastAsiaTheme="minorEastAsia"/>
          <w:kern w:val="0"/>
          <w:sz w:val="24"/>
          <w:szCs w:val="24"/>
        </w:rPr>
        <w:t>采购单位自中标人确定之日起2个工作日内</w:t>
      </w:r>
      <w:r>
        <w:rPr>
          <w:rFonts w:asciiTheme="minorEastAsia" w:hAnsiTheme="minorEastAsia" w:eastAsiaTheme="minorEastAsia"/>
          <w:kern w:val="0"/>
          <w:sz w:val="24"/>
          <w:szCs w:val="24"/>
        </w:rPr>
        <w:t>在指定媒体上</w:t>
      </w:r>
      <w:r>
        <w:rPr>
          <w:rFonts w:hint="eastAsia" w:asciiTheme="minorEastAsia" w:hAnsiTheme="minorEastAsia" w:eastAsiaTheme="minorEastAsia"/>
          <w:kern w:val="0"/>
          <w:sz w:val="24"/>
          <w:szCs w:val="24"/>
        </w:rPr>
        <w:t>公告中标结果。</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2、中标公告期限为3日，期限</w:t>
      </w:r>
      <w:r>
        <w:rPr>
          <w:rFonts w:asciiTheme="minorEastAsia" w:hAnsiTheme="minorEastAsia" w:eastAsiaTheme="minorEastAsia"/>
          <w:kern w:val="0"/>
          <w:sz w:val="24"/>
          <w:szCs w:val="24"/>
        </w:rPr>
        <w:t>结束后向中标人发出《中标通知书》。</w:t>
      </w:r>
    </w:p>
    <w:p>
      <w:pPr>
        <w:spacing w:line="420" w:lineRule="exact"/>
        <w:ind w:firstLine="484" w:firstLineChars="202"/>
        <w:rPr>
          <w:rFonts w:asciiTheme="minorEastAsia" w:hAnsiTheme="minorEastAsia" w:eastAsiaTheme="minorEastAsia"/>
          <w:b/>
          <w:w w:val="80"/>
          <w:sz w:val="32"/>
          <w:szCs w:val="32"/>
        </w:rPr>
      </w:pPr>
      <w:r>
        <w:rPr>
          <w:rFonts w:asciiTheme="minorEastAsia" w:hAnsiTheme="minorEastAsia" w:eastAsiaTheme="minorEastAsia"/>
          <w:kern w:val="0"/>
          <w:sz w:val="24"/>
          <w:szCs w:val="24"/>
        </w:rPr>
        <w:t>3、《中标通知书》一经发出，即具有法律效力。招标人、中标人依法承担法律责任。</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sz w:val="32"/>
          <w:szCs w:val="32"/>
        </w:rPr>
        <w:br w:type="page"/>
      </w:r>
      <w:r>
        <w:rPr>
          <w:rFonts w:hint="eastAsia" w:asciiTheme="minorEastAsia" w:hAnsiTheme="minorEastAsia" w:eastAsiaTheme="minorEastAsia"/>
          <w:b/>
          <w:w w:val="80"/>
          <w:sz w:val="32"/>
          <w:szCs w:val="32"/>
        </w:rPr>
        <w:t>第五章  合同授予及主要</w:t>
      </w:r>
      <w:r>
        <w:rPr>
          <w:rFonts w:asciiTheme="minorEastAsia" w:hAnsiTheme="minorEastAsia" w:eastAsiaTheme="minorEastAsia"/>
          <w:b/>
          <w:w w:val="80"/>
          <w:sz w:val="32"/>
          <w:szCs w:val="32"/>
        </w:rPr>
        <w:t>条款</w:t>
      </w:r>
    </w:p>
    <w:bookmarkEnd w:id="4"/>
    <w:p>
      <w:pPr>
        <w:spacing w:line="360" w:lineRule="auto"/>
        <w:rPr>
          <w:rFonts w:hint="eastAsia" w:asciiTheme="minorEastAsia" w:hAnsiTheme="minorEastAsia" w:eastAsiaTheme="minorEastAsia" w:cstheme="minorEastAsia"/>
          <w:sz w:val="24"/>
          <w:szCs w:val="24"/>
        </w:rPr>
      </w:pPr>
      <w:bookmarkStart w:id="7" w:name="_Toc94585343"/>
      <w:bookmarkStart w:id="8" w:name="_Toc363573858"/>
      <w:r>
        <w:rPr>
          <w:rFonts w:hint="eastAsia" w:asciiTheme="minorEastAsia" w:hAnsiTheme="minorEastAsia" w:eastAsiaTheme="minorEastAsia" w:cstheme="minorEastAsia"/>
          <w:sz w:val="24"/>
          <w:szCs w:val="24"/>
        </w:rPr>
        <w:t>甲 方：（招标人）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 方：（中标人）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项目</w:t>
      </w:r>
      <w:r>
        <w:rPr>
          <w:rFonts w:hint="eastAsia" w:asciiTheme="minorEastAsia" w:hAnsiTheme="minorEastAsia" w:eastAsiaTheme="minorEastAsia" w:cstheme="minorEastAsia"/>
          <w:sz w:val="24"/>
          <w:szCs w:val="24"/>
        </w:rPr>
        <w:t>进行采购，于202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  月  日通过公开招标（ 号），确定乙方为中标人。为了保护供需各方合法权益,根据《中华人民共和国政府采购法》、《中华人民共和国民法典》等相关法律、法规的规定，并严格遵循政府采购项目采购文件的相关规定,经甲乙双方协商一致，订立本合同。</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一、合同文件</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下列内容是构成本合同不可分割的部分：</w:t>
      </w:r>
    </w:p>
    <w:p>
      <w:pPr>
        <w:widowControl/>
        <w:numPr>
          <w:ilvl w:val="0"/>
          <w:numId w:val="6"/>
        </w:numPr>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乙方参加             招标</w:t>
      </w:r>
    </w:p>
    <w:p>
      <w:pPr>
        <w:widowControl/>
        <w:numPr>
          <w:ilvl w:val="0"/>
          <w:numId w:val="6"/>
        </w:numPr>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乙方在投标文件中约定的内容（优惠政策及服务承诺）。</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 甲方、乙方商定的其他必要文件。</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w:t>
      </w:r>
      <w:r>
        <w:rPr>
          <w:rFonts w:hint="eastAsia" w:asciiTheme="minorEastAsia" w:hAnsiTheme="minorEastAsia" w:eastAsiaTheme="minorEastAsia" w:cstheme="minorEastAsia"/>
          <w:b/>
          <w:bCs/>
          <w:sz w:val="24"/>
          <w:szCs w:val="24"/>
        </w:rPr>
        <w:t>、项目清单</w:t>
      </w:r>
    </w:p>
    <w:tbl>
      <w:tblPr>
        <w:tblStyle w:val="5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19"/>
        <w:gridCol w:w="1361"/>
        <w:gridCol w:w="1212"/>
        <w:gridCol w:w="786"/>
        <w:gridCol w:w="82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商品类别</w:t>
            </w:r>
          </w:p>
        </w:tc>
        <w:tc>
          <w:tcPr>
            <w:tcW w:w="9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商品名称</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型号</w:t>
            </w: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颜色</w:t>
            </w:r>
          </w:p>
        </w:tc>
        <w:tc>
          <w:tcPr>
            <w:tcW w:w="8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Theme="minorEastAsia" w:hAnsiTheme="minorEastAsia" w:eastAsiaTheme="minorEastAsia" w:cstheme="minorEastAsia"/>
                <w:kern w:val="0"/>
                <w:sz w:val="24"/>
                <w:szCs w:val="24"/>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Theme="minorEastAsia" w:hAnsiTheme="minorEastAsia" w:eastAsiaTheme="minorEastAsia" w:cstheme="minorEastAsia"/>
                <w:kern w:val="0"/>
                <w:sz w:val="24"/>
                <w:szCs w:val="24"/>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sz w:val="24"/>
                <w:szCs w:val="24"/>
                <w:shd w:val="clear" w:color="auto" w:fill="FFFFFF"/>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r>
    </w:tbl>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xml:space="preserve"> </w:t>
      </w:r>
    </w:p>
    <w:p>
      <w:pPr>
        <w:ind w:firstLine="241" w:firstLineChars="1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合同金额总价：                      （人民币：   元整）</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三、服务承诺</w:t>
      </w:r>
      <w:r>
        <w:rPr>
          <w:rFonts w:hint="eastAsia" w:asciiTheme="minorEastAsia" w:hAnsiTheme="minorEastAsia" w:eastAsiaTheme="minorEastAsia" w:cstheme="minorEastAsia"/>
          <w:kern w:val="0"/>
          <w:sz w:val="24"/>
          <w:szCs w:val="24"/>
        </w:rPr>
        <w:t xml:space="preserve"> ：</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四、合同金额(大写)：</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五、付款条件、</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车辆验收合格上牌后7个工作日内，付清全款。</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六、交货时间和地点</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本合同货物的交付时间为：</w:t>
      </w:r>
      <w:r>
        <w:rPr>
          <w:rFonts w:hint="eastAsia" w:asciiTheme="minorEastAsia" w:hAnsiTheme="minorEastAsia" w:eastAsiaTheme="minorEastAsia" w:cstheme="minorEastAsia"/>
          <w:sz w:val="24"/>
          <w:szCs w:val="24"/>
        </w:rPr>
        <w:t>自合同签订之日起 50 天内完成供货、安装、调试。</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七、质量保证</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所提供货物必须符合国家有关标准；保证货物是全新、未使用过的原装合格正品，并保证货物在正常使用和保养条件下，符合其产品的质量保证要求。在使用过程中，一旦发现乙方所提供的货物不是原装合格正品，经查实后，乙方必须无条件接受退货，并按原价货款退还甲方，同时，甲方按有关规定有权要求索赔。</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乙方保证所供货物能够在甲方所在地车管部门上牌。</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八、验收</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货物若有国家标准按照国家标准验收，若无国家标准按行业标准验收，为原制造商制造的全新产品，整机无污染，无侵权行为、表面无划损、无任何缺陷隐患，在中国境内可依常规安全合法使用。 </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产品必须具备原产地证明和商检局的检验证明及合法进货渠道证明。评审小组在各供应商的报价有限期内有权要求供应商提供 货物的报关单。</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货物为原厂商未启封全新包装，具出厂合格证，序列号、包装箱号与出厂批号一致，并可追索查阅。所有随设备的附件必须齐全。</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乙方应将关键主机设备的用户手册、保修手册、有关单证资料及配备件、随机工具等交付给甲方，使用操作及安全须知等重要资料应附有中文说明。</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九、乙方声明</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对本合同违约责任的承担，不能排除所供车辆生产厂家的责任。乙方承诺所供车辆价格不高于所供车辆生产厂家规定的标准。所承诺服务不低于所供车辆生产厂家规定的标准。乙方承诺作为生产厂家执行供货的代表，忠实履行生产厂家与乙方所签订的供货协议内容。</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十、合同纠纷处理</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因履行本合同发生争议协商解决不成的提交常州仲裁委员会仲裁。因本合同产生的以及与本合同有关的一切纠纷，均由常州仲裁委员会仲裁。该裁决是终局的，对双方均具有约束力。</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十一、合同生效及其他</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本合同未再声明的其他各项内容均见本合同第一款“合同文件”中；</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本合同经甲方、乙方两方法定代表人或授权代表签字盖章之日起生效。本合同一式四份，甲方、乙方各持贰份。</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sz w:val="24"/>
          <w:szCs w:val="24"/>
        </w:rPr>
      </w:pPr>
    </w:p>
    <w:p>
      <w:pPr>
        <w:widowControl/>
        <w:shd w:val="clear" w:color="auto" w:fill="FFFFFF"/>
        <w:spacing w:line="560" w:lineRule="exact"/>
        <w:ind w:firstLine="480" w:firstLineChars="200"/>
        <w:jc w:val="left"/>
        <w:rPr>
          <w:rFonts w:hint="eastAsia" w:asciiTheme="minorEastAsia" w:hAnsiTheme="minorEastAsia" w:eastAsiaTheme="minorEastAsia" w:cstheme="minorEastAsia"/>
          <w:sz w:val="24"/>
          <w:szCs w:val="24"/>
        </w:rPr>
      </w:pPr>
    </w:p>
    <w:tbl>
      <w:tblPr>
        <w:tblStyle w:val="57"/>
        <w:tblW w:w="9345" w:type="dxa"/>
        <w:tblInd w:w="9" w:type="dxa"/>
        <w:tblLayout w:type="autofit"/>
        <w:tblCellMar>
          <w:top w:w="15" w:type="dxa"/>
          <w:left w:w="15" w:type="dxa"/>
          <w:bottom w:w="15" w:type="dxa"/>
          <w:right w:w="15" w:type="dxa"/>
        </w:tblCellMar>
      </w:tblPr>
      <w:tblGrid>
        <w:gridCol w:w="4373"/>
        <w:gridCol w:w="4972"/>
      </w:tblGrid>
      <w:tr>
        <w:tblPrEx>
          <w:tblCellMar>
            <w:top w:w="15" w:type="dxa"/>
            <w:left w:w="15" w:type="dxa"/>
            <w:bottom w:w="15" w:type="dxa"/>
            <w:right w:w="15" w:type="dxa"/>
          </w:tblCellMar>
        </w:tblPrEx>
        <w:tc>
          <w:tcPr>
            <w:tcW w:w="4373" w:type="dxa"/>
            <w:tcBorders>
              <w:top w:val="nil"/>
              <w:left w:val="nil"/>
              <w:bottom w:val="nil"/>
              <w:right w:val="nil"/>
            </w:tcBorders>
          </w:tcPr>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法定代表人/委托人：</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单位地址：</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电话：</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邮政编码： </w:t>
            </w:r>
          </w:p>
        </w:tc>
        <w:tc>
          <w:tcPr>
            <w:tcW w:w="4972" w:type="dxa"/>
            <w:tcBorders>
              <w:top w:val="nil"/>
              <w:left w:val="nil"/>
              <w:bottom w:val="nil"/>
              <w:right w:val="nil"/>
            </w:tcBorders>
          </w:tcPr>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法定代表人/委托人：</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w:t>
            </w:r>
          </w:p>
          <w:p>
            <w:pPr>
              <w:widowControl/>
              <w:spacing w:line="560" w:lineRule="exact"/>
              <w:ind w:left="1050" w:hanging="1200" w:hangingChars="5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单位地址：</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电话： </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邮政编码： </w:t>
            </w:r>
          </w:p>
          <w:p>
            <w:pPr>
              <w:widowControl/>
              <w:spacing w:line="560" w:lineRule="exact"/>
              <w:jc w:val="left"/>
              <w:rPr>
                <w:rFonts w:hint="eastAsia" w:asciiTheme="minorEastAsia" w:hAnsiTheme="minorEastAsia" w:eastAsiaTheme="minorEastAsia" w:cstheme="minorEastAsia"/>
                <w:kern w:val="0"/>
                <w:sz w:val="24"/>
                <w:szCs w:val="24"/>
              </w:rPr>
            </w:pPr>
          </w:p>
        </w:tc>
      </w:tr>
    </w:tbl>
    <w:p>
      <w:pPr>
        <w:widowControl/>
        <w:jc w:val="right"/>
        <w:rPr>
          <w:rFonts w:asciiTheme="minorEastAsia" w:hAnsiTheme="minorEastAsia" w:eastAsiaTheme="minorEastAsia"/>
          <w:b/>
          <w:w w:val="80"/>
          <w:sz w:val="32"/>
          <w:szCs w:val="32"/>
        </w:rPr>
      </w:pPr>
      <w:r>
        <w:rPr>
          <w:rFonts w:asciiTheme="minorEastAsia" w:hAnsiTheme="minorEastAsia" w:eastAsiaTheme="minorEastAsia"/>
          <w:b/>
          <w:w w:val="80"/>
          <w:sz w:val="32"/>
          <w:szCs w:val="32"/>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第六章  </w:t>
      </w:r>
      <w:bookmarkEnd w:id="7"/>
      <w:r>
        <w:rPr>
          <w:rFonts w:hint="eastAsia" w:asciiTheme="minorEastAsia" w:hAnsiTheme="minorEastAsia" w:eastAsiaTheme="minorEastAsia"/>
          <w:b/>
          <w:w w:val="80"/>
          <w:sz w:val="32"/>
          <w:szCs w:val="32"/>
        </w:rPr>
        <w:t>履约验收及付款</w:t>
      </w:r>
      <w:bookmarkEnd w:id="8"/>
    </w:p>
    <w:p>
      <w:pPr>
        <w:spacing w:line="420" w:lineRule="exact"/>
        <w:ind w:firstLine="484" w:firstLineChars="202"/>
        <w:rPr>
          <w:rFonts w:asciiTheme="minorEastAsia" w:hAnsiTheme="minorEastAsia" w:eastAsiaTheme="minorEastAsia"/>
          <w:kern w:val="0"/>
          <w:sz w:val="24"/>
          <w:szCs w:val="24"/>
        </w:rPr>
      </w:pPr>
      <w:bookmarkStart w:id="9" w:name="_Toc363573859"/>
      <w:r>
        <w:rPr>
          <w:rFonts w:hint="eastAsia" w:asciiTheme="minorEastAsia" w:hAnsiTheme="minorEastAsia" w:eastAsiaTheme="minorEastAsia"/>
          <w:kern w:val="0"/>
          <w:sz w:val="24"/>
          <w:szCs w:val="24"/>
        </w:rPr>
        <w:t>一、招标人和中标人应相互配合，按采购合同约定积极组织本项目的实施，确保按时履约提供服务。</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二、履约完成后，中标人应以书面形式向招标人提出验收申请，招标人接到申请后应及时组织验收。</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pPr>
        <w:spacing w:line="420" w:lineRule="exact"/>
        <w:ind w:firstLine="484" w:firstLineChars="202"/>
        <w:rPr>
          <w:rFonts w:asciiTheme="minorEastAsia" w:hAnsiTheme="minorEastAsia" w:eastAsiaTheme="minorEastAsia"/>
          <w:kern w:val="0"/>
          <w:sz w:val="24"/>
          <w:szCs w:val="24"/>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t>第</w:t>
      </w:r>
      <w:r>
        <w:rPr>
          <w:rFonts w:hint="eastAsia" w:asciiTheme="minorEastAsia" w:hAnsiTheme="minorEastAsia" w:eastAsiaTheme="minorEastAsia"/>
          <w:b/>
          <w:w w:val="80"/>
          <w:sz w:val="32"/>
          <w:szCs w:val="32"/>
        </w:rPr>
        <w:t>七</w:t>
      </w:r>
      <w:r>
        <w:rPr>
          <w:rFonts w:asciiTheme="minorEastAsia" w:hAnsiTheme="minorEastAsia" w:eastAsiaTheme="minorEastAsia"/>
          <w:b/>
          <w:w w:val="80"/>
          <w:sz w:val="32"/>
          <w:szCs w:val="32"/>
        </w:rPr>
        <w:t xml:space="preserve">章 </w:t>
      </w:r>
      <w:r>
        <w:rPr>
          <w:rFonts w:hint="eastAsia" w:asciiTheme="minorEastAsia" w:hAnsiTheme="minorEastAsia" w:eastAsiaTheme="minorEastAsia"/>
          <w:b/>
          <w:w w:val="80"/>
          <w:sz w:val="32"/>
          <w:szCs w:val="32"/>
        </w:rPr>
        <w:t xml:space="preserve"> 质疑与投诉</w:t>
      </w:r>
      <w:bookmarkEnd w:id="9"/>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一、质疑的提出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1、质疑必须是直接参加本次招投标活动的当事人。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2、取得招标文件的投标人应根据招标文件第二章 “投标人须知”中“第一条第4款”的约定提出质疑。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投标文件接收截止后未进行投标登记的投标人，不能就投标文件接收截止后的招标过程、中标结果提出质疑。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3、提出质疑时，必须坚持“谁主张，谁举证”、“实事求是”的原则，不能臆测。</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招标人、招标代理机构不具有法定调查、认定的权限。</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4、对本次招投标有质疑的，须实名制以书面形式提出，不得进行匿名、虚假、恶意质疑。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质疑人应在质疑有效期内以书面形式提出《质疑函》。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《质疑函》内容应包括质疑事项、主要内容、事实依据、适应法规条款、佐证材料等。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质疑人应保证其提出的质疑内容及相关佐证材料的真实性及来源的合法性，并承担相应的法律责任。</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对不能提供相关佐证材料的、涉及商业秘密的、非书面形式的、非送达的、匿名的《质疑函》将不予受理，视作无效质疑。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相关佐证材料要具备客观性、关联性、合法性，无法查实的（如宣传册、媒体报道、猜测、推理等）不能作为佐证材料。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招标人、招标代理机构不负责搜集相关佐证材料等工作。</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二、《质疑函》的受理和回复</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1、《质疑函》须由质疑人的法定代表人或参加本次招标授权人送达采购单位和招标人。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4、招标人负责将质疑人提交的质疑相关材料提供给相关专家或评标委员会审核，并将审核意见回复质疑人。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必要时，可向被质疑投标人（以下称被质疑人）转发《质疑函》及相关佐证材料。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被质疑人应当在要求的时间日期内，以书面形式作出说明回复，并提交相关证据。</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被质疑人在规定时间内，无正当理由未提交相关证据的，视同放弃说明权利，认可被质疑事项。</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三、质疑处理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1、质疑成立的处理。招标人终止采购，并建议有关部门给相关当事人予以处理。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2、质疑不成立的处理：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（1）质疑人书面《申请撤回质疑函》。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（2）质疑人在规定的时间内不配合进行质疑调查处理的，按自动撤回《质疑函》处理。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（3）质疑人不按《质疑函》格式就提出质疑的，视情列入不良投标人名单。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明显有违背事实的、经相关专家或评委认定无依据的、经其他投标人举证无依据的质疑，列入不良投标人名单；同时，对其中每一项不成立的质疑给予质疑人1年内禁入采购活动的处理，依次类推；视情在南通市公共资源交易网、省、国家级相关媒体予以披露。</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（6）质疑人承担使用虚假材料或恶意方式质疑的法律责任。</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四、无佐证材料的举报作违约处理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投标人不得进行不提供相关佐证材料向有关部门的举报，否则对其在1至3年内禁入招标人单位的采购活动。</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无法查实的如宣传册、媒体报道、猜测、推理等，不作为相关佐证材料。</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五、投诉的提出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六、投诉不成立的作违约处理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投标人进行质疑后，招标人回复质疑不成立，投标人仍进行投诉的，并最终投诉不成立的，对其在1至3年内禁入招标人单位的采购活动。</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七、质疑、举报、投诉不成立的等相关情况</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《质疑函》、《质疑回复函》，质疑、举报、投诉不成立的等相关情况，视情在省市、国家级等相关媒体予以披露。并建议相关采购机构对该投标人同步实施1至3年内禁入。</w:t>
      </w:r>
    </w:p>
    <w:p>
      <w:pPr>
        <w:pStyle w:val="21"/>
        <w:rPr>
          <w:rFonts w:asciiTheme="minorEastAsia" w:hAnsiTheme="minorEastAsia" w:eastAsiaTheme="minorEastAsia"/>
          <w:kern w:val="0"/>
          <w:sz w:val="24"/>
          <w:szCs w:val="24"/>
        </w:rPr>
      </w:pPr>
    </w:p>
    <w:p>
      <w:pPr>
        <w:widowControl/>
        <w:jc w:val="left"/>
        <w:rPr>
          <w:rFonts w:asciiTheme="minorEastAsia" w:hAnsiTheme="minorEastAsia" w:eastAsiaTheme="minorEastAsia"/>
          <w:b/>
          <w:w w:val="80"/>
          <w:sz w:val="32"/>
          <w:szCs w:val="32"/>
        </w:rPr>
      </w:pPr>
      <w:bookmarkStart w:id="10" w:name="_Toc363573860"/>
      <w:r>
        <w:rPr>
          <w:rFonts w:asciiTheme="minorEastAsia" w:hAnsiTheme="minorEastAsia" w:eastAsiaTheme="minorEastAsia"/>
          <w:b/>
          <w:w w:val="80"/>
          <w:sz w:val="32"/>
          <w:szCs w:val="32"/>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第八章  </w:t>
      </w:r>
      <w:bookmarkEnd w:id="10"/>
      <w:r>
        <w:rPr>
          <w:rFonts w:hint="eastAsia" w:asciiTheme="minorEastAsia" w:hAnsiTheme="minorEastAsia" w:eastAsiaTheme="minorEastAsia"/>
          <w:b/>
          <w:w w:val="80"/>
          <w:sz w:val="32"/>
          <w:szCs w:val="32"/>
        </w:rPr>
        <w:t>投标文件的组成及格式</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一、投标响应文件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A、</w:t>
      </w:r>
      <w:r>
        <w:rPr>
          <w:rFonts w:asciiTheme="minorEastAsia" w:hAnsiTheme="minorEastAsia" w:eastAsiaTheme="minorEastAsia"/>
          <w:bCs/>
          <w:sz w:val="24"/>
          <w:szCs w:val="24"/>
        </w:rPr>
        <w:t>资格后审材料文件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B、</w:t>
      </w:r>
      <w:r>
        <w:rPr>
          <w:rFonts w:asciiTheme="minorEastAsia" w:hAnsiTheme="minorEastAsia" w:eastAsiaTheme="minorEastAsia"/>
          <w:bCs/>
          <w:sz w:val="24"/>
          <w:szCs w:val="24"/>
        </w:rPr>
        <w:t>技术标响应文件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C、</w:t>
      </w:r>
      <w:r>
        <w:rPr>
          <w:rFonts w:asciiTheme="minorEastAsia" w:hAnsiTheme="minorEastAsia" w:eastAsiaTheme="minorEastAsia"/>
          <w:bCs/>
          <w:sz w:val="24"/>
          <w:szCs w:val="24"/>
        </w:rPr>
        <w:t>价格标响应文件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二、投标响应文件封面范例</w:t>
      </w: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44"/>
          <w:szCs w:val="44"/>
        </w:rPr>
      </w:pPr>
      <w:r>
        <w:rPr>
          <w:rFonts w:hint="eastAsia" w:asciiTheme="minorEastAsia" w:hAnsiTheme="minorEastAsia" w:eastAsiaTheme="minorEastAsia"/>
          <w:sz w:val="36"/>
          <w:szCs w:val="22"/>
          <w:u w:val="single"/>
        </w:rPr>
        <w:t xml:space="preserve"> </w:t>
      </w:r>
      <w:r>
        <w:rPr>
          <w:rFonts w:asciiTheme="minorEastAsia" w:hAnsiTheme="minorEastAsia" w:eastAsiaTheme="minorEastAsia"/>
          <w:sz w:val="36"/>
          <w:szCs w:val="22"/>
          <w:u w:val="single"/>
        </w:rPr>
        <w:t xml:space="preserve">                  </w:t>
      </w:r>
      <w:r>
        <w:rPr>
          <w:rFonts w:hint="eastAsia" w:asciiTheme="minorEastAsia" w:hAnsiTheme="minorEastAsia" w:eastAsiaTheme="minorEastAsia"/>
          <w:sz w:val="36"/>
          <w:szCs w:val="22"/>
        </w:rPr>
        <w:t>项目</w:t>
      </w: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投标响应文件</w:t>
      </w:r>
    </w:p>
    <w:p>
      <w:pPr>
        <w:spacing w:line="420" w:lineRule="exact"/>
        <w:ind w:firstLine="1920" w:firstLineChars="800"/>
        <w:rPr>
          <w:rFonts w:asciiTheme="minorEastAsia" w:hAnsiTheme="minorEastAsia" w:eastAsiaTheme="minorEastAsia"/>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投标标文件，相应填写：</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技术标响应文件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价格标响应文件</w:t>
      </w:r>
    </w:p>
    <w:p>
      <w:pPr>
        <w:spacing w:line="420" w:lineRule="exact"/>
        <w:jc w:val="center"/>
        <w:rPr>
          <w:rFonts w:asciiTheme="minorEastAsia" w:hAnsiTheme="minorEastAsia" w:eastAsiaTheme="minorEastAsia"/>
          <w:b/>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w:t>
      </w: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adjustRightInd w:val="0"/>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投标人：投标人全称</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widowControl/>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adjustRightInd w:val="0"/>
        <w:snapToGrid w:val="0"/>
        <w:spacing w:line="420" w:lineRule="exac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三、投标响应文件</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（一个密封包，含一正二副文件）</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adjustRightInd w:val="0"/>
        <w:snapToGrid w:val="0"/>
        <w:spacing w:line="420" w:lineRule="exact"/>
        <w:jc w:val="left"/>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B.1、目录</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tblHead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513"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 清单</w:t>
            </w:r>
          </w:p>
        </w:tc>
        <w:tc>
          <w:tcPr>
            <w:tcW w:w="1559"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自行判断有否提供（√）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投标人是制造商投标的，须提供营业执照原件的复印件（须加盖投标人公章）。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投标人是代理商投标的，须提供代理商营业执照原件的复印件（须加盖投标人公章）</w:t>
            </w:r>
            <w:r>
              <w:rPr>
                <w:rFonts w:hint="eastAsia" w:asciiTheme="minorEastAsia" w:hAnsiTheme="minorEastAsia" w:eastAsiaTheme="minorEastAsia"/>
                <w:b/>
                <w:bCs/>
                <w:sz w:val="24"/>
                <w:szCs w:val="24"/>
              </w:rPr>
              <w:t>。</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投标人须提供参与本次项目采购活动前三年内，在经营活动中没有违法记录的书面《无违法记录承诺函》（须加盖公章）。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tc>
        <w:tc>
          <w:tcPr>
            <w:tcW w:w="1559" w:type="dxa"/>
            <w:vAlign w:val="center"/>
          </w:tcPr>
          <w:p>
            <w:pPr>
              <w:spacing w:line="420" w:lineRule="exact"/>
              <w:jc w:val="center"/>
              <w:rPr>
                <w:rFonts w:asciiTheme="minorEastAsia" w:hAnsiTheme="minorEastAsia" w:eastAsiaTheme="minorEastAsia"/>
                <w:sz w:val="24"/>
                <w:szCs w:val="24"/>
              </w:rPr>
            </w:pPr>
          </w:p>
        </w:tc>
      </w:tr>
    </w:tbl>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（加盖投标人公章）</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（1）以上由投标人填写，作为提供的资格后审资料包内的资料首页清单目录。</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（2）所有资格证明复印件、相关的格式文件及表格，须加盖公章装订成册，正本1份副本2份，供审查及留存！</w:t>
      </w:r>
    </w:p>
    <w:p>
      <w:pPr>
        <w:adjustRightInd w:val="0"/>
        <w:snapToGrid w:val="0"/>
        <w:spacing w:line="42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A.2、</w:t>
      </w:r>
      <w:r>
        <w:rPr>
          <w:rFonts w:asciiTheme="minorEastAsia" w:hAnsiTheme="minorEastAsia" w:eastAsiaTheme="minorEastAsia"/>
          <w:b/>
          <w:sz w:val="24"/>
          <w:szCs w:val="24"/>
        </w:rPr>
        <w:t>资格</w:t>
      </w:r>
      <w:r>
        <w:rPr>
          <w:rFonts w:hint="eastAsia" w:asciiTheme="minorEastAsia" w:hAnsiTheme="minorEastAsia" w:eastAsiaTheme="minorEastAsia"/>
          <w:b/>
          <w:sz w:val="24"/>
          <w:szCs w:val="24"/>
        </w:rPr>
        <w:t>后</w:t>
      </w:r>
      <w:r>
        <w:rPr>
          <w:rFonts w:asciiTheme="minorEastAsia" w:hAnsiTheme="minorEastAsia" w:eastAsiaTheme="minorEastAsia"/>
          <w:b/>
          <w:sz w:val="24"/>
          <w:szCs w:val="24"/>
        </w:rPr>
        <w:t>审</w:t>
      </w:r>
      <w:r>
        <w:rPr>
          <w:rFonts w:hint="eastAsia" w:asciiTheme="minorEastAsia" w:hAnsiTheme="minorEastAsia" w:eastAsiaTheme="minorEastAsia"/>
          <w:b/>
          <w:sz w:val="24"/>
          <w:szCs w:val="24"/>
        </w:rPr>
        <w:t>材料相关格式文件</w:t>
      </w:r>
    </w:p>
    <w:p>
      <w:pPr>
        <w:snapToGrid w:val="0"/>
        <w:spacing w:before="240" w:beforeLines="100"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、法定代表人身份证明</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先生／女士：</w:t>
      </w:r>
      <w:r>
        <w:rPr>
          <w:rFonts w:hint="eastAsia" w:asciiTheme="minorEastAsia" w:hAnsiTheme="minorEastAsia" w:eastAsiaTheme="minorEastAsia"/>
          <w:sz w:val="24"/>
          <w:szCs w:val="24"/>
        </w:rPr>
        <w:t>现任我单位</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职务，为法定代表人，特此证明。</w:t>
      </w:r>
    </w:p>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r>
        <w:rPr>
          <w:rFonts w:hint="eastAsia" w:asciiTheme="minorEastAsia" w:hAnsiTheme="minorEastAsia" w:eastAsiaTheme="minorEastAsia"/>
          <w:sz w:val="24"/>
          <w:szCs w:val="24"/>
          <w:u w:val="single"/>
        </w:rPr>
        <w:t xml:space="preserve">                       </w:t>
      </w:r>
    </w:p>
    <w:p>
      <w:pPr>
        <w:snapToGrid w:val="0"/>
        <w:spacing w:line="420" w:lineRule="exact"/>
        <w:jc w:val="center"/>
        <w:rPr>
          <w:rFonts w:asciiTheme="minorEastAsia" w:hAnsiTheme="minorEastAsia" w:eastAsiaTheme="minorEastAsia"/>
          <w:sz w:val="24"/>
          <w:szCs w:val="24"/>
        </w:rPr>
      </w:pP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注：提供法定代表人的身份证复印件并加盖公章</w:t>
      </w: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、法定代表人授权委托书</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（姓名）系</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（投标人名称）的法定代表人，现授权委托　　   （姓名）为我公司代理人，以本公司的名义参加本项目的投标活动。代理人在开标、评标、合同谈判过程中所签署的一切文件和处理与之有关的一切事务，我均予以承认。</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被委托受权人无转委权。</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特此委托。</w:t>
      </w:r>
    </w:p>
    <w:p>
      <w:pPr>
        <w:snapToGrid w:val="0"/>
        <w:spacing w:line="420" w:lineRule="exact"/>
        <w:ind w:firstLine="972" w:firstLineChars="405"/>
        <w:rPr>
          <w:rFonts w:asciiTheme="minorEastAsia" w:hAnsiTheme="minorEastAsia" w:eastAsiaTheme="minorEastAsia"/>
          <w:sz w:val="24"/>
          <w:szCs w:val="24"/>
        </w:rPr>
      </w:pP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被委托受权人身份证号：</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被委托受权人签字：</w:t>
      </w:r>
    </w:p>
    <w:p>
      <w:pPr>
        <w:snapToGrid w:val="0"/>
        <w:spacing w:line="420" w:lineRule="exact"/>
        <w:ind w:firstLine="484" w:firstLineChars="202"/>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snapToGrid w:val="0"/>
        <w:spacing w:line="420" w:lineRule="exact"/>
        <w:ind w:firstLine="484" w:firstLineChars="202"/>
        <w:jc w:val="right"/>
        <w:rPr>
          <w:rFonts w:asciiTheme="minorEastAsia" w:hAnsiTheme="minorEastAsia" w:eastAsiaTheme="minorEastAsia"/>
          <w:bCs/>
          <w:sz w:val="24"/>
          <w:szCs w:val="24"/>
        </w:rPr>
      </w:pPr>
      <w:r>
        <w:rPr>
          <w:rFonts w:hint="eastAsia" w:asciiTheme="minorEastAsia" w:hAnsiTheme="minorEastAsia" w:eastAsiaTheme="minorEastAsia"/>
          <w:bCs/>
          <w:sz w:val="24"/>
          <w:szCs w:val="24"/>
        </w:rPr>
        <w:t>年    月    日</w:t>
      </w:r>
    </w:p>
    <w:p>
      <w:pPr>
        <w:snapToGrid w:val="0"/>
        <w:spacing w:line="420" w:lineRule="exact"/>
        <w:ind w:firstLine="321" w:firstLineChars="13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注：提供被委托受权人的身份证复印件盖公章</w:t>
      </w:r>
    </w:p>
    <w:p>
      <w:pPr>
        <w:snapToGrid w:val="0"/>
        <w:spacing w:line="420" w:lineRule="exact"/>
        <w:ind w:firstLine="321" w:firstLineChars="134"/>
        <w:jc w:val="center"/>
        <w:rPr>
          <w:rFonts w:asciiTheme="minorEastAsia" w:hAnsiTheme="minorEastAsia" w:eastAsiaTheme="minorEastAsia"/>
          <w:sz w:val="24"/>
          <w:szCs w:val="24"/>
        </w:rPr>
      </w:pPr>
    </w:p>
    <w:p>
      <w:pPr>
        <w:spacing w:line="420" w:lineRule="exact"/>
        <w:rPr>
          <w:rFonts w:asciiTheme="minorEastAsia" w:hAnsiTheme="minorEastAsia" w:eastAsiaTheme="minorEastAsia"/>
          <w:sz w:val="24"/>
          <w:szCs w:val="24"/>
        </w:rPr>
      </w:pPr>
    </w:p>
    <w:p>
      <w:pPr>
        <w:snapToGrid w:val="0"/>
        <w:spacing w:line="420" w:lineRule="exact"/>
        <w:jc w:val="center"/>
        <w:outlineLvl w:val="3"/>
        <w:rPr>
          <w:rFonts w:asciiTheme="minorEastAsia" w:hAnsiTheme="minorEastAsia" w:eastAsiaTheme="minorEastAsia"/>
          <w:sz w:val="24"/>
          <w:szCs w:val="24"/>
        </w:rPr>
      </w:pPr>
      <w:r>
        <w:rPr>
          <w:rFonts w:hint="eastAsia" w:asciiTheme="minorEastAsia" w:hAnsiTheme="minorEastAsia" w:eastAsiaTheme="minorEastAsia"/>
          <w:b/>
          <w:bCs/>
          <w:sz w:val="24"/>
          <w:szCs w:val="24"/>
        </w:rPr>
        <w:t>3、关于资格文件的声明函</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overflowPunct w:val="0"/>
        <w:adjustRightInd w:val="0"/>
        <w:spacing w:line="420" w:lineRule="exact"/>
        <w:ind w:firstLine="66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本公司愿就由贵公司组织实施的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的招标活动进行投标。本公司所提交的投标文件中所有关于投标资格的文件、证明和陈述均是真实的、准确的。若与真实情况不符，本公司愿意承担由此而产生的一切后果。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（投标人）法定代表人或被委托受权人（签字或盖章）：</w:t>
      </w:r>
    </w:p>
    <w:p>
      <w:pPr>
        <w:overflowPunct w:val="0"/>
        <w:adjustRightInd w:val="0"/>
        <w:spacing w:line="420" w:lineRule="exact"/>
        <w:ind w:left="1700" w:firstLine="425"/>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（投标人）公章：               </w:t>
      </w:r>
    </w:p>
    <w:p>
      <w:pPr>
        <w:wordWrap w:val="0"/>
        <w:overflowPunct w:val="0"/>
        <w:adjustRightInd w:val="0"/>
        <w:spacing w:line="420" w:lineRule="exact"/>
        <w:ind w:firstLine="425"/>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snapToGrid w:val="0"/>
        <w:spacing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4、投标人一般情况</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企业名称</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地址</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当地</w:t>
            </w:r>
            <w:r>
              <w:rPr>
                <w:rFonts w:hint="eastAsia" w:asciiTheme="minorEastAsia" w:hAnsiTheme="minorEastAsia" w:eastAsiaTheme="minorEastAsia"/>
                <w:sz w:val="24"/>
                <w:szCs w:val="24"/>
              </w:rPr>
              <w:t>分支机构</w:t>
            </w:r>
            <w:r>
              <w:rPr>
                <w:rFonts w:asciiTheme="minorEastAsia" w:hAnsiTheme="minorEastAsia" w:eastAsiaTheme="minorEastAsia"/>
                <w:sz w:val="24"/>
                <w:szCs w:val="24"/>
              </w:rPr>
              <w:t>地址</w:t>
            </w:r>
            <w:r>
              <w:rPr>
                <w:rFonts w:hint="eastAsia" w:asciiTheme="minorEastAsia" w:hAnsiTheme="minorEastAsia" w:eastAsiaTheme="minorEastAsia"/>
                <w:sz w:val="24"/>
                <w:szCs w:val="24"/>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电子邮件</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注册地</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注册年份</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w:t>
            </w:r>
            <w:r>
              <w:rPr>
                <w:rFonts w:asciiTheme="minorEastAsia" w:hAnsiTheme="minorEastAsia" w:eastAsiaTheme="minorEastAsia"/>
                <w:sz w:val="24"/>
                <w:szCs w:val="24"/>
                <w:u w:val="single"/>
              </w:rPr>
              <w:t xml:space="preserve">   （是否通过，何种）   </w:t>
            </w:r>
            <w:r>
              <w:rPr>
                <w:rFonts w:asciiTheme="minorEastAsia" w:hAnsiTheme="minorEastAsia" w:eastAsiaTheme="minorEastAsia"/>
                <w:sz w:val="24"/>
                <w:szCs w:val="24"/>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w:t>
            </w:r>
            <w:r>
              <w:rPr>
                <w:rFonts w:asciiTheme="minorEastAsia" w:hAnsiTheme="minorEastAsia" w:eastAsiaTheme="minorEastAsia"/>
                <w:sz w:val="24"/>
                <w:szCs w:val="24"/>
              </w:rPr>
              <w:t>营范围</w:t>
            </w:r>
            <w:r>
              <w:rPr>
                <w:rFonts w:hint="eastAsia" w:asciiTheme="minorEastAsia" w:hAnsiTheme="minorEastAsia" w:eastAsiaTheme="minorEastAsia"/>
                <w:sz w:val="24"/>
                <w:szCs w:val="24"/>
              </w:rPr>
              <w:t>：</w:t>
            </w:r>
          </w:p>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；2.</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投标人从事投标项目的</w:t>
            </w:r>
            <w:r>
              <w:rPr>
                <w:rFonts w:asciiTheme="minorEastAsia" w:hAnsiTheme="minorEastAsia" w:eastAsiaTheme="minorEastAsia"/>
                <w:sz w:val="24"/>
                <w:szCs w:val="24"/>
              </w:rPr>
              <w:t>年数</w:t>
            </w:r>
          </w:p>
        </w:tc>
        <w:tc>
          <w:tcPr>
            <w:tcW w:w="3543" w:type="dxa"/>
            <w:vAlign w:val="center"/>
          </w:tcPr>
          <w:p>
            <w:pPr>
              <w:tabs>
                <w:tab w:val="left" w:pos="993"/>
              </w:tabs>
              <w:spacing w:line="42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其他需要说明的情况</w:t>
            </w:r>
            <w:r>
              <w:rPr>
                <w:rFonts w:hint="eastAsia" w:asciiTheme="minorEastAsia" w:hAnsiTheme="minorEastAsia" w:eastAsiaTheme="minorEastAsia"/>
                <w:sz w:val="24"/>
                <w:szCs w:val="24"/>
              </w:rPr>
              <w:t>，可自行添加</w:t>
            </w:r>
          </w:p>
        </w:tc>
      </w:tr>
    </w:tbl>
    <w:p>
      <w:pPr>
        <w:pStyle w:val="7"/>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 xml:space="preserve">投标人：（盖章）             </w:t>
      </w:r>
    </w:p>
    <w:p>
      <w:pPr>
        <w:pStyle w:val="7"/>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法定代表人或被委托受权人（签字）：</w:t>
      </w:r>
    </w:p>
    <w:p>
      <w:pPr>
        <w:pStyle w:val="7"/>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日期：</w:t>
      </w:r>
    </w:p>
    <w:p>
      <w:pPr>
        <w:adjustRightInd w:val="0"/>
        <w:snapToGrid w:val="0"/>
        <w:spacing w:line="420" w:lineRule="exact"/>
        <w:ind w:left="1159" w:leftChars="1" w:hanging="1156" w:hangingChars="48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注：本表不是格式化表格，投标人可根据需要，自行添加删除。</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技术招标响应文件</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w:t>
      </w:r>
      <w:r>
        <w:rPr>
          <w:rFonts w:hint="eastAsia" w:asciiTheme="minorEastAsia" w:hAnsiTheme="minorEastAsia" w:eastAsiaTheme="minorEastAsia"/>
          <w:sz w:val="24"/>
          <w:szCs w:val="24"/>
          <w:u w:color="FF0000"/>
        </w:rPr>
        <w:t>投标人应根据本标书第三章“项目需求”提供的主要技术规范要求和服务标准等，仔细阅读并在理解的基础上</w:t>
      </w:r>
      <w:r>
        <w:rPr>
          <w:rFonts w:hint="eastAsia" w:asciiTheme="minorEastAsia" w:hAnsiTheme="minorEastAsia" w:eastAsiaTheme="minorEastAsia"/>
          <w:sz w:val="24"/>
          <w:szCs w:val="24"/>
          <w:u w:val="thick" w:color="FF0000"/>
        </w:rPr>
        <w:t>结合第四章评审方法内的评审细则</w:t>
      </w:r>
      <w:r>
        <w:rPr>
          <w:rFonts w:hint="eastAsia" w:asciiTheme="minorEastAsia" w:hAnsiTheme="minorEastAsia" w:eastAsiaTheme="minorEastAsia"/>
          <w:sz w:val="24"/>
          <w:szCs w:val="24"/>
          <w:u w:color="FF0000"/>
        </w:rPr>
        <w:t>，编写编制技术响应文件</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color="FF0000"/>
        </w:rPr>
        <w:t>以下技术标响应文件的内容，不得有缺项或漏项，否则将有可能被视为未实质性响应招标文件要求而作无效投标处理，或可能直接影响技术标评审的得分。</w:t>
      </w:r>
    </w:p>
    <w:p>
      <w:pPr>
        <w:snapToGrid w:val="0"/>
        <w:spacing w:before="240" w:beforeLines="100"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投标</w:t>
      </w:r>
      <w:r>
        <w:rPr>
          <w:rFonts w:asciiTheme="minorEastAsia" w:hAnsiTheme="minorEastAsia" w:eastAsiaTheme="minorEastAsia"/>
          <w:b/>
          <w:bCs/>
          <w:sz w:val="24"/>
          <w:szCs w:val="24"/>
        </w:rPr>
        <w:t>响应函</w:t>
      </w:r>
    </w:p>
    <w:p>
      <w:pPr>
        <w:snapToGrid w:val="0"/>
        <w:spacing w:before="240" w:beforeLines="100" w:after="240" w:afterLines="100"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依据贵单位</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项目名称)项目</w:t>
      </w:r>
      <w:r>
        <w:rPr>
          <w:rFonts w:hint="eastAsia" w:asciiTheme="minorEastAsia" w:hAnsiTheme="minorEastAsia" w:eastAsiaTheme="minorEastAsia"/>
          <w:sz w:val="24"/>
          <w:szCs w:val="24"/>
        </w:rPr>
        <w:t>公开招标</w:t>
      </w:r>
      <w:r>
        <w:rPr>
          <w:rFonts w:asciiTheme="minorEastAsia" w:hAnsiTheme="minorEastAsia" w:eastAsiaTheme="minorEastAsia"/>
          <w:sz w:val="24"/>
          <w:szCs w:val="24"/>
        </w:rPr>
        <w:t>的邀请，我方授权</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（姓名）</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（职务）为全权代表参加该项目的投标工作，全权处理本次</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的有关事宜。同时，我公司声明如下：</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1、我方愿意按照招标文件的一切要求，提供完成该项目的全部内容，我方的投标总价是根据招标文件所确定的</w:t>
      </w:r>
      <w:r>
        <w:rPr>
          <w:rFonts w:hint="eastAsia" w:asciiTheme="minorEastAsia" w:hAnsiTheme="minorEastAsia" w:eastAsiaTheme="minorEastAsia"/>
          <w:sz w:val="24"/>
          <w:szCs w:val="24"/>
          <w:lang w:eastAsia="zh-CN"/>
        </w:rPr>
        <w:t>南通市保安服务有限公司防弹运钞车采购项目（二标段）</w:t>
      </w:r>
      <w:r>
        <w:rPr>
          <w:rFonts w:hint="eastAsia" w:asciiTheme="minorEastAsia" w:hAnsiTheme="minorEastAsia" w:eastAsiaTheme="minorEastAsia"/>
          <w:sz w:val="24"/>
          <w:szCs w:val="24"/>
        </w:rPr>
        <w:t>外包范围内的全部工作人员和内容的价格体现，是为完成招标文件规定的工作所涉及到的一切费用。包括但不限于货物的制造（采购）、运输、装卸、安装调试、检测、验收、技术培训、售后服务等所有相关费用以及投标人企业利润、税费、招标代理服务费等全部费用和政策性文件规定及合同包含的所有风险、责任等各项应有费用。</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2、我方已经详细审查了全部招标文件，我方已完全清晰理解招标文件的要求，不存在任何含糊不清和误解之处，同意放弃对这些文件所提出的异议和质疑的权利。</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3、我方愿意提供招标文件中要求的所有资料。承诺所有资料文件无论是原件还是复印件均真实有效，绝无任何虚假、伪造和夸大的成份。否则，愿承担相应的后果和法律责任。</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4、我方提供的投标文件从接收截止之日算起，45个日历天内有效。</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、我方尊重评审小组所作的评定结果，认为你方有权决定中标人，还认为你方有权接受或拒绝所有的投标人，同时也清楚理解到投标报价最低并非意味着必定获得中标资格。</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、我方愿意按招标文件的规定交纳投标保证金，并同意投标人须知中关于没收投标保证金的规定。</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、一旦我方中标，我方将根据招标文件的规定，严格履行招标文件中规定的每一项要求，按期、按质、按量履行合同的义务。</w:t>
      </w:r>
    </w:p>
    <w:p>
      <w:pPr>
        <w:snapToGrid w:val="0"/>
        <w:spacing w:line="420" w:lineRule="exact"/>
        <w:ind w:firstLine="480" w:firstLineChars="200"/>
        <w:rPr>
          <w:rFonts w:asciiTheme="minorEastAsia" w:hAnsiTheme="minorEastAsia" w:eastAsiaTheme="minorEastAsia"/>
          <w:sz w:val="24"/>
          <w:szCs w:val="24"/>
        </w:rPr>
      </w:pP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（签字）</w:t>
      </w:r>
    </w:p>
    <w:p>
      <w:pPr>
        <w:snapToGrid w:val="0"/>
        <w:spacing w:line="4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20" w:lineRule="exact"/>
        <w:jc w:val="center"/>
        <w:outlineLvl w:val="3"/>
        <w:rPr>
          <w:rFonts w:asciiTheme="minorEastAsia" w:hAnsiTheme="minorEastAsia" w:eastAsiaTheme="minorEastAsia"/>
          <w:b/>
          <w:sz w:val="24"/>
          <w:szCs w:val="24"/>
        </w:rPr>
      </w:pPr>
    </w:p>
    <w:p>
      <w:pPr>
        <w:overflowPunct w:val="0"/>
        <w:adjustRightInd w:val="0"/>
        <w:spacing w:line="420" w:lineRule="exact"/>
        <w:ind w:left="1700" w:firstLine="425"/>
        <w:jc w:val="left"/>
        <w:textAlignment w:val="baseline"/>
        <w:rPr>
          <w:rFonts w:ascii="宋体" w:hAnsi="宋体" w:eastAsia="宋体"/>
          <w:sz w:val="24"/>
          <w:szCs w:val="24"/>
        </w:rPr>
      </w:pPr>
      <w:r>
        <w:rPr>
          <w:rFonts w:hint="eastAsia" w:ascii="宋体" w:hAnsi="宋体" w:eastAsia="宋体"/>
          <w:sz w:val="24"/>
          <w:szCs w:val="24"/>
        </w:rPr>
        <w:t xml:space="preserve">       </w:t>
      </w:r>
    </w:p>
    <w:p>
      <w:pPr>
        <w:snapToGrid w:val="0"/>
        <w:spacing w:line="500" w:lineRule="exact"/>
        <w:jc w:val="center"/>
        <w:outlineLvl w:val="2"/>
        <w:rPr>
          <w:rFonts w:ascii="宋体" w:hAnsi="宋体" w:eastAsia="宋体"/>
          <w:b/>
          <w:sz w:val="24"/>
          <w:szCs w:val="21"/>
        </w:rPr>
      </w:pPr>
      <w:r>
        <w:rPr>
          <w:rFonts w:hint="eastAsia" w:ascii="宋体" w:hAnsi="宋体" w:eastAsia="宋体"/>
          <w:b/>
          <w:sz w:val="24"/>
          <w:szCs w:val="21"/>
          <w:lang w:val="en-US" w:eastAsia="zh-CN"/>
        </w:rPr>
        <w:t>2、</w:t>
      </w:r>
      <w:r>
        <w:rPr>
          <w:rFonts w:ascii="宋体" w:hAnsi="宋体" w:eastAsia="宋体"/>
          <w:b/>
          <w:sz w:val="24"/>
          <w:szCs w:val="21"/>
        </w:rPr>
        <w:t>技术条款响应一览表</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77"/>
        <w:gridCol w:w="1456"/>
        <w:gridCol w:w="1750"/>
        <w:gridCol w:w="2335"/>
        <w:gridCol w:w="1401"/>
        <w:gridCol w:w="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408" w:type="pct"/>
            <w:tcBorders>
              <w:top w:val="single" w:color="auto" w:sz="12" w:space="0"/>
              <w:left w:val="single" w:color="auto" w:sz="12"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序号</w:t>
            </w:r>
          </w:p>
        </w:tc>
        <w:tc>
          <w:tcPr>
            <w:tcW w:w="648"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货物名称</w:t>
            </w:r>
          </w:p>
        </w:tc>
        <w:tc>
          <w:tcPr>
            <w:tcW w:w="739"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所投</w:t>
            </w:r>
          </w:p>
          <w:p>
            <w:pPr>
              <w:spacing w:line="500" w:lineRule="exact"/>
              <w:jc w:val="center"/>
              <w:rPr>
                <w:rFonts w:ascii="宋体" w:hAnsi="宋体" w:eastAsia="宋体"/>
                <w:dstrike/>
                <w:sz w:val="24"/>
                <w:szCs w:val="21"/>
              </w:rPr>
            </w:pPr>
            <w:r>
              <w:rPr>
                <w:rFonts w:ascii="宋体" w:hAnsi="宋体" w:eastAsia="宋体"/>
                <w:sz w:val="24"/>
                <w:szCs w:val="21"/>
              </w:rPr>
              <w:t>品牌型号</w:t>
            </w:r>
          </w:p>
        </w:tc>
        <w:tc>
          <w:tcPr>
            <w:tcW w:w="888"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招标文件</w:t>
            </w:r>
          </w:p>
          <w:p>
            <w:pPr>
              <w:spacing w:line="500" w:lineRule="exact"/>
              <w:jc w:val="center"/>
              <w:rPr>
                <w:rFonts w:ascii="宋体" w:hAnsi="宋体" w:eastAsia="宋体"/>
                <w:sz w:val="24"/>
                <w:szCs w:val="21"/>
              </w:rPr>
            </w:pPr>
            <w:r>
              <w:rPr>
                <w:rFonts w:ascii="宋体" w:hAnsi="宋体" w:eastAsia="宋体"/>
                <w:sz w:val="24"/>
                <w:szCs w:val="21"/>
              </w:rPr>
              <w:t>设备参数要求</w:t>
            </w:r>
          </w:p>
        </w:tc>
        <w:tc>
          <w:tcPr>
            <w:tcW w:w="1185"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所投设备</w:t>
            </w:r>
          </w:p>
          <w:p>
            <w:pPr>
              <w:spacing w:line="500" w:lineRule="exact"/>
              <w:jc w:val="center"/>
              <w:rPr>
                <w:rFonts w:ascii="宋体" w:hAnsi="宋体" w:eastAsia="宋体"/>
                <w:sz w:val="24"/>
                <w:szCs w:val="21"/>
              </w:rPr>
            </w:pPr>
            <w:r>
              <w:rPr>
                <w:rFonts w:ascii="宋体" w:hAnsi="宋体" w:eastAsia="宋体"/>
                <w:sz w:val="24"/>
                <w:szCs w:val="21"/>
              </w:rPr>
              <w:t>技术响应参数</w:t>
            </w:r>
          </w:p>
        </w:tc>
        <w:tc>
          <w:tcPr>
            <w:tcW w:w="711"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偏离/响应</w:t>
            </w:r>
          </w:p>
        </w:tc>
        <w:tc>
          <w:tcPr>
            <w:tcW w:w="421" w:type="pct"/>
            <w:tcBorders>
              <w:top w:val="single" w:color="auto" w:sz="12"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12" w:space="0"/>
              <w:right w:val="single" w:color="auto" w:sz="4" w:space="0"/>
            </w:tcBorders>
            <w:noWrap w:val="0"/>
            <w:vAlign w:val="top"/>
          </w:tcPr>
          <w:p>
            <w:pPr>
              <w:spacing w:line="500" w:lineRule="exact"/>
              <w:jc w:val="center"/>
              <w:rPr>
                <w:rFonts w:ascii="宋体" w:hAnsi="宋体" w:eastAsia="宋体"/>
                <w:sz w:val="24"/>
                <w:szCs w:val="21"/>
              </w:rPr>
            </w:pPr>
            <w:r>
              <w:rPr>
                <w:rFonts w:ascii="宋体" w:hAnsi="宋体" w:eastAsia="宋体"/>
                <w:sz w:val="24"/>
                <w:szCs w:val="21"/>
              </w:rPr>
              <w:t>……</w:t>
            </w:r>
          </w:p>
        </w:tc>
        <w:tc>
          <w:tcPr>
            <w:tcW w:w="648"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12"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12" w:space="0"/>
              <w:right w:val="single" w:color="auto" w:sz="12" w:space="0"/>
            </w:tcBorders>
            <w:noWrap w:val="0"/>
            <w:vAlign w:val="center"/>
          </w:tcPr>
          <w:p>
            <w:pPr>
              <w:spacing w:line="500" w:lineRule="exact"/>
              <w:jc w:val="center"/>
              <w:rPr>
                <w:rFonts w:ascii="宋体" w:hAnsi="宋体" w:eastAsia="宋体"/>
                <w:sz w:val="24"/>
                <w:szCs w:val="21"/>
              </w:rPr>
            </w:pPr>
          </w:p>
        </w:tc>
      </w:tr>
    </w:tbl>
    <w:p>
      <w:pPr>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1、投标供应商必须响应招标文件中针对招标货物提出的全部技术规格与要求。</w:t>
      </w:r>
    </w:p>
    <w:p>
      <w:pPr>
        <w:spacing w:line="360" w:lineRule="auto"/>
        <w:ind w:firstLine="480" w:firstLineChars="200"/>
        <w:rPr>
          <w:rFonts w:ascii="宋体" w:hAnsi="宋体" w:eastAsia="宋体"/>
          <w:sz w:val="24"/>
          <w:szCs w:val="24"/>
        </w:rPr>
      </w:pPr>
      <w:r>
        <w:rPr>
          <w:rFonts w:ascii="宋体" w:hAnsi="宋体" w:eastAsia="宋体"/>
          <w:sz w:val="24"/>
          <w:szCs w:val="24"/>
        </w:rPr>
        <w:t>2、投标供应商应对照招标文件第三章项目需求内的要求，逐一填写</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3、投标人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响应一览表》上明示，如不明示的视同完全响应。</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4、该表不作为投标供应商对所投标的物关于技术要求等详细描述和说明的替代。</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5、投标供应商如果虚假响应，将承担一切可能的风险。</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6、投标供应商若提供其他增值服务，可以在表中自行据实填写。</w:t>
      </w:r>
    </w:p>
    <w:p>
      <w:pPr>
        <w:snapToGrid w:val="0"/>
        <w:spacing w:line="360" w:lineRule="auto"/>
        <w:ind w:firstLine="480" w:firstLineChars="200"/>
        <w:contextualSpacing/>
        <w:rPr>
          <w:rFonts w:hint="eastAsia" w:ascii="宋体" w:hAnsi="宋体" w:eastAsia="宋体"/>
          <w:sz w:val="24"/>
          <w:szCs w:val="24"/>
        </w:rPr>
      </w:pPr>
      <w:r>
        <w:rPr>
          <w:rFonts w:hint="eastAsia" w:ascii="宋体" w:hAnsi="宋体" w:eastAsia="宋体"/>
          <w:sz w:val="24"/>
          <w:szCs w:val="24"/>
        </w:rPr>
        <w:t>7、所投品牌型号，必须确定、唯一。</w:t>
      </w:r>
    </w:p>
    <w:p>
      <w:pPr>
        <w:pStyle w:val="56"/>
        <w:ind w:firstLine="520"/>
      </w:pPr>
    </w:p>
    <w:p>
      <w:pPr>
        <w:pStyle w:val="56"/>
        <w:ind w:firstLine="520"/>
      </w:pPr>
    </w:p>
    <w:p>
      <w:pPr>
        <w:spacing w:line="500" w:lineRule="exact"/>
        <w:ind w:firstLine="480" w:firstLineChars="200"/>
        <w:contextualSpacing/>
        <w:rPr>
          <w:rFonts w:ascii="宋体" w:hAnsi="宋体" w:eastAsia="宋体"/>
          <w:sz w:val="24"/>
          <w:szCs w:val="21"/>
        </w:rPr>
      </w:pPr>
      <w:r>
        <w:rPr>
          <w:rFonts w:ascii="宋体" w:hAnsi="宋体" w:eastAsia="宋体"/>
          <w:sz w:val="24"/>
          <w:szCs w:val="21"/>
        </w:rPr>
        <w:t xml:space="preserve">             </w:t>
      </w:r>
      <w:r>
        <w:rPr>
          <w:rFonts w:hint="eastAsia" w:ascii="宋体" w:hAnsi="宋体" w:eastAsia="宋体"/>
          <w:sz w:val="24"/>
          <w:szCs w:val="21"/>
        </w:rPr>
        <w:t xml:space="preserve">          </w:t>
      </w:r>
      <w:r>
        <w:rPr>
          <w:rFonts w:ascii="宋体" w:hAnsi="宋体" w:eastAsia="宋体"/>
          <w:sz w:val="24"/>
          <w:szCs w:val="21"/>
        </w:rPr>
        <w:t>投标供应商：</w:t>
      </w:r>
      <w:r>
        <w:rPr>
          <w:rFonts w:ascii="宋体" w:hAnsi="宋体" w:eastAsia="宋体"/>
          <w:sz w:val="24"/>
          <w:szCs w:val="21"/>
          <w:u w:val="single"/>
        </w:rPr>
        <w:t xml:space="preserve">                    </w:t>
      </w:r>
      <w:r>
        <w:rPr>
          <w:rFonts w:ascii="宋体" w:hAnsi="宋体" w:eastAsia="宋体"/>
          <w:sz w:val="24"/>
          <w:szCs w:val="21"/>
        </w:rPr>
        <w:t>（加盖公章）</w:t>
      </w:r>
    </w:p>
    <w:p>
      <w:pPr>
        <w:spacing w:line="500" w:lineRule="exact"/>
        <w:ind w:firstLine="480" w:firstLineChars="200"/>
        <w:contextualSpacing/>
        <w:rPr>
          <w:rFonts w:ascii="宋体" w:hAnsi="宋体" w:eastAsia="宋体"/>
          <w:sz w:val="24"/>
          <w:szCs w:val="21"/>
        </w:rPr>
      </w:pPr>
      <w:r>
        <w:rPr>
          <w:rFonts w:hint="eastAsia" w:ascii="宋体" w:hAnsi="宋体" w:eastAsia="宋体"/>
          <w:sz w:val="24"/>
          <w:szCs w:val="21"/>
        </w:rPr>
        <w:t xml:space="preserve">                       </w:t>
      </w:r>
      <w:r>
        <w:rPr>
          <w:rFonts w:ascii="宋体" w:hAnsi="宋体" w:eastAsia="宋体"/>
          <w:sz w:val="24"/>
          <w:szCs w:val="21"/>
        </w:rPr>
        <w:t>法定代表人或被授权人：</w:t>
      </w:r>
      <w:r>
        <w:rPr>
          <w:rFonts w:ascii="宋体" w:hAnsi="宋体" w:eastAsia="宋体"/>
          <w:sz w:val="24"/>
          <w:szCs w:val="21"/>
          <w:u w:val="single"/>
        </w:rPr>
        <w:t xml:space="preserve">         </w:t>
      </w:r>
      <w:r>
        <w:rPr>
          <w:rFonts w:ascii="宋体" w:hAnsi="宋体" w:eastAsia="宋体"/>
          <w:sz w:val="24"/>
          <w:szCs w:val="21"/>
        </w:rPr>
        <w:t>（签字或盖章）</w:t>
      </w:r>
    </w:p>
    <w:p>
      <w:pPr>
        <w:spacing w:line="500" w:lineRule="exact"/>
        <w:ind w:firstLine="480" w:firstLineChars="200"/>
        <w:contextualSpacing/>
        <w:jc w:val="center"/>
        <w:rPr>
          <w:rFonts w:ascii="宋体" w:hAnsi="宋体" w:eastAsia="宋体"/>
          <w:sz w:val="24"/>
          <w:szCs w:val="21"/>
        </w:rPr>
      </w:pPr>
      <w:r>
        <w:rPr>
          <w:rFonts w:hint="eastAsia" w:ascii="宋体" w:hAnsi="宋体" w:eastAsia="宋体"/>
          <w:sz w:val="24"/>
          <w:szCs w:val="21"/>
        </w:rPr>
        <w:t xml:space="preserve">                                           </w:t>
      </w:r>
      <w:r>
        <w:rPr>
          <w:rFonts w:ascii="宋体" w:hAnsi="宋体" w:eastAsia="宋体"/>
          <w:sz w:val="24"/>
          <w:szCs w:val="21"/>
        </w:rPr>
        <w:t>年    月    日</w:t>
      </w:r>
    </w:p>
    <w:p>
      <w:pPr>
        <w:spacing w:line="420" w:lineRule="exact"/>
        <w:ind w:firstLine="487" w:firstLineChars="202"/>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、招标文件第四章评审程序和方法要求提交的其它材料</w:t>
      </w:r>
    </w:p>
    <w:p>
      <w:pPr>
        <w:pStyle w:val="21"/>
        <w:rPr>
          <w:rFonts w:asciiTheme="minorEastAsia" w:hAnsiTheme="minorEastAsia" w:eastAsiaTheme="minorEastAsia"/>
        </w:rPr>
      </w:pPr>
    </w:p>
    <w:p>
      <w:pPr>
        <w:snapToGrid w:val="0"/>
        <w:spacing w:line="420" w:lineRule="exact"/>
        <w:outlineLvl w:val="2"/>
        <w:rPr>
          <w:rFonts w:asciiTheme="minorEastAsia" w:hAnsiTheme="minorEastAsia" w:eastAsiaTheme="minorEastAsia"/>
          <w:b/>
          <w:sz w:val="24"/>
          <w:szCs w:val="24"/>
        </w:rPr>
      </w:pPr>
    </w:p>
    <w:p>
      <w:pPr>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、投标响应报价总表</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投标人：（盖章）             </w:t>
      </w:r>
    </w:p>
    <w:tbl>
      <w:tblPr>
        <w:tblStyle w:val="57"/>
        <w:tblpPr w:leftFromText="180" w:rightFromText="180" w:vertAnchor="text" w:horzAnchor="page" w:tblpX="1369" w:tblpY="61"/>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74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35" w:type="dxa"/>
            <w:tcBorders>
              <w:top w:val="single" w:color="auto" w:sz="18" w:space="0"/>
              <w:left w:val="single" w:color="auto" w:sz="18"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746" w:type="dxa"/>
            <w:tcBorders>
              <w:top w:val="single" w:color="auto" w:sz="18" w:space="0"/>
              <w:right w:val="single" w:color="auto" w:sz="18" w:space="0"/>
            </w:tcBorders>
            <w:vAlign w:val="center"/>
          </w:tcPr>
          <w:p>
            <w:pPr>
              <w:snapToGrid w:val="0"/>
              <w:spacing w:line="420" w:lineRule="exact"/>
              <w:ind w:left="1133" w:hanging="1132" w:hangingChars="472"/>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标段名称</w:t>
            </w:r>
          </w:p>
        </w:tc>
        <w:tc>
          <w:tcPr>
            <w:tcW w:w="3878" w:type="dxa"/>
            <w:tcBorders>
              <w:top w:val="single" w:color="auto" w:sz="18" w:space="0"/>
              <w:right w:val="single" w:color="auto" w:sz="18"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535" w:type="dxa"/>
            <w:tcBorders>
              <w:left w:val="single" w:color="auto" w:sz="18" w:space="0"/>
            </w:tcBorders>
            <w:vAlign w:val="center"/>
          </w:tcPr>
          <w:p>
            <w:pPr>
              <w:snapToGrid w:val="0"/>
              <w:spacing w:line="420" w:lineRule="exact"/>
              <w:ind w:left="2"/>
              <w:rPr>
                <w:rFonts w:hint="eastAsia" w:asciiTheme="minorEastAsia" w:hAnsiTheme="minorEastAsia" w:eastAsiaTheme="minorEastAsia"/>
                <w:sz w:val="24"/>
                <w:szCs w:val="24"/>
                <w:lang w:eastAsia="zh-CN"/>
              </w:rPr>
            </w:pPr>
          </w:p>
        </w:tc>
        <w:tc>
          <w:tcPr>
            <w:tcW w:w="2746" w:type="dxa"/>
            <w:tcBorders>
              <w:right w:val="single" w:color="auto" w:sz="18" w:space="0"/>
            </w:tcBorders>
            <w:vAlign w:val="center"/>
          </w:tcPr>
          <w:p>
            <w:pPr>
              <w:snapToGrid w:val="0"/>
              <w:spacing w:line="420" w:lineRule="exact"/>
              <w:ind w:left="2"/>
              <w:rPr>
                <w:rFonts w:hint="eastAsia" w:asciiTheme="minorEastAsia" w:hAnsiTheme="minorEastAsia" w:eastAsiaTheme="minorEastAsia"/>
                <w:sz w:val="24"/>
                <w:szCs w:val="24"/>
                <w:lang w:eastAsia="zh-CN"/>
              </w:rPr>
            </w:pPr>
          </w:p>
        </w:tc>
        <w:tc>
          <w:tcPr>
            <w:tcW w:w="3878" w:type="dxa"/>
            <w:tcBorders>
              <w:right w:val="single" w:color="auto" w:sz="18" w:space="0"/>
            </w:tcBorders>
            <w:vAlign w:val="center"/>
          </w:tcPr>
          <w:p>
            <w:pPr>
              <w:snapToGrid w:val="0"/>
              <w:spacing w:line="420" w:lineRule="exact"/>
              <w:jc w:val="center"/>
              <w:rPr>
                <w:rFonts w:asciiTheme="minorEastAsia" w:hAnsiTheme="minorEastAsia" w:eastAsiaTheme="minorEastAsia"/>
                <w:sz w:val="24"/>
                <w:szCs w:val="24"/>
              </w:rPr>
            </w:pPr>
            <w:r>
              <w:rPr>
                <w:rFonts w:hint="eastAsia" w:ascii="宋体" w:hAnsi="宋体" w:eastAsia="宋体"/>
                <w:sz w:val="24"/>
                <w:u w:val="single"/>
              </w:rPr>
              <w:t xml:space="preserve">      </w:t>
            </w:r>
            <w:r>
              <w:rPr>
                <w:rFonts w:ascii="宋体" w:hAnsi="宋体" w:eastAsia="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35" w:type="dxa"/>
            <w:tcBorders>
              <w:left w:val="single" w:color="auto" w:sz="18" w:space="0"/>
              <w:bottom w:val="single" w:color="auto" w:sz="18" w:space="0"/>
            </w:tcBorders>
            <w:vAlign w:val="center"/>
          </w:tcPr>
          <w:p>
            <w:pPr>
              <w:snapToGrid w:val="0"/>
              <w:spacing w:line="420" w:lineRule="exact"/>
              <w:ind w:left="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商务付款条件</w:t>
            </w:r>
          </w:p>
        </w:tc>
        <w:tc>
          <w:tcPr>
            <w:tcW w:w="2746" w:type="dxa"/>
            <w:tcBorders>
              <w:bottom w:val="single" w:color="auto" w:sz="18" w:space="0"/>
              <w:right w:val="single" w:color="auto" w:sz="18" w:space="0"/>
            </w:tcBorders>
            <w:vAlign w:val="center"/>
          </w:tcPr>
          <w:p>
            <w:pPr>
              <w:snapToGrid w:val="0"/>
              <w:spacing w:line="420" w:lineRule="exact"/>
              <w:ind w:left="2"/>
              <w:jc w:val="center"/>
              <w:rPr>
                <w:rFonts w:hint="eastAsia" w:asciiTheme="minorEastAsia" w:hAnsiTheme="minorEastAsia" w:eastAsiaTheme="minorEastAsia"/>
                <w:sz w:val="24"/>
                <w:szCs w:val="24"/>
              </w:rPr>
            </w:pPr>
          </w:p>
        </w:tc>
        <w:tc>
          <w:tcPr>
            <w:tcW w:w="3878" w:type="dxa"/>
            <w:tcBorders>
              <w:bottom w:val="single" w:color="auto" w:sz="18" w:space="0"/>
              <w:right w:val="single" w:color="auto" w:sz="18" w:space="0"/>
            </w:tcBorders>
            <w:vAlign w:val="center"/>
          </w:tcPr>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完全接受并响应本项目招标文件的要求。</w:t>
            </w:r>
          </w:p>
        </w:tc>
      </w:tr>
    </w:tbl>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napToGrid w:val="0"/>
        <w:spacing w:line="420" w:lineRule="exact"/>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201"/>
        <w:numPr>
          <w:ilvl w:val="0"/>
          <w:numId w:val="7"/>
        </w:numPr>
        <w:snapToGrid w:val="0"/>
        <w:spacing w:line="420" w:lineRule="exact"/>
        <w:ind w:firstLineChars="0"/>
        <w:rPr>
          <w:rFonts w:asciiTheme="minorEastAsia" w:hAnsiTheme="minorEastAsia" w:eastAsiaTheme="minorEastAsia"/>
          <w:sz w:val="24"/>
        </w:rPr>
      </w:pPr>
      <w:r>
        <w:rPr>
          <w:rFonts w:hint="eastAsia" w:asciiTheme="minorEastAsia" w:hAnsiTheme="minorEastAsia" w:eastAsiaTheme="minorEastAsia"/>
          <w:sz w:val="24"/>
        </w:rPr>
        <w:t>本表为格式表，不得自行改动，必须提供，否则视为未实质性响应招标文件。</w:t>
      </w:r>
    </w:p>
    <w:p>
      <w:pPr>
        <w:snapToGrid w:val="0"/>
        <w:spacing w:line="42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（2）说明：各投标人的报价不得高于最高限价，超过最高限价的，均作无效投标处理。</w:t>
      </w:r>
    </w:p>
    <w:p>
      <w:pPr>
        <w:snapToGrid w:val="0"/>
        <w:spacing w:line="42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（3）投标报价包含招标文件所确定的</w:t>
      </w:r>
      <w:r>
        <w:rPr>
          <w:rFonts w:hint="eastAsia" w:asciiTheme="minorEastAsia" w:hAnsiTheme="minorEastAsia" w:eastAsiaTheme="minorEastAsia"/>
          <w:sz w:val="24"/>
          <w:szCs w:val="24"/>
          <w:lang w:eastAsia="zh-CN"/>
        </w:rPr>
        <w:t>南通市保安服务有限公司防弹运钞车采购项目（二标段）</w:t>
      </w:r>
      <w:r>
        <w:rPr>
          <w:rFonts w:hint="eastAsia" w:asciiTheme="minorEastAsia" w:hAnsiTheme="minorEastAsia" w:eastAsiaTheme="minorEastAsia"/>
          <w:sz w:val="24"/>
          <w:szCs w:val="24"/>
        </w:rPr>
        <w:t>外包范围内的全部工作人员和内容的价格体现，是为完成招标文件规定的工作所涉及到的一切费用。包括但不限于货物的制造（采购）、运输、装卸、安装调试、检测、验收、技术培训、售后服务等所有相关费用以及投标人企业利润、税费、招标代理服务费等全部费用和政策性文件规定及合同包含的所有风险、责任等各项应有费用。</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2、投标报价明细表</w:t>
      </w:r>
    </w:p>
    <w:tbl>
      <w:tblPr>
        <w:tblStyle w:val="5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934"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w:t>
            </w:r>
          </w:p>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名称</w:t>
            </w:r>
          </w:p>
        </w:tc>
        <w:tc>
          <w:tcPr>
            <w:tcW w:w="780"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1117"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规格型号</w:t>
            </w:r>
          </w:p>
        </w:tc>
        <w:tc>
          <w:tcPr>
            <w:tcW w:w="1799"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技术参数</w:t>
            </w:r>
          </w:p>
        </w:tc>
        <w:tc>
          <w:tcPr>
            <w:tcW w:w="613"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618"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c>
          <w:tcPr>
            <w:tcW w:w="1991" w:type="dxa"/>
            <w:gridSpan w:val="2"/>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34"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780"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w:t>
            </w: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     计</w:t>
            </w: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bl>
    <w:p>
      <w:pPr>
        <w:overflowPunct w:val="0"/>
        <w:spacing w:line="420" w:lineRule="exact"/>
        <w:jc w:val="center"/>
        <w:textAlignment w:val="baseline"/>
        <w:rPr>
          <w:rFonts w:asciiTheme="minorEastAsia" w:hAnsiTheme="minorEastAsia" w:eastAsiaTheme="minorEastAsia"/>
          <w:bCs/>
          <w:sz w:val="24"/>
          <w:szCs w:val="24"/>
        </w:rPr>
      </w:pPr>
      <w:r>
        <w:rPr>
          <w:rFonts w:hint="eastAsia" w:asciiTheme="minorEastAsia" w:hAnsiTheme="minorEastAsia" w:eastAsiaTheme="minorEastAsia"/>
          <w:bCs/>
          <w:sz w:val="24"/>
          <w:szCs w:val="24"/>
        </w:rPr>
        <w:t>……全文结束……</w:t>
      </w:r>
    </w:p>
    <w:sectPr>
      <w:footerReference r:id="rId11" w:type="first"/>
      <w:headerReference r:id="rId9" w:type="default"/>
      <w:footerReference r:id="rId10" w:type="default"/>
      <w:pgSz w:w="11906" w:h="16838"/>
      <w:pgMar w:top="1239" w:right="851" w:bottom="851" w:left="1418" w:header="851" w:footer="522" w:gutter="0"/>
      <w:pgNumType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
      <w:rPr>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ind w:right="180"/>
                            <w:jc w:val="both"/>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34"/>
                      <w:ind w:right="180"/>
                      <w:jc w:val="both"/>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ind w:right="180"/>
                            <w:jc w:val="both"/>
                          </w:pP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34"/>
                      <w:ind w:right="180"/>
                      <w:jc w:val="both"/>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16"/>
        <w:tab w:val="clear" w:pos="4153"/>
        <w:tab w:val="clear" w:pos="8306"/>
      </w:tabs>
      <w:ind w:right="4"/>
      <w:rPr>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ind w:right="180"/>
                            <w:jc w:val="both"/>
                          </w:pP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lg8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YQJYPLAQAAnAMAAA4AAAAAAAAAAQAgAAAAHgEAAGRycy9lMm9E&#10;b2MueG1sUEsFBgAAAAAGAAYAWQEAAFsFAAAAAA==&#10;">
              <v:fill on="f" focussize="0,0"/>
              <v:stroke on="f"/>
              <v:imagedata o:title=""/>
              <o:lock v:ext="edit" aspectratio="f"/>
              <v:textbox inset="0mm,0mm,0mm,0mm" style="mso-fit-shape-to-text:t;">
                <w:txbxContent>
                  <w:p>
                    <w:pPr>
                      <w:pStyle w:val="34"/>
                      <w:ind w:right="180"/>
                      <w:jc w:val="both"/>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szCs w:val="18"/>
      </w:rPr>
    </w:pPr>
    <w:r>
      <w:rPr>
        <w:rFonts w:hint="eastAsia"/>
        <w:szCs w:val="18"/>
        <w:lang w:eastAsia="zh-CN"/>
      </w:rPr>
      <w:t>南通市保安服务有限公司防弹运钞车采购项目（二标段）</w:t>
    </w:r>
    <w:r>
      <w:rPr>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szCs w:val="18"/>
      </w:rPr>
    </w:pPr>
    <w:r>
      <w:rPr>
        <w:rFonts w:hint="eastAsia"/>
        <w:szCs w:val="18"/>
        <w:lang w:eastAsia="zh-CN"/>
      </w:rPr>
      <w:t>南通市保安服务有限公司防弹运钞车采购项目（二标段）</w:t>
    </w:r>
    <w:r>
      <w:rPr>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307"/>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15D6C"/>
    <w:multiLevelType w:val="singleLevel"/>
    <w:tmpl w:val="87115D6C"/>
    <w:lvl w:ilvl="0" w:tentative="0">
      <w:start w:val="1"/>
      <w:numFmt w:val="decimal"/>
      <w:suff w:val="nothing"/>
      <w:lvlText w:val="%1、"/>
      <w:lvlJc w:val="left"/>
    </w:lvl>
  </w:abstractNum>
  <w:abstractNum w:abstractNumId="1">
    <w:nsid w:val="FE73AE74"/>
    <w:multiLevelType w:val="singleLevel"/>
    <w:tmpl w:val="FE73AE74"/>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suff w:val="nothing"/>
      <w:lvlText w:val="%1、"/>
      <w:lvlJc w:val="left"/>
      <w:pPr>
        <w:ind w:left="8" w:firstLine="560"/>
      </w:pPr>
      <w:rPr>
        <w:rFonts w:hint="default"/>
        <w:b w:val="0"/>
        <w:sz w:val="24"/>
        <w:szCs w:val="24"/>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A4228F0"/>
    <w:multiLevelType w:val="multilevel"/>
    <w:tmpl w:val="0A4228F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
    <w:nsid w:val="19E93177"/>
    <w:multiLevelType w:val="multilevel"/>
    <w:tmpl w:val="19E93177"/>
    <w:lvl w:ilvl="0" w:tentative="0">
      <w:start w:val="1"/>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5">
    <w:nsid w:val="1FFC23BE"/>
    <w:multiLevelType w:val="singleLevel"/>
    <w:tmpl w:val="1FFC23BE"/>
    <w:lvl w:ilvl="0" w:tentative="0">
      <w:start w:val="1"/>
      <w:numFmt w:val="decimal"/>
      <w:suff w:val="space"/>
      <w:lvlText w:val="(%1)"/>
      <w:lvlJc w:val="left"/>
    </w:lvl>
  </w:abstractNum>
  <w:abstractNum w:abstractNumId="6">
    <w:nsid w:val="4B57CB40"/>
    <w:multiLevelType w:val="singleLevel"/>
    <w:tmpl w:val="4B57CB40"/>
    <w:lvl w:ilvl="0" w:tentative="0">
      <w:start w:val="1"/>
      <w:numFmt w:val="decimal"/>
      <w:suff w:val="nothing"/>
      <w:lvlText w:val="%1、"/>
      <w:lvlJc w:val="left"/>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hideSpellingErrors/>
  <w:attachedTemplate r:id="rId1"/>
  <w:documentProtection w:enforcement="0"/>
  <w:defaultTabStop w:val="425"/>
  <w:drawingGridHorizontalSpacing w:val="0"/>
  <w:drawingGridVerticalSpacing w:val="190"/>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172A27"/>
    <w:rsid w:val="000023C2"/>
    <w:rsid w:val="00004177"/>
    <w:rsid w:val="000165F2"/>
    <w:rsid w:val="0002194C"/>
    <w:rsid w:val="000223F7"/>
    <w:rsid w:val="0002499A"/>
    <w:rsid w:val="0002729A"/>
    <w:rsid w:val="00030745"/>
    <w:rsid w:val="000353EA"/>
    <w:rsid w:val="000374D2"/>
    <w:rsid w:val="00040B44"/>
    <w:rsid w:val="0004377F"/>
    <w:rsid w:val="00045B1D"/>
    <w:rsid w:val="00052F18"/>
    <w:rsid w:val="00054574"/>
    <w:rsid w:val="00054F1E"/>
    <w:rsid w:val="00055762"/>
    <w:rsid w:val="00055E9B"/>
    <w:rsid w:val="00055EAE"/>
    <w:rsid w:val="00057B9A"/>
    <w:rsid w:val="00067E7E"/>
    <w:rsid w:val="00071298"/>
    <w:rsid w:val="0007268B"/>
    <w:rsid w:val="00072AF9"/>
    <w:rsid w:val="00081E88"/>
    <w:rsid w:val="00083EF3"/>
    <w:rsid w:val="00084DEA"/>
    <w:rsid w:val="0009184C"/>
    <w:rsid w:val="00091B9B"/>
    <w:rsid w:val="00092319"/>
    <w:rsid w:val="00093177"/>
    <w:rsid w:val="000962E6"/>
    <w:rsid w:val="00097DC7"/>
    <w:rsid w:val="000A14F5"/>
    <w:rsid w:val="000A77BD"/>
    <w:rsid w:val="000B50DC"/>
    <w:rsid w:val="000B5364"/>
    <w:rsid w:val="000B5BC9"/>
    <w:rsid w:val="000C44D4"/>
    <w:rsid w:val="000C6DD6"/>
    <w:rsid w:val="000D422E"/>
    <w:rsid w:val="000D6F04"/>
    <w:rsid w:val="000E0355"/>
    <w:rsid w:val="000E7035"/>
    <w:rsid w:val="000E784B"/>
    <w:rsid w:val="000F106E"/>
    <w:rsid w:val="000F2A02"/>
    <w:rsid w:val="000F5026"/>
    <w:rsid w:val="000F60F3"/>
    <w:rsid w:val="0010360A"/>
    <w:rsid w:val="001037BE"/>
    <w:rsid w:val="001043CD"/>
    <w:rsid w:val="00105021"/>
    <w:rsid w:val="001058D4"/>
    <w:rsid w:val="00111BDD"/>
    <w:rsid w:val="001165C0"/>
    <w:rsid w:val="00117CDB"/>
    <w:rsid w:val="0012163E"/>
    <w:rsid w:val="001315C1"/>
    <w:rsid w:val="00132F1B"/>
    <w:rsid w:val="00136758"/>
    <w:rsid w:val="001431C1"/>
    <w:rsid w:val="00144017"/>
    <w:rsid w:val="001525E8"/>
    <w:rsid w:val="00156E70"/>
    <w:rsid w:val="001608DD"/>
    <w:rsid w:val="001652D1"/>
    <w:rsid w:val="00172A27"/>
    <w:rsid w:val="00182FA5"/>
    <w:rsid w:val="0018334C"/>
    <w:rsid w:val="00186674"/>
    <w:rsid w:val="001914CF"/>
    <w:rsid w:val="0019184B"/>
    <w:rsid w:val="001A241E"/>
    <w:rsid w:val="001A324E"/>
    <w:rsid w:val="001A4E52"/>
    <w:rsid w:val="001A6253"/>
    <w:rsid w:val="001A69B6"/>
    <w:rsid w:val="001B0B46"/>
    <w:rsid w:val="001B776F"/>
    <w:rsid w:val="001D09C1"/>
    <w:rsid w:val="001D0ED8"/>
    <w:rsid w:val="001D24A8"/>
    <w:rsid w:val="001D38BC"/>
    <w:rsid w:val="001D3D4E"/>
    <w:rsid w:val="001D7596"/>
    <w:rsid w:val="001E33FA"/>
    <w:rsid w:val="001E37AB"/>
    <w:rsid w:val="001E64FE"/>
    <w:rsid w:val="001E7111"/>
    <w:rsid w:val="001E7EDB"/>
    <w:rsid w:val="001F0E41"/>
    <w:rsid w:val="001F46CC"/>
    <w:rsid w:val="00203C97"/>
    <w:rsid w:val="00205CAD"/>
    <w:rsid w:val="00206FA3"/>
    <w:rsid w:val="00210D3F"/>
    <w:rsid w:val="00213B68"/>
    <w:rsid w:val="00221244"/>
    <w:rsid w:val="00227BEF"/>
    <w:rsid w:val="002312C3"/>
    <w:rsid w:val="00232600"/>
    <w:rsid w:val="0023768B"/>
    <w:rsid w:val="00240452"/>
    <w:rsid w:val="0024123F"/>
    <w:rsid w:val="00241F40"/>
    <w:rsid w:val="002466F2"/>
    <w:rsid w:val="002508AF"/>
    <w:rsid w:val="00252CB3"/>
    <w:rsid w:val="00252CDD"/>
    <w:rsid w:val="0025403A"/>
    <w:rsid w:val="0025782C"/>
    <w:rsid w:val="00261064"/>
    <w:rsid w:val="0026630D"/>
    <w:rsid w:val="002675A1"/>
    <w:rsid w:val="0028301F"/>
    <w:rsid w:val="00284F8E"/>
    <w:rsid w:val="00290056"/>
    <w:rsid w:val="00290B56"/>
    <w:rsid w:val="00292D3A"/>
    <w:rsid w:val="002A12C8"/>
    <w:rsid w:val="002A1FD2"/>
    <w:rsid w:val="002A7AF3"/>
    <w:rsid w:val="002B2BA5"/>
    <w:rsid w:val="002B2EF8"/>
    <w:rsid w:val="002B70FD"/>
    <w:rsid w:val="002B77B8"/>
    <w:rsid w:val="002C52C7"/>
    <w:rsid w:val="002D003A"/>
    <w:rsid w:val="002D4115"/>
    <w:rsid w:val="002E3E90"/>
    <w:rsid w:val="002E440F"/>
    <w:rsid w:val="002F181A"/>
    <w:rsid w:val="002F3923"/>
    <w:rsid w:val="002F392B"/>
    <w:rsid w:val="002F3A4F"/>
    <w:rsid w:val="002F48DF"/>
    <w:rsid w:val="002F4A91"/>
    <w:rsid w:val="002F6E69"/>
    <w:rsid w:val="002F7463"/>
    <w:rsid w:val="002F7716"/>
    <w:rsid w:val="003006B4"/>
    <w:rsid w:val="003010BE"/>
    <w:rsid w:val="00301FA9"/>
    <w:rsid w:val="00312DA9"/>
    <w:rsid w:val="00314F92"/>
    <w:rsid w:val="00315AFC"/>
    <w:rsid w:val="00317BDB"/>
    <w:rsid w:val="003211E3"/>
    <w:rsid w:val="00323C3A"/>
    <w:rsid w:val="00324B6E"/>
    <w:rsid w:val="00327DFE"/>
    <w:rsid w:val="0033769F"/>
    <w:rsid w:val="0034142B"/>
    <w:rsid w:val="0034439F"/>
    <w:rsid w:val="00347699"/>
    <w:rsid w:val="0035144C"/>
    <w:rsid w:val="00351C38"/>
    <w:rsid w:val="00352A1A"/>
    <w:rsid w:val="00352B9C"/>
    <w:rsid w:val="003536CC"/>
    <w:rsid w:val="00353AC5"/>
    <w:rsid w:val="00353D59"/>
    <w:rsid w:val="00357A5B"/>
    <w:rsid w:val="00362A3A"/>
    <w:rsid w:val="0036491A"/>
    <w:rsid w:val="00365A6D"/>
    <w:rsid w:val="00365A71"/>
    <w:rsid w:val="00370FBD"/>
    <w:rsid w:val="003757EB"/>
    <w:rsid w:val="00380D2E"/>
    <w:rsid w:val="0038506E"/>
    <w:rsid w:val="00386D2E"/>
    <w:rsid w:val="00387636"/>
    <w:rsid w:val="00390658"/>
    <w:rsid w:val="003948C6"/>
    <w:rsid w:val="003A0BDF"/>
    <w:rsid w:val="003A0E40"/>
    <w:rsid w:val="003A2920"/>
    <w:rsid w:val="003A34AC"/>
    <w:rsid w:val="003A3B0E"/>
    <w:rsid w:val="003A5977"/>
    <w:rsid w:val="003A601C"/>
    <w:rsid w:val="003A69BD"/>
    <w:rsid w:val="003A6F91"/>
    <w:rsid w:val="003B3A31"/>
    <w:rsid w:val="003B7355"/>
    <w:rsid w:val="003C040F"/>
    <w:rsid w:val="003C0D1A"/>
    <w:rsid w:val="003C781A"/>
    <w:rsid w:val="003D1FA1"/>
    <w:rsid w:val="003D25DE"/>
    <w:rsid w:val="003E01F5"/>
    <w:rsid w:val="003E0890"/>
    <w:rsid w:val="003E11A0"/>
    <w:rsid w:val="003E11AE"/>
    <w:rsid w:val="003E2522"/>
    <w:rsid w:val="003E25FF"/>
    <w:rsid w:val="003E2638"/>
    <w:rsid w:val="003E5AC2"/>
    <w:rsid w:val="003E5E1B"/>
    <w:rsid w:val="003E7310"/>
    <w:rsid w:val="003F1939"/>
    <w:rsid w:val="003F1BB6"/>
    <w:rsid w:val="003F2052"/>
    <w:rsid w:val="003F215A"/>
    <w:rsid w:val="003F2199"/>
    <w:rsid w:val="003F21FB"/>
    <w:rsid w:val="003F3B5E"/>
    <w:rsid w:val="00401527"/>
    <w:rsid w:val="004042FA"/>
    <w:rsid w:val="004051EC"/>
    <w:rsid w:val="00406A24"/>
    <w:rsid w:val="0041070D"/>
    <w:rsid w:val="00411FDD"/>
    <w:rsid w:val="0041260F"/>
    <w:rsid w:val="00413C1E"/>
    <w:rsid w:val="004174D8"/>
    <w:rsid w:val="00417FB8"/>
    <w:rsid w:val="00433083"/>
    <w:rsid w:val="0043328A"/>
    <w:rsid w:val="00433AD3"/>
    <w:rsid w:val="0043580F"/>
    <w:rsid w:val="00446350"/>
    <w:rsid w:val="0044779B"/>
    <w:rsid w:val="00451E84"/>
    <w:rsid w:val="00452260"/>
    <w:rsid w:val="004536DF"/>
    <w:rsid w:val="004550AB"/>
    <w:rsid w:val="0046048F"/>
    <w:rsid w:val="004643BB"/>
    <w:rsid w:val="00465C3A"/>
    <w:rsid w:val="00465EB3"/>
    <w:rsid w:val="00467378"/>
    <w:rsid w:val="00470038"/>
    <w:rsid w:val="00471499"/>
    <w:rsid w:val="00471E9A"/>
    <w:rsid w:val="00472B6E"/>
    <w:rsid w:val="004731CC"/>
    <w:rsid w:val="004749B5"/>
    <w:rsid w:val="00476F31"/>
    <w:rsid w:val="00477980"/>
    <w:rsid w:val="00481DBC"/>
    <w:rsid w:val="00482FE8"/>
    <w:rsid w:val="00484CB4"/>
    <w:rsid w:val="0048508F"/>
    <w:rsid w:val="00494BCA"/>
    <w:rsid w:val="004A18E6"/>
    <w:rsid w:val="004A2674"/>
    <w:rsid w:val="004A30AD"/>
    <w:rsid w:val="004A3651"/>
    <w:rsid w:val="004A3F5B"/>
    <w:rsid w:val="004A6877"/>
    <w:rsid w:val="004B01E8"/>
    <w:rsid w:val="004B5E33"/>
    <w:rsid w:val="004B73B9"/>
    <w:rsid w:val="004C0167"/>
    <w:rsid w:val="004C3526"/>
    <w:rsid w:val="004C4B35"/>
    <w:rsid w:val="004C753D"/>
    <w:rsid w:val="004D520F"/>
    <w:rsid w:val="004D5AA7"/>
    <w:rsid w:val="004D5C11"/>
    <w:rsid w:val="004E0791"/>
    <w:rsid w:val="004E29AE"/>
    <w:rsid w:val="004E4B61"/>
    <w:rsid w:val="004E7A3A"/>
    <w:rsid w:val="004F011C"/>
    <w:rsid w:val="004F07CD"/>
    <w:rsid w:val="004F0AEA"/>
    <w:rsid w:val="004F0C65"/>
    <w:rsid w:val="004F31CA"/>
    <w:rsid w:val="004F4DE1"/>
    <w:rsid w:val="004F7C54"/>
    <w:rsid w:val="00502169"/>
    <w:rsid w:val="00506895"/>
    <w:rsid w:val="00512392"/>
    <w:rsid w:val="00514515"/>
    <w:rsid w:val="0051539A"/>
    <w:rsid w:val="00515CE9"/>
    <w:rsid w:val="00517C56"/>
    <w:rsid w:val="00523B1D"/>
    <w:rsid w:val="005242D3"/>
    <w:rsid w:val="005251DB"/>
    <w:rsid w:val="005257FE"/>
    <w:rsid w:val="0053257A"/>
    <w:rsid w:val="005326FB"/>
    <w:rsid w:val="00541A4E"/>
    <w:rsid w:val="00543741"/>
    <w:rsid w:val="005440AB"/>
    <w:rsid w:val="00546EF0"/>
    <w:rsid w:val="00550E36"/>
    <w:rsid w:val="00551B8F"/>
    <w:rsid w:val="00552B8C"/>
    <w:rsid w:val="005562E4"/>
    <w:rsid w:val="005659DF"/>
    <w:rsid w:val="00567176"/>
    <w:rsid w:val="0057277D"/>
    <w:rsid w:val="00575064"/>
    <w:rsid w:val="00575901"/>
    <w:rsid w:val="00575BCB"/>
    <w:rsid w:val="00575E95"/>
    <w:rsid w:val="00576309"/>
    <w:rsid w:val="00581A92"/>
    <w:rsid w:val="0058442C"/>
    <w:rsid w:val="00592949"/>
    <w:rsid w:val="005938F1"/>
    <w:rsid w:val="00594D81"/>
    <w:rsid w:val="0059710C"/>
    <w:rsid w:val="005A0DFC"/>
    <w:rsid w:val="005A5FDD"/>
    <w:rsid w:val="005A60B1"/>
    <w:rsid w:val="005A7DDD"/>
    <w:rsid w:val="005B005D"/>
    <w:rsid w:val="005B23AC"/>
    <w:rsid w:val="005B336C"/>
    <w:rsid w:val="005B3755"/>
    <w:rsid w:val="005C4811"/>
    <w:rsid w:val="005D091A"/>
    <w:rsid w:val="005D226A"/>
    <w:rsid w:val="005D3603"/>
    <w:rsid w:val="005D4022"/>
    <w:rsid w:val="005D4ADC"/>
    <w:rsid w:val="005E318D"/>
    <w:rsid w:val="005E4468"/>
    <w:rsid w:val="005E70D7"/>
    <w:rsid w:val="005F2DBE"/>
    <w:rsid w:val="005F3218"/>
    <w:rsid w:val="005F3F2A"/>
    <w:rsid w:val="00601336"/>
    <w:rsid w:val="00602680"/>
    <w:rsid w:val="00613840"/>
    <w:rsid w:val="00620B2E"/>
    <w:rsid w:val="00621983"/>
    <w:rsid w:val="006267F1"/>
    <w:rsid w:val="00627CFD"/>
    <w:rsid w:val="006319CF"/>
    <w:rsid w:val="00634FCA"/>
    <w:rsid w:val="00636029"/>
    <w:rsid w:val="006362F2"/>
    <w:rsid w:val="00637CA7"/>
    <w:rsid w:val="00637FD0"/>
    <w:rsid w:val="006403B0"/>
    <w:rsid w:val="006420F4"/>
    <w:rsid w:val="0064333C"/>
    <w:rsid w:val="00652D24"/>
    <w:rsid w:val="006563A8"/>
    <w:rsid w:val="0066228F"/>
    <w:rsid w:val="0067376E"/>
    <w:rsid w:val="00677FDE"/>
    <w:rsid w:val="00681636"/>
    <w:rsid w:val="006849D0"/>
    <w:rsid w:val="00685ECC"/>
    <w:rsid w:val="00686377"/>
    <w:rsid w:val="00686E7D"/>
    <w:rsid w:val="00687482"/>
    <w:rsid w:val="00687814"/>
    <w:rsid w:val="00687F62"/>
    <w:rsid w:val="00693DFF"/>
    <w:rsid w:val="00694A7B"/>
    <w:rsid w:val="00695231"/>
    <w:rsid w:val="00695362"/>
    <w:rsid w:val="00697095"/>
    <w:rsid w:val="006A3B84"/>
    <w:rsid w:val="006A4D61"/>
    <w:rsid w:val="006A4F73"/>
    <w:rsid w:val="006B6114"/>
    <w:rsid w:val="006C0A5D"/>
    <w:rsid w:val="006C0EF8"/>
    <w:rsid w:val="006C35F2"/>
    <w:rsid w:val="006C54B5"/>
    <w:rsid w:val="006C5BD5"/>
    <w:rsid w:val="006C6B70"/>
    <w:rsid w:val="006D05F7"/>
    <w:rsid w:val="006D4808"/>
    <w:rsid w:val="006E039E"/>
    <w:rsid w:val="006E0AC4"/>
    <w:rsid w:val="006E0D06"/>
    <w:rsid w:val="006E5D40"/>
    <w:rsid w:val="006F28C3"/>
    <w:rsid w:val="006F53A3"/>
    <w:rsid w:val="007011BA"/>
    <w:rsid w:val="007025F7"/>
    <w:rsid w:val="007051F7"/>
    <w:rsid w:val="007052AB"/>
    <w:rsid w:val="00706A4D"/>
    <w:rsid w:val="007101C2"/>
    <w:rsid w:val="0071020F"/>
    <w:rsid w:val="00712E34"/>
    <w:rsid w:val="00724326"/>
    <w:rsid w:val="00734FB2"/>
    <w:rsid w:val="00737113"/>
    <w:rsid w:val="00740941"/>
    <w:rsid w:val="007430D0"/>
    <w:rsid w:val="0074497B"/>
    <w:rsid w:val="00745378"/>
    <w:rsid w:val="00745E40"/>
    <w:rsid w:val="00747A74"/>
    <w:rsid w:val="007510D1"/>
    <w:rsid w:val="007513E4"/>
    <w:rsid w:val="00751E13"/>
    <w:rsid w:val="00752BF1"/>
    <w:rsid w:val="00754B2E"/>
    <w:rsid w:val="007614B4"/>
    <w:rsid w:val="00764FAE"/>
    <w:rsid w:val="0076583D"/>
    <w:rsid w:val="00771B86"/>
    <w:rsid w:val="007740FA"/>
    <w:rsid w:val="007747B1"/>
    <w:rsid w:val="00774B85"/>
    <w:rsid w:val="0077609C"/>
    <w:rsid w:val="0079094C"/>
    <w:rsid w:val="007925DB"/>
    <w:rsid w:val="00794CC6"/>
    <w:rsid w:val="0079516F"/>
    <w:rsid w:val="0079662B"/>
    <w:rsid w:val="00796DAC"/>
    <w:rsid w:val="007974F6"/>
    <w:rsid w:val="007A1BA2"/>
    <w:rsid w:val="007B064C"/>
    <w:rsid w:val="007B324E"/>
    <w:rsid w:val="007B5F5E"/>
    <w:rsid w:val="007C17DC"/>
    <w:rsid w:val="007C6F19"/>
    <w:rsid w:val="007C7425"/>
    <w:rsid w:val="007D16FC"/>
    <w:rsid w:val="007D1DD2"/>
    <w:rsid w:val="007F1719"/>
    <w:rsid w:val="007F3FEE"/>
    <w:rsid w:val="007F66E5"/>
    <w:rsid w:val="007F69DC"/>
    <w:rsid w:val="00800D75"/>
    <w:rsid w:val="00805A91"/>
    <w:rsid w:val="00810FBF"/>
    <w:rsid w:val="00813551"/>
    <w:rsid w:val="00816D93"/>
    <w:rsid w:val="008216F9"/>
    <w:rsid w:val="00821756"/>
    <w:rsid w:val="008227E8"/>
    <w:rsid w:val="008232AE"/>
    <w:rsid w:val="00823C24"/>
    <w:rsid w:val="00825B46"/>
    <w:rsid w:val="008306E2"/>
    <w:rsid w:val="0083532D"/>
    <w:rsid w:val="008448F7"/>
    <w:rsid w:val="00845C08"/>
    <w:rsid w:val="00846989"/>
    <w:rsid w:val="00847CAE"/>
    <w:rsid w:val="00847F42"/>
    <w:rsid w:val="00850E9C"/>
    <w:rsid w:val="008526F8"/>
    <w:rsid w:val="00852E62"/>
    <w:rsid w:val="0085498C"/>
    <w:rsid w:val="0085783B"/>
    <w:rsid w:val="00860580"/>
    <w:rsid w:val="008607D0"/>
    <w:rsid w:val="00867C97"/>
    <w:rsid w:val="008729B5"/>
    <w:rsid w:val="00877A8A"/>
    <w:rsid w:val="00877CC6"/>
    <w:rsid w:val="008812AA"/>
    <w:rsid w:val="008823BC"/>
    <w:rsid w:val="00882F64"/>
    <w:rsid w:val="00885C76"/>
    <w:rsid w:val="00886D08"/>
    <w:rsid w:val="008A1D0F"/>
    <w:rsid w:val="008A4F4C"/>
    <w:rsid w:val="008A645A"/>
    <w:rsid w:val="008B1FF6"/>
    <w:rsid w:val="008B3220"/>
    <w:rsid w:val="008B3560"/>
    <w:rsid w:val="008C7FF9"/>
    <w:rsid w:val="008D624A"/>
    <w:rsid w:val="008D6AA9"/>
    <w:rsid w:val="008D7EE2"/>
    <w:rsid w:val="008E0196"/>
    <w:rsid w:val="008E11CD"/>
    <w:rsid w:val="008E16C5"/>
    <w:rsid w:val="008E44CB"/>
    <w:rsid w:val="008E4556"/>
    <w:rsid w:val="008F2A9A"/>
    <w:rsid w:val="008F4C41"/>
    <w:rsid w:val="008F7DB8"/>
    <w:rsid w:val="00900A1F"/>
    <w:rsid w:val="009016E9"/>
    <w:rsid w:val="009071BA"/>
    <w:rsid w:val="009103E9"/>
    <w:rsid w:val="00911312"/>
    <w:rsid w:val="00911C56"/>
    <w:rsid w:val="00914732"/>
    <w:rsid w:val="0091799A"/>
    <w:rsid w:val="00922AAE"/>
    <w:rsid w:val="00927076"/>
    <w:rsid w:val="0093070E"/>
    <w:rsid w:val="009311A2"/>
    <w:rsid w:val="00933363"/>
    <w:rsid w:val="00934904"/>
    <w:rsid w:val="00935157"/>
    <w:rsid w:val="00936983"/>
    <w:rsid w:val="0094238C"/>
    <w:rsid w:val="00945160"/>
    <w:rsid w:val="00945E71"/>
    <w:rsid w:val="0095102F"/>
    <w:rsid w:val="00951DBA"/>
    <w:rsid w:val="009522BF"/>
    <w:rsid w:val="00952772"/>
    <w:rsid w:val="009535EA"/>
    <w:rsid w:val="009555AE"/>
    <w:rsid w:val="009562B4"/>
    <w:rsid w:val="00960A6D"/>
    <w:rsid w:val="00960D5D"/>
    <w:rsid w:val="00962EF8"/>
    <w:rsid w:val="00963CF4"/>
    <w:rsid w:val="00966313"/>
    <w:rsid w:val="00973C8D"/>
    <w:rsid w:val="00973ED2"/>
    <w:rsid w:val="0097502E"/>
    <w:rsid w:val="00976BE9"/>
    <w:rsid w:val="00981B76"/>
    <w:rsid w:val="0098318A"/>
    <w:rsid w:val="00986C08"/>
    <w:rsid w:val="0099405D"/>
    <w:rsid w:val="00996E87"/>
    <w:rsid w:val="009977FE"/>
    <w:rsid w:val="009A184C"/>
    <w:rsid w:val="009A277E"/>
    <w:rsid w:val="009A35B4"/>
    <w:rsid w:val="009A4E0B"/>
    <w:rsid w:val="009A7DB1"/>
    <w:rsid w:val="009B05D0"/>
    <w:rsid w:val="009B073A"/>
    <w:rsid w:val="009B3501"/>
    <w:rsid w:val="009C33CE"/>
    <w:rsid w:val="009C34ED"/>
    <w:rsid w:val="009C5446"/>
    <w:rsid w:val="009C5E9F"/>
    <w:rsid w:val="009C7BE8"/>
    <w:rsid w:val="009D2205"/>
    <w:rsid w:val="009D2DBD"/>
    <w:rsid w:val="009E1883"/>
    <w:rsid w:val="009E2DEF"/>
    <w:rsid w:val="009E3941"/>
    <w:rsid w:val="009E4019"/>
    <w:rsid w:val="009E5539"/>
    <w:rsid w:val="009F177D"/>
    <w:rsid w:val="009F4845"/>
    <w:rsid w:val="009F5C0D"/>
    <w:rsid w:val="009F7543"/>
    <w:rsid w:val="00A01ADD"/>
    <w:rsid w:val="00A0285C"/>
    <w:rsid w:val="00A0675F"/>
    <w:rsid w:val="00A07F4B"/>
    <w:rsid w:val="00A12188"/>
    <w:rsid w:val="00A125F4"/>
    <w:rsid w:val="00A13CD3"/>
    <w:rsid w:val="00A14414"/>
    <w:rsid w:val="00A166F7"/>
    <w:rsid w:val="00A3392F"/>
    <w:rsid w:val="00A347E5"/>
    <w:rsid w:val="00A368FF"/>
    <w:rsid w:val="00A401BC"/>
    <w:rsid w:val="00A41B80"/>
    <w:rsid w:val="00A4224D"/>
    <w:rsid w:val="00A42D60"/>
    <w:rsid w:val="00A4301D"/>
    <w:rsid w:val="00A4327D"/>
    <w:rsid w:val="00A507E9"/>
    <w:rsid w:val="00A545CC"/>
    <w:rsid w:val="00A54FD6"/>
    <w:rsid w:val="00A60E82"/>
    <w:rsid w:val="00A64AC4"/>
    <w:rsid w:val="00A67F9C"/>
    <w:rsid w:val="00A725D7"/>
    <w:rsid w:val="00A74A99"/>
    <w:rsid w:val="00A76738"/>
    <w:rsid w:val="00A8119C"/>
    <w:rsid w:val="00AA29D3"/>
    <w:rsid w:val="00AA6495"/>
    <w:rsid w:val="00AB2B18"/>
    <w:rsid w:val="00AB3237"/>
    <w:rsid w:val="00AB3672"/>
    <w:rsid w:val="00AB56A3"/>
    <w:rsid w:val="00AC60C5"/>
    <w:rsid w:val="00AD104E"/>
    <w:rsid w:val="00AD1E76"/>
    <w:rsid w:val="00AD2464"/>
    <w:rsid w:val="00AD262A"/>
    <w:rsid w:val="00AD72A9"/>
    <w:rsid w:val="00AE33D8"/>
    <w:rsid w:val="00AE5828"/>
    <w:rsid w:val="00AE6415"/>
    <w:rsid w:val="00AF07B4"/>
    <w:rsid w:val="00AF5235"/>
    <w:rsid w:val="00AF7210"/>
    <w:rsid w:val="00B016F6"/>
    <w:rsid w:val="00B0226F"/>
    <w:rsid w:val="00B02A75"/>
    <w:rsid w:val="00B02F8C"/>
    <w:rsid w:val="00B0389E"/>
    <w:rsid w:val="00B04D96"/>
    <w:rsid w:val="00B06FC6"/>
    <w:rsid w:val="00B104A1"/>
    <w:rsid w:val="00B11C08"/>
    <w:rsid w:val="00B13D5B"/>
    <w:rsid w:val="00B16A3F"/>
    <w:rsid w:val="00B17282"/>
    <w:rsid w:val="00B232E8"/>
    <w:rsid w:val="00B250BF"/>
    <w:rsid w:val="00B259AB"/>
    <w:rsid w:val="00B27FF3"/>
    <w:rsid w:val="00B3017A"/>
    <w:rsid w:val="00B309F4"/>
    <w:rsid w:val="00B356CD"/>
    <w:rsid w:val="00B37F55"/>
    <w:rsid w:val="00B40A2F"/>
    <w:rsid w:val="00B4623B"/>
    <w:rsid w:val="00B463D0"/>
    <w:rsid w:val="00B4714E"/>
    <w:rsid w:val="00B50B18"/>
    <w:rsid w:val="00B51AD3"/>
    <w:rsid w:val="00B537F1"/>
    <w:rsid w:val="00B56153"/>
    <w:rsid w:val="00B572B7"/>
    <w:rsid w:val="00B632C2"/>
    <w:rsid w:val="00B638CE"/>
    <w:rsid w:val="00B6414E"/>
    <w:rsid w:val="00B65FF7"/>
    <w:rsid w:val="00B67CDC"/>
    <w:rsid w:val="00B7057E"/>
    <w:rsid w:val="00B72E65"/>
    <w:rsid w:val="00B7478F"/>
    <w:rsid w:val="00B74DE2"/>
    <w:rsid w:val="00B82BC3"/>
    <w:rsid w:val="00B84A77"/>
    <w:rsid w:val="00B86C33"/>
    <w:rsid w:val="00B87367"/>
    <w:rsid w:val="00B96097"/>
    <w:rsid w:val="00B97410"/>
    <w:rsid w:val="00BA004A"/>
    <w:rsid w:val="00BA43B0"/>
    <w:rsid w:val="00BA4932"/>
    <w:rsid w:val="00BA7939"/>
    <w:rsid w:val="00BB0346"/>
    <w:rsid w:val="00BB56C9"/>
    <w:rsid w:val="00BB74DD"/>
    <w:rsid w:val="00BB7DBA"/>
    <w:rsid w:val="00BC2FAA"/>
    <w:rsid w:val="00BC44F9"/>
    <w:rsid w:val="00BD2602"/>
    <w:rsid w:val="00BD58F6"/>
    <w:rsid w:val="00BD69B7"/>
    <w:rsid w:val="00BE2286"/>
    <w:rsid w:val="00BE5DF9"/>
    <w:rsid w:val="00BE63D7"/>
    <w:rsid w:val="00BE6885"/>
    <w:rsid w:val="00BE6EE0"/>
    <w:rsid w:val="00BF098C"/>
    <w:rsid w:val="00BF0EDA"/>
    <w:rsid w:val="00BF4AF0"/>
    <w:rsid w:val="00BF4C3F"/>
    <w:rsid w:val="00BF5CFF"/>
    <w:rsid w:val="00BF78DF"/>
    <w:rsid w:val="00C0003E"/>
    <w:rsid w:val="00C06C17"/>
    <w:rsid w:val="00C104DA"/>
    <w:rsid w:val="00C12A68"/>
    <w:rsid w:val="00C14C7D"/>
    <w:rsid w:val="00C15740"/>
    <w:rsid w:val="00C1665A"/>
    <w:rsid w:val="00C17C09"/>
    <w:rsid w:val="00C237A4"/>
    <w:rsid w:val="00C25029"/>
    <w:rsid w:val="00C3292E"/>
    <w:rsid w:val="00C370F6"/>
    <w:rsid w:val="00C435BA"/>
    <w:rsid w:val="00C44A31"/>
    <w:rsid w:val="00C4767F"/>
    <w:rsid w:val="00C51004"/>
    <w:rsid w:val="00C54C57"/>
    <w:rsid w:val="00C66AF2"/>
    <w:rsid w:val="00C67D00"/>
    <w:rsid w:val="00C71165"/>
    <w:rsid w:val="00C71F7C"/>
    <w:rsid w:val="00C76CEB"/>
    <w:rsid w:val="00C80A16"/>
    <w:rsid w:val="00C821DC"/>
    <w:rsid w:val="00C84180"/>
    <w:rsid w:val="00C900FB"/>
    <w:rsid w:val="00CA17CD"/>
    <w:rsid w:val="00CB0113"/>
    <w:rsid w:val="00CB1751"/>
    <w:rsid w:val="00CB41BF"/>
    <w:rsid w:val="00CB5641"/>
    <w:rsid w:val="00CB610C"/>
    <w:rsid w:val="00CC11D3"/>
    <w:rsid w:val="00CC2DE2"/>
    <w:rsid w:val="00CC31DA"/>
    <w:rsid w:val="00CC5FC4"/>
    <w:rsid w:val="00CD048F"/>
    <w:rsid w:val="00CD15DF"/>
    <w:rsid w:val="00CD3720"/>
    <w:rsid w:val="00CE04BB"/>
    <w:rsid w:val="00CE0C66"/>
    <w:rsid w:val="00CE263A"/>
    <w:rsid w:val="00CE5693"/>
    <w:rsid w:val="00CF0BE6"/>
    <w:rsid w:val="00CF1275"/>
    <w:rsid w:val="00CF141E"/>
    <w:rsid w:val="00CF3004"/>
    <w:rsid w:val="00CF7447"/>
    <w:rsid w:val="00CF758C"/>
    <w:rsid w:val="00D1359E"/>
    <w:rsid w:val="00D14464"/>
    <w:rsid w:val="00D2005A"/>
    <w:rsid w:val="00D2549B"/>
    <w:rsid w:val="00D27930"/>
    <w:rsid w:val="00D33378"/>
    <w:rsid w:val="00D35C88"/>
    <w:rsid w:val="00D37763"/>
    <w:rsid w:val="00D406F8"/>
    <w:rsid w:val="00D43671"/>
    <w:rsid w:val="00D460FC"/>
    <w:rsid w:val="00D46C2B"/>
    <w:rsid w:val="00D47465"/>
    <w:rsid w:val="00D47EB9"/>
    <w:rsid w:val="00D50533"/>
    <w:rsid w:val="00D51326"/>
    <w:rsid w:val="00D545F7"/>
    <w:rsid w:val="00D54B28"/>
    <w:rsid w:val="00D555A4"/>
    <w:rsid w:val="00D60717"/>
    <w:rsid w:val="00D60736"/>
    <w:rsid w:val="00D617BE"/>
    <w:rsid w:val="00D6433C"/>
    <w:rsid w:val="00D64867"/>
    <w:rsid w:val="00D64B4E"/>
    <w:rsid w:val="00D64F44"/>
    <w:rsid w:val="00D67448"/>
    <w:rsid w:val="00D71C9C"/>
    <w:rsid w:val="00D767FA"/>
    <w:rsid w:val="00D77C77"/>
    <w:rsid w:val="00D80087"/>
    <w:rsid w:val="00D82EF9"/>
    <w:rsid w:val="00D832D2"/>
    <w:rsid w:val="00D8493A"/>
    <w:rsid w:val="00D84E72"/>
    <w:rsid w:val="00D860E4"/>
    <w:rsid w:val="00D94D5D"/>
    <w:rsid w:val="00D97F29"/>
    <w:rsid w:val="00DA0F81"/>
    <w:rsid w:val="00DA2A57"/>
    <w:rsid w:val="00DA3338"/>
    <w:rsid w:val="00DA63B1"/>
    <w:rsid w:val="00DB7DC3"/>
    <w:rsid w:val="00DC2177"/>
    <w:rsid w:val="00DC3C81"/>
    <w:rsid w:val="00DC3F17"/>
    <w:rsid w:val="00DD22CA"/>
    <w:rsid w:val="00DD3683"/>
    <w:rsid w:val="00DD7746"/>
    <w:rsid w:val="00DD7B4E"/>
    <w:rsid w:val="00DD7DE0"/>
    <w:rsid w:val="00DE44D5"/>
    <w:rsid w:val="00DE74E9"/>
    <w:rsid w:val="00DF2D23"/>
    <w:rsid w:val="00DF7A9A"/>
    <w:rsid w:val="00E00B8A"/>
    <w:rsid w:val="00E06549"/>
    <w:rsid w:val="00E1107F"/>
    <w:rsid w:val="00E11BAD"/>
    <w:rsid w:val="00E13700"/>
    <w:rsid w:val="00E222F3"/>
    <w:rsid w:val="00E23028"/>
    <w:rsid w:val="00E231BE"/>
    <w:rsid w:val="00E248B7"/>
    <w:rsid w:val="00E24F4C"/>
    <w:rsid w:val="00E25859"/>
    <w:rsid w:val="00E330CF"/>
    <w:rsid w:val="00E354E1"/>
    <w:rsid w:val="00E3700F"/>
    <w:rsid w:val="00E408B6"/>
    <w:rsid w:val="00E42029"/>
    <w:rsid w:val="00E42884"/>
    <w:rsid w:val="00E43CE8"/>
    <w:rsid w:val="00E44ECD"/>
    <w:rsid w:val="00E462D9"/>
    <w:rsid w:val="00E511BE"/>
    <w:rsid w:val="00E5607A"/>
    <w:rsid w:val="00E60089"/>
    <w:rsid w:val="00E60E0F"/>
    <w:rsid w:val="00E62831"/>
    <w:rsid w:val="00E62EC0"/>
    <w:rsid w:val="00E631EF"/>
    <w:rsid w:val="00E65BAC"/>
    <w:rsid w:val="00E73762"/>
    <w:rsid w:val="00E75B92"/>
    <w:rsid w:val="00E80B7C"/>
    <w:rsid w:val="00E91043"/>
    <w:rsid w:val="00E92B54"/>
    <w:rsid w:val="00E9320E"/>
    <w:rsid w:val="00E93400"/>
    <w:rsid w:val="00E93E98"/>
    <w:rsid w:val="00E94BB5"/>
    <w:rsid w:val="00EA2583"/>
    <w:rsid w:val="00EA4831"/>
    <w:rsid w:val="00EB0C9D"/>
    <w:rsid w:val="00EB0E9B"/>
    <w:rsid w:val="00EB7D09"/>
    <w:rsid w:val="00EC2092"/>
    <w:rsid w:val="00EC7633"/>
    <w:rsid w:val="00ED0E65"/>
    <w:rsid w:val="00EE08B5"/>
    <w:rsid w:val="00EE13A2"/>
    <w:rsid w:val="00EE418C"/>
    <w:rsid w:val="00EF0CAE"/>
    <w:rsid w:val="00EF385C"/>
    <w:rsid w:val="00EF540A"/>
    <w:rsid w:val="00EF682E"/>
    <w:rsid w:val="00F00267"/>
    <w:rsid w:val="00F009FD"/>
    <w:rsid w:val="00F019A0"/>
    <w:rsid w:val="00F0289A"/>
    <w:rsid w:val="00F10701"/>
    <w:rsid w:val="00F11FB9"/>
    <w:rsid w:val="00F12CD4"/>
    <w:rsid w:val="00F13001"/>
    <w:rsid w:val="00F20285"/>
    <w:rsid w:val="00F204A1"/>
    <w:rsid w:val="00F24A9C"/>
    <w:rsid w:val="00F2527D"/>
    <w:rsid w:val="00F25628"/>
    <w:rsid w:val="00F261D5"/>
    <w:rsid w:val="00F26EDA"/>
    <w:rsid w:val="00F2712F"/>
    <w:rsid w:val="00F3083E"/>
    <w:rsid w:val="00F323F0"/>
    <w:rsid w:val="00F37E12"/>
    <w:rsid w:val="00F41CF5"/>
    <w:rsid w:val="00F44CA4"/>
    <w:rsid w:val="00F47801"/>
    <w:rsid w:val="00F53281"/>
    <w:rsid w:val="00F57350"/>
    <w:rsid w:val="00F60B50"/>
    <w:rsid w:val="00F638D3"/>
    <w:rsid w:val="00F650A9"/>
    <w:rsid w:val="00F669E1"/>
    <w:rsid w:val="00F7075F"/>
    <w:rsid w:val="00F70F7D"/>
    <w:rsid w:val="00F75922"/>
    <w:rsid w:val="00F763C8"/>
    <w:rsid w:val="00F77329"/>
    <w:rsid w:val="00F8024B"/>
    <w:rsid w:val="00F83E50"/>
    <w:rsid w:val="00F84CFC"/>
    <w:rsid w:val="00FA5ABD"/>
    <w:rsid w:val="00FB7686"/>
    <w:rsid w:val="00FC1EFA"/>
    <w:rsid w:val="00FC2D0E"/>
    <w:rsid w:val="00FC3E11"/>
    <w:rsid w:val="00FC3FC8"/>
    <w:rsid w:val="00FC6930"/>
    <w:rsid w:val="00FD4694"/>
    <w:rsid w:val="00FD7BF4"/>
    <w:rsid w:val="00FE2F66"/>
    <w:rsid w:val="00FF0F2F"/>
    <w:rsid w:val="00FF391A"/>
    <w:rsid w:val="00FF6BCE"/>
    <w:rsid w:val="01A7608C"/>
    <w:rsid w:val="01DD1DDB"/>
    <w:rsid w:val="027104FC"/>
    <w:rsid w:val="029A187E"/>
    <w:rsid w:val="02F23BAF"/>
    <w:rsid w:val="03520AC3"/>
    <w:rsid w:val="03BA1B83"/>
    <w:rsid w:val="03C76312"/>
    <w:rsid w:val="03D175E8"/>
    <w:rsid w:val="04907368"/>
    <w:rsid w:val="04DB23B5"/>
    <w:rsid w:val="0536626E"/>
    <w:rsid w:val="05377B18"/>
    <w:rsid w:val="058C7450"/>
    <w:rsid w:val="05934DF8"/>
    <w:rsid w:val="05FC4841"/>
    <w:rsid w:val="06006C4E"/>
    <w:rsid w:val="06911515"/>
    <w:rsid w:val="075C3970"/>
    <w:rsid w:val="07BF5A55"/>
    <w:rsid w:val="080A045C"/>
    <w:rsid w:val="086F1AAE"/>
    <w:rsid w:val="08FC3CFF"/>
    <w:rsid w:val="097E2834"/>
    <w:rsid w:val="09AA5D69"/>
    <w:rsid w:val="0BDA49B3"/>
    <w:rsid w:val="0CAA523C"/>
    <w:rsid w:val="0CCE2319"/>
    <w:rsid w:val="0D1F37D1"/>
    <w:rsid w:val="0DB56265"/>
    <w:rsid w:val="0DE639A6"/>
    <w:rsid w:val="0DF878E7"/>
    <w:rsid w:val="0DFD4A91"/>
    <w:rsid w:val="0E0632C6"/>
    <w:rsid w:val="0E2237CA"/>
    <w:rsid w:val="0E4D5B60"/>
    <w:rsid w:val="0E645DF2"/>
    <w:rsid w:val="0E9A7ED4"/>
    <w:rsid w:val="0F3F5AE1"/>
    <w:rsid w:val="0F975E1D"/>
    <w:rsid w:val="0FCB68ED"/>
    <w:rsid w:val="0FE47E65"/>
    <w:rsid w:val="10A44C78"/>
    <w:rsid w:val="10D96841"/>
    <w:rsid w:val="11075522"/>
    <w:rsid w:val="122F2B53"/>
    <w:rsid w:val="123C49C0"/>
    <w:rsid w:val="12847191"/>
    <w:rsid w:val="12904491"/>
    <w:rsid w:val="12BA07A5"/>
    <w:rsid w:val="12CB7703"/>
    <w:rsid w:val="131830AA"/>
    <w:rsid w:val="133D279D"/>
    <w:rsid w:val="14086DC9"/>
    <w:rsid w:val="14D062CA"/>
    <w:rsid w:val="15233B45"/>
    <w:rsid w:val="15512484"/>
    <w:rsid w:val="15CC2D06"/>
    <w:rsid w:val="15E73501"/>
    <w:rsid w:val="16217119"/>
    <w:rsid w:val="16296478"/>
    <w:rsid w:val="1647192B"/>
    <w:rsid w:val="16AF4443"/>
    <w:rsid w:val="17F92C9E"/>
    <w:rsid w:val="181E7944"/>
    <w:rsid w:val="18A65C13"/>
    <w:rsid w:val="18F8172D"/>
    <w:rsid w:val="19205A29"/>
    <w:rsid w:val="196B1F76"/>
    <w:rsid w:val="199E2E6B"/>
    <w:rsid w:val="19B05DCE"/>
    <w:rsid w:val="1A336D9D"/>
    <w:rsid w:val="1A6F0677"/>
    <w:rsid w:val="1A9A20ED"/>
    <w:rsid w:val="1ABA48F9"/>
    <w:rsid w:val="1ABB4F28"/>
    <w:rsid w:val="1B100058"/>
    <w:rsid w:val="1B485C4E"/>
    <w:rsid w:val="1BD45342"/>
    <w:rsid w:val="1C1D5C5C"/>
    <w:rsid w:val="1CB0280E"/>
    <w:rsid w:val="1D6F2958"/>
    <w:rsid w:val="1E2E4982"/>
    <w:rsid w:val="1E2F20D9"/>
    <w:rsid w:val="1E405EF4"/>
    <w:rsid w:val="1E7C34AE"/>
    <w:rsid w:val="1E8342C6"/>
    <w:rsid w:val="1EC93D1A"/>
    <w:rsid w:val="1ED6378A"/>
    <w:rsid w:val="1F247A0C"/>
    <w:rsid w:val="1F4979D5"/>
    <w:rsid w:val="1F844CA8"/>
    <w:rsid w:val="201257DF"/>
    <w:rsid w:val="20A978A1"/>
    <w:rsid w:val="21760A05"/>
    <w:rsid w:val="222136D6"/>
    <w:rsid w:val="227F69AC"/>
    <w:rsid w:val="22810BCB"/>
    <w:rsid w:val="23613054"/>
    <w:rsid w:val="2389739B"/>
    <w:rsid w:val="23A075BC"/>
    <w:rsid w:val="246C7D08"/>
    <w:rsid w:val="24796027"/>
    <w:rsid w:val="24827C8A"/>
    <w:rsid w:val="24D93B00"/>
    <w:rsid w:val="25571204"/>
    <w:rsid w:val="258E6CA7"/>
    <w:rsid w:val="26A62D06"/>
    <w:rsid w:val="26B1178E"/>
    <w:rsid w:val="26D51193"/>
    <w:rsid w:val="279940DA"/>
    <w:rsid w:val="27C20D3D"/>
    <w:rsid w:val="28143BCE"/>
    <w:rsid w:val="28166395"/>
    <w:rsid w:val="283A3F0F"/>
    <w:rsid w:val="288F29DA"/>
    <w:rsid w:val="28B67DBD"/>
    <w:rsid w:val="291D1213"/>
    <w:rsid w:val="2939686F"/>
    <w:rsid w:val="299054D8"/>
    <w:rsid w:val="29C1586F"/>
    <w:rsid w:val="2A7714A4"/>
    <w:rsid w:val="2BA05CBC"/>
    <w:rsid w:val="2C1913EC"/>
    <w:rsid w:val="2CE4523D"/>
    <w:rsid w:val="2D12256D"/>
    <w:rsid w:val="2DE95910"/>
    <w:rsid w:val="2E260344"/>
    <w:rsid w:val="2E642289"/>
    <w:rsid w:val="2E734141"/>
    <w:rsid w:val="2F2663C7"/>
    <w:rsid w:val="2F882A11"/>
    <w:rsid w:val="30A26D42"/>
    <w:rsid w:val="30E715E8"/>
    <w:rsid w:val="30FB6020"/>
    <w:rsid w:val="326E7E4D"/>
    <w:rsid w:val="32B833AF"/>
    <w:rsid w:val="32DE33FD"/>
    <w:rsid w:val="33923E41"/>
    <w:rsid w:val="34496377"/>
    <w:rsid w:val="3473097F"/>
    <w:rsid w:val="34750DEC"/>
    <w:rsid w:val="35A13572"/>
    <w:rsid w:val="35BC5AD7"/>
    <w:rsid w:val="35DE058B"/>
    <w:rsid w:val="35EA64FD"/>
    <w:rsid w:val="35FA36E0"/>
    <w:rsid w:val="361F1D5C"/>
    <w:rsid w:val="363A38D0"/>
    <w:rsid w:val="36626E2C"/>
    <w:rsid w:val="367F03EF"/>
    <w:rsid w:val="369013EA"/>
    <w:rsid w:val="37573E39"/>
    <w:rsid w:val="3758743B"/>
    <w:rsid w:val="38636111"/>
    <w:rsid w:val="38700706"/>
    <w:rsid w:val="387C3025"/>
    <w:rsid w:val="38FA1379"/>
    <w:rsid w:val="397F563B"/>
    <w:rsid w:val="39816359"/>
    <w:rsid w:val="39A41D45"/>
    <w:rsid w:val="39AC638F"/>
    <w:rsid w:val="39CB3D25"/>
    <w:rsid w:val="3A1C6673"/>
    <w:rsid w:val="3A2F1849"/>
    <w:rsid w:val="3A6B32AC"/>
    <w:rsid w:val="3AA550E6"/>
    <w:rsid w:val="3B800F73"/>
    <w:rsid w:val="3B9E18B6"/>
    <w:rsid w:val="3BB30288"/>
    <w:rsid w:val="3BF17FB0"/>
    <w:rsid w:val="3CFF5069"/>
    <w:rsid w:val="3D1236AB"/>
    <w:rsid w:val="3D3100CF"/>
    <w:rsid w:val="3D723DD7"/>
    <w:rsid w:val="3D8D0464"/>
    <w:rsid w:val="3DAD4E3F"/>
    <w:rsid w:val="3DC215AF"/>
    <w:rsid w:val="3E0C6502"/>
    <w:rsid w:val="3E832165"/>
    <w:rsid w:val="3E943839"/>
    <w:rsid w:val="3EC50D1B"/>
    <w:rsid w:val="3EFF350C"/>
    <w:rsid w:val="3F161F71"/>
    <w:rsid w:val="3F40766C"/>
    <w:rsid w:val="3F4567E1"/>
    <w:rsid w:val="3F6F71A7"/>
    <w:rsid w:val="3FDB27D6"/>
    <w:rsid w:val="40931EAC"/>
    <w:rsid w:val="40E62E7D"/>
    <w:rsid w:val="40F52DC0"/>
    <w:rsid w:val="41123315"/>
    <w:rsid w:val="41753925"/>
    <w:rsid w:val="41B958AF"/>
    <w:rsid w:val="427F7C80"/>
    <w:rsid w:val="429A1417"/>
    <w:rsid w:val="42AB228D"/>
    <w:rsid w:val="42D13EC8"/>
    <w:rsid w:val="435F435D"/>
    <w:rsid w:val="43D56065"/>
    <w:rsid w:val="43F13BDE"/>
    <w:rsid w:val="43F8257D"/>
    <w:rsid w:val="44265664"/>
    <w:rsid w:val="4436057F"/>
    <w:rsid w:val="443A40BF"/>
    <w:rsid w:val="443D58AA"/>
    <w:rsid w:val="44653991"/>
    <w:rsid w:val="45782CDC"/>
    <w:rsid w:val="464C6EE7"/>
    <w:rsid w:val="46615AF6"/>
    <w:rsid w:val="46A61BF8"/>
    <w:rsid w:val="46CB6236"/>
    <w:rsid w:val="47942B0E"/>
    <w:rsid w:val="48763A80"/>
    <w:rsid w:val="48FC406E"/>
    <w:rsid w:val="48FD37D9"/>
    <w:rsid w:val="49712F86"/>
    <w:rsid w:val="49A157B7"/>
    <w:rsid w:val="49B26655"/>
    <w:rsid w:val="4A031027"/>
    <w:rsid w:val="4A5E47CC"/>
    <w:rsid w:val="4AC27642"/>
    <w:rsid w:val="4ADB14EE"/>
    <w:rsid w:val="4B3B75DC"/>
    <w:rsid w:val="4BE975CE"/>
    <w:rsid w:val="4C0E0657"/>
    <w:rsid w:val="4C1C1D77"/>
    <w:rsid w:val="4CE47FBF"/>
    <w:rsid w:val="4CF8661D"/>
    <w:rsid w:val="4CFD78A8"/>
    <w:rsid w:val="4D737DF0"/>
    <w:rsid w:val="4DE23569"/>
    <w:rsid w:val="4E3F2E89"/>
    <w:rsid w:val="4E5D3762"/>
    <w:rsid w:val="4F7C0AD1"/>
    <w:rsid w:val="4FD179D6"/>
    <w:rsid w:val="500357BB"/>
    <w:rsid w:val="504F73BD"/>
    <w:rsid w:val="50866BAB"/>
    <w:rsid w:val="50973D4D"/>
    <w:rsid w:val="50F005E4"/>
    <w:rsid w:val="518D168B"/>
    <w:rsid w:val="51F43356"/>
    <w:rsid w:val="52AF2B69"/>
    <w:rsid w:val="533450D6"/>
    <w:rsid w:val="53FE6F40"/>
    <w:rsid w:val="54254490"/>
    <w:rsid w:val="54273965"/>
    <w:rsid w:val="54980746"/>
    <w:rsid w:val="54A16BF8"/>
    <w:rsid w:val="54BB6C88"/>
    <w:rsid w:val="54EB066E"/>
    <w:rsid w:val="55575F45"/>
    <w:rsid w:val="55F4043A"/>
    <w:rsid w:val="564B015C"/>
    <w:rsid w:val="56571DA5"/>
    <w:rsid w:val="56CA7081"/>
    <w:rsid w:val="56F7053C"/>
    <w:rsid w:val="57240366"/>
    <w:rsid w:val="575A72CB"/>
    <w:rsid w:val="58601BB4"/>
    <w:rsid w:val="59116D72"/>
    <w:rsid w:val="594B3864"/>
    <w:rsid w:val="59B60181"/>
    <w:rsid w:val="5A531560"/>
    <w:rsid w:val="5C210A58"/>
    <w:rsid w:val="5C4A5809"/>
    <w:rsid w:val="5C6B5784"/>
    <w:rsid w:val="5CAE3F45"/>
    <w:rsid w:val="5CC57632"/>
    <w:rsid w:val="5DDC2AF8"/>
    <w:rsid w:val="5DF24353"/>
    <w:rsid w:val="5E5D3327"/>
    <w:rsid w:val="60076895"/>
    <w:rsid w:val="607F3749"/>
    <w:rsid w:val="61C80381"/>
    <w:rsid w:val="61E408FB"/>
    <w:rsid w:val="62D37937"/>
    <w:rsid w:val="63137914"/>
    <w:rsid w:val="6318036C"/>
    <w:rsid w:val="63891566"/>
    <w:rsid w:val="63A06CDC"/>
    <w:rsid w:val="63FF642B"/>
    <w:rsid w:val="647E3DD7"/>
    <w:rsid w:val="648B01E9"/>
    <w:rsid w:val="64FE5CD8"/>
    <w:rsid w:val="652206E1"/>
    <w:rsid w:val="658918D7"/>
    <w:rsid w:val="65C332FC"/>
    <w:rsid w:val="66082841"/>
    <w:rsid w:val="66A21C90"/>
    <w:rsid w:val="66D647CF"/>
    <w:rsid w:val="66D73CFB"/>
    <w:rsid w:val="67202F15"/>
    <w:rsid w:val="673F5C02"/>
    <w:rsid w:val="67E67E83"/>
    <w:rsid w:val="68D51218"/>
    <w:rsid w:val="69942A14"/>
    <w:rsid w:val="69A131E4"/>
    <w:rsid w:val="69E97A77"/>
    <w:rsid w:val="6A05091A"/>
    <w:rsid w:val="6A08010A"/>
    <w:rsid w:val="6A43285E"/>
    <w:rsid w:val="6B720F44"/>
    <w:rsid w:val="6BDF76D7"/>
    <w:rsid w:val="6C843DA9"/>
    <w:rsid w:val="6CCA178D"/>
    <w:rsid w:val="6D067FDA"/>
    <w:rsid w:val="6D0A4613"/>
    <w:rsid w:val="6D34028B"/>
    <w:rsid w:val="6DFB0A52"/>
    <w:rsid w:val="6DFC09A5"/>
    <w:rsid w:val="6E7A7577"/>
    <w:rsid w:val="6EBB4C82"/>
    <w:rsid w:val="6F2D7C26"/>
    <w:rsid w:val="6FAC723E"/>
    <w:rsid w:val="705C654C"/>
    <w:rsid w:val="70CB2626"/>
    <w:rsid w:val="715268C4"/>
    <w:rsid w:val="71D36B74"/>
    <w:rsid w:val="724518E0"/>
    <w:rsid w:val="72551EFE"/>
    <w:rsid w:val="738E1C0C"/>
    <w:rsid w:val="73FA33A1"/>
    <w:rsid w:val="74281F5B"/>
    <w:rsid w:val="74AE2A93"/>
    <w:rsid w:val="74D74B23"/>
    <w:rsid w:val="7590766D"/>
    <w:rsid w:val="759768DC"/>
    <w:rsid w:val="75A90DE2"/>
    <w:rsid w:val="75B12021"/>
    <w:rsid w:val="75B54BB8"/>
    <w:rsid w:val="76245AB2"/>
    <w:rsid w:val="766548EB"/>
    <w:rsid w:val="778B383B"/>
    <w:rsid w:val="77A83B40"/>
    <w:rsid w:val="77FD6317"/>
    <w:rsid w:val="78EA4451"/>
    <w:rsid w:val="79464FE0"/>
    <w:rsid w:val="79D000BA"/>
    <w:rsid w:val="79F31C00"/>
    <w:rsid w:val="7A555D0A"/>
    <w:rsid w:val="7AC97A44"/>
    <w:rsid w:val="7AFE6A2D"/>
    <w:rsid w:val="7B00752B"/>
    <w:rsid w:val="7B3F255A"/>
    <w:rsid w:val="7B6C04A4"/>
    <w:rsid w:val="7B946962"/>
    <w:rsid w:val="7CE24302"/>
    <w:rsid w:val="7D016D57"/>
    <w:rsid w:val="7D5C45F2"/>
    <w:rsid w:val="7D876AD5"/>
    <w:rsid w:val="7DA77C5D"/>
    <w:rsid w:val="7DFF14C6"/>
    <w:rsid w:val="7E042C41"/>
    <w:rsid w:val="7E171ACD"/>
    <w:rsid w:val="7E585053"/>
    <w:rsid w:val="7EAB6839"/>
    <w:rsid w:val="7EC63F15"/>
    <w:rsid w:val="7ED67840"/>
    <w:rsid w:val="7EDD76E2"/>
    <w:rsid w:val="7F557D85"/>
    <w:rsid w:val="7F57693D"/>
    <w:rsid w:val="7F7B72DA"/>
    <w:rsid w:val="7FC1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楷体_GB2312" w:cs="Times New Roman"/>
      <w:kern w:val="2"/>
      <w:sz w:val="26"/>
      <w:lang w:val="en-US" w:eastAsia="zh-CN" w:bidi="ar-SA"/>
    </w:rPr>
  </w:style>
  <w:style w:type="paragraph" w:styleId="2">
    <w:name w:val="heading 1"/>
    <w:basedOn w:val="1"/>
    <w:next w:val="1"/>
    <w:link w:val="77"/>
    <w:autoRedefine/>
    <w:qFormat/>
    <w:uiPriority w:val="0"/>
    <w:pPr>
      <w:keepNext/>
      <w:keepLines/>
      <w:spacing w:before="340" w:after="330" w:line="578" w:lineRule="auto"/>
      <w:outlineLvl w:val="0"/>
    </w:pPr>
    <w:rPr>
      <w:rFonts w:ascii="Times New Roman" w:hAnsi="Times New Roman"/>
      <w:b/>
      <w:kern w:val="44"/>
      <w:sz w:val="44"/>
    </w:rPr>
  </w:style>
  <w:style w:type="paragraph" w:styleId="3">
    <w:name w:val="heading 2"/>
    <w:basedOn w:val="1"/>
    <w:next w:val="1"/>
    <w:link w:val="78"/>
    <w:autoRedefine/>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link w:val="79"/>
    <w:autoRedefine/>
    <w:qFormat/>
    <w:uiPriority w:val="0"/>
    <w:pPr>
      <w:keepNext/>
      <w:keepLines/>
      <w:adjustRightInd w:val="0"/>
      <w:jc w:val="left"/>
      <w:textAlignment w:val="baseline"/>
      <w:outlineLvl w:val="2"/>
    </w:pPr>
    <w:rPr>
      <w:rFonts w:ascii="Times New Roman" w:hAnsi="Times New Roman"/>
      <w:b/>
    </w:rPr>
  </w:style>
  <w:style w:type="paragraph" w:styleId="5">
    <w:name w:val="heading 4"/>
    <w:basedOn w:val="1"/>
    <w:next w:val="1"/>
    <w:link w:val="8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autoRedefine/>
    <w:qFormat/>
    <w:uiPriority w:val="0"/>
    <w:pPr>
      <w:keepNext/>
      <w:keepLines/>
      <w:tabs>
        <w:tab w:val="left" w:pos="1008"/>
      </w:tabs>
      <w:spacing w:before="280" w:after="290" w:line="376" w:lineRule="auto"/>
      <w:ind w:left="1008" w:hanging="1008"/>
      <w:outlineLvl w:val="4"/>
    </w:pPr>
    <w:rPr>
      <w:rFonts w:ascii="宋体" w:hAnsi="Times New Roman" w:eastAsia="宋体"/>
      <w:b/>
      <w:spacing w:val="-2"/>
      <w:position w:val="-6"/>
      <w:sz w:val="28"/>
    </w:rPr>
  </w:style>
  <w:style w:type="paragraph" w:styleId="8">
    <w:name w:val="heading 6"/>
    <w:basedOn w:val="1"/>
    <w:next w:val="7"/>
    <w:link w:val="83"/>
    <w:autoRedefine/>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9">
    <w:name w:val="heading 7"/>
    <w:basedOn w:val="1"/>
    <w:next w:val="7"/>
    <w:link w:val="84"/>
    <w:autoRedefine/>
    <w:qFormat/>
    <w:uiPriority w:val="0"/>
    <w:pPr>
      <w:keepNext/>
      <w:keepLines/>
      <w:tabs>
        <w:tab w:val="left" w:pos="1296"/>
      </w:tabs>
      <w:spacing w:before="240" w:after="64" w:line="320" w:lineRule="auto"/>
      <w:ind w:left="1296" w:hanging="1296"/>
      <w:outlineLvl w:val="6"/>
    </w:pPr>
    <w:rPr>
      <w:rFonts w:ascii="宋体" w:hAnsi="Times New Roman" w:eastAsia="宋体"/>
      <w:b/>
      <w:spacing w:val="-2"/>
      <w:position w:val="-6"/>
      <w:sz w:val="24"/>
    </w:rPr>
  </w:style>
  <w:style w:type="paragraph" w:styleId="10">
    <w:name w:val="heading 8"/>
    <w:basedOn w:val="1"/>
    <w:next w:val="7"/>
    <w:link w:val="85"/>
    <w:autoRedefine/>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1">
    <w:name w:val="heading 9"/>
    <w:basedOn w:val="1"/>
    <w:next w:val="7"/>
    <w:link w:val="86"/>
    <w:autoRedefine/>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81"/>
    <w:autoRedefine/>
    <w:qFormat/>
    <w:uiPriority w:val="0"/>
    <w:pPr>
      <w:adjustRightInd w:val="0"/>
      <w:ind w:firstLine="420"/>
      <w:jc w:val="left"/>
      <w:textAlignment w:val="baseline"/>
    </w:pPr>
    <w:rPr>
      <w:rFonts w:ascii="Times New Roman" w:hAnsi="Times New Roman"/>
      <w:sz w:val="24"/>
    </w:rPr>
  </w:style>
  <w:style w:type="paragraph" w:styleId="12">
    <w:name w:val="toc 7"/>
    <w:basedOn w:val="1"/>
    <w:next w:val="1"/>
    <w:autoRedefine/>
    <w:qFormat/>
    <w:uiPriority w:val="0"/>
    <w:pPr>
      <w:ind w:left="2520"/>
    </w:pPr>
    <w:rPr>
      <w:rFonts w:ascii="Times New Roman" w:hAnsi="Times New Roman" w:eastAsia="宋体"/>
    </w:rPr>
  </w:style>
  <w:style w:type="paragraph" w:styleId="13">
    <w:name w:val="index 8"/>
    <w:basedOn w:val="1"/>
    <w:next w:val="1"/>
    <w:autoRedefine/>
    <w:qFormat/>
    <w:uiPriority w:val="0"/>
    <w:pPr>
      <w:ind w:left="2940"/>
    </w:pPr>
    <w:rPr>
      <w:rFonts w:ascii="Times New Roman" w:hAnsi="Times New Roman" w:eastAsia="宋体"/>
    </w:rPr>
  </w:style>
  <w:style w:type="paragraph" w:styleId="14">
    <w:name w:val="List Number"/>
    <w:basedOn w:val="1"/>
    <w:autoRedefine/>
    <w:qFormat/>
    <w:uiPriority w:val="0"/>
    <w:pPr>
      <w:tabs>
        <w:tab w:val="left" w:pos="0"/>
      </w:tabs>
      <w:ind w:left="704" w:hanging="420"/>
    </w:pPr>
    <w:rPr>
      <w:rFonts w:eastAsia="宋体"/>
      <w:sz w:val="21"/>
      <w:szCs w:val="24"/>
    </w:rPr>
  </w:style>
  <w:style w:type="paragraph" w:styleId="15">
    <w:name w:val="index 5"/>
    <w:basedOn w:val="1"/>
    <w:next w:val="1"/>
    <w:autoRedefine/>
    <w:qFormat/>
    <w:uiPriority w:val="0"/>
    <w:pPr>
      <w:ind w:left="1680"/>
    </w:pPr>
    <w:rPr>
      <w:rFonts w:ascii="Times New Roman" w:hAnsi="Times New Roman" w:eastAsia="宋体"/>
    </w:rPr>
  </w:style>
  <w:style w:type="paragraph" w:styleId="16">
    <w:name w:val="Document Map"/>
    <w:basedOn w:val="1"/>
    <w:link w:val="101"/>
    <w:autoRedefine/>
    <w:qFormat/>
    <w:uiPriority w:val="99"/>
    <w:pPr>
      <w:shd w:val="clear" w:color="auto" w:fill="000080"/>
    </w:pPr>
    <w:rPr>
      <w:rFonts w:eastAsia="宋体"/>
      <w:shd w:val="clear" w:color="auto" w:fill="000080"/>
    </w:rPr>
  </w:style>
  <w:style w:type="paragraph" w:styleId="17">
    <w:name w:val="toa heading"/>
    <w:basedOn w:val="1"/>
    <w:next w:val="1"/>
    <w:autoRedefine/>
    <w:qFormat/>
    <w:uiPriority w:val="0"/>
    <w:pPr>
      <w:adjustRightInd w:val="0"/>
      <w:spacing w:before="200" w:line="360" w:lineRule="atLeast"/>
      <w:jc w:val="center"/>
      <w:textAlignment w:val="baseline"/>
    </w:pPr>
    <w:rPr>
      <w:rFonts w:ascii="Arial" w:hAnsi="Arial" w:eastAsia="黑体"/>
      <w:kern w:val="0"/>
      <w:sz w:val="44"/>
    </w:rPr>
  </w:style>
  <w:style w:type="paragraph" w:styleId="18">
    <w:name w:val="annotation text"/>
    <w:basedOn w:val="1"/>
    <w:link w:val="91"/>
    <w:autoRedefine/>
    <w:qFormat/>
    <w:uiPriority w:val="0"/>
    <w:pPr>
      <w:jc w:val="left"/>
    </w:pPr>
    <w:rPr>
      <w:rFonts w:ascii="Times New Roman" w:hAnsi="Times New Roman"/>
    </w:rPr>
  </w:style>
  <w:style w:type="paragraph" w:styleId="19">
    <w:name w:val="index 6"/>
    <w:basedOn w:val="1"/>
    <w:next w:val="1"/>
    <w:autoRedefine/>
    <w:qFormat/>
    <w:uiPriority w:val="0"/>
    <w:pPr>
      <w:ind w:left="2100"/>
    </w:pPr>
    <w:rPr>
      <w:rFonts w:ascii="Times New Roman" w:hAnsi="Times New Roman" w:eastAsia="宋体"/>
    </w:rPr>
  </w:style>
  <w:style w:type="paragraph" w:styleId="20">
    <w:name w:val="Body Text 3"/>
    <w:basedOn w:val="1"/>
    <w:link w:val="343"/>
    <w:autoRedefine/>
    <w:qFormat/>
    <w:uiPriority w:val="0"/>
    <w:rPr>
      <w:rFonts w:ascii="宋体" w:eastAsia="宋体"/>
      <w:kern w:val="0"/>
      <w:sz w:val="24"/>
    </w:rPr>
  </w:style>
  <w:style w:type="paragraph" w:styleId="21">
    <w:name w:val="Body Text"/>
    <w:basedOn w:val="1"/>
    <w:next w:val="22"/>
    <w:link w:val="76"/>
    <w:autoRedefine/>
    <w:qFormat/>
    <w:uiPriority w:val="0"/>
    <w:pPr>
      <w:spacing w:line="400" w:lineRule="exact"/>
    </w:pPr>
    <w:rPr>
      <w:rFonts w:ascii="楷体_GB2312" w:hAnsi="Times New Roman" w:eastAsia="宋体"/>
      <w:sz w:val="28"/>
    </w:rPr>
  </w:style>
  <w:style w:type="paragraph" w:customStyle="1" w:styleId="22">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23">
    <w:name w:val="Body Text Indent"/>
    <w:basedOn w:val="1"/>
    <w:next w:val="24"/>
    <w:link w:val="94"/>
    <w:autoRedefine/>
    <w:qFormat/>
    <w:uiPriority w:val="0"/>
    <w:pPr>
      <w:spacing w:line="520" w:lineRule="exact"/>
      <w:ind w:left="570"/>
    </w:pPr>
    <w:rPr>
      <w:rFonts w:ascii="方正仿宋简体" w:hAnsi="创艺简仿宋" w:eastAsia="方正仿宋简体"/>
      <w:sz w:val="24"/>
    </w:rPr>
  </w:style>
  <w:style w:type="paragraph" w:styleId="24">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25">
    <w:name w:val="index 4"/>
    <w:basedOn w:val="1"/>
    <w:next w:val="1"/>
    <w:autoRedefine/>
    <w:qFormat/>
    <w:uiPriority w:val="0"/>
    <w:pPr>
      <w:ind w:left="1260"/>
    </w:pPr>
    <w:rPr>
      <w:rFonts w:ascii="Times New Roman" w:hAnsi="Times New Roman" w:eastAsia="宋体"/>
    </w:rPr>
  </w:style>
  <w:style w:type="paragraph" w:styleId="26">
    <w:name w:val="toc 5"/>
    <w:basedOn w:val="1"/>
    <w:next w:val="1"/>
    <w:autoRedefine/>
    <w:qFormat/>
    <w:uiPriority w:val="0"/>
    <w:pPr>
      <w:ind w:left="1680"/>
    </w:pPr>
    <w:rPr>
      <w:rFonts w:ascii="Times New Roman" w:hAnsi="Times New Roman" w:eastAsia="宋体"/>
    </w:rPr>
  </w:style>
  <w:style w:type="paragraph" w:styleId="27">
    <w:name w:val="toc 3"/>
    <w:basedOn w:val="1"/>
    <w:next w:val="1"/>
    <w:autoRedefine/>
    <w:qFormat/>
    <w:uiPriority w:val="39"/>
    <w:pPr>
      <w:ind w:left="840"/>
    </w:pPr>
    <w:rPr>
      <w:rFonts w:ascii="Times New Roman" w:hAnsi="Times New Roman" w:eastAsia="宋体"/>
    </w:rPr>
  </w:style>
  <w:style w:type="paragraph" w:styleId="28">
    <w:name w:val="Plain Text"/>
    <w:basedOn w:val="1"/>
    <w:link w:val="125"/>
    <w:autoRedefine/>
    <w:qFormat/>
    <w:uiPriority w:val="0"/>
    <w:rPr>
      <w:rFonts w:ascii="宋体" w:hAnsi="Courier New"/>
    </w:rPr>
  </w:style>
  <w:style w:type="paragraph" w:styleId="29">
    <w:name w:val="toc 8"/>
    <w:basedOn w:val="1"/>
    <w:next w:val="1"/>
    <w:autoRedefine/>
    <w:qFormat/>
    <w:uiPriority w:val="0"/>
    <w:pPr>
      <w:ind w:left="2940"/>
    </w:pPr>
    <w:rPr>
      <w:rFonts w:ascii="Times New Roman" w:hAnsi="Times New Roman" w:eastAsia="宋体"/>
    </w:rPr>
  </w:style>
  <w:style w:type="paragraph" w:styleId="30">
    <w:name w:val="index 3"/>
    <w:basedOn w:val="1"/>
    <w:next w:val="1"/>
    <w:autoRedefine/>
    <w:qFormat/>
    <w:uiPriority w:val="0"/>
    <w:pPr>
      <w:ind w:left="840"/>
    </w:pPr>
    <w:rPr>
      <w:rFonts w:ascii="Times New Roman" w:hAnsi="Times New Roman" w:eastAsia="宋体"/>
    </w:rPr>
  </w:style>
  <w:style w:type="paragraph" w:styleId="31">
    <w:name w:val="Date"/>
    <w:basedOn w:val="1"/>
    <w:next w:val="1"/>
    <w:link w:val="136"/>
    <w:autoRedefine/>
    <w:qFormat/>
    <w:uiPriority w:val="0"/>
    <w:rPr>
      <w:rFonts w:ascii="宋体" w:hAnsi="宋体" w:eastAsia="宋体"/>
      <w:sz w:val="24"/>
    </w:rPr>
  </w:style>
  <w:style w:type="paragraph" w:styleId="32">
    <w:name w:val="Body Text Indent 2"/>
    <w:basedOn w:val="1"/>
    <w:next w:val="1"/>
    <w:link w:val="96"/>
    <w:autoRedefine/>
    <w:qFormat/>
    <w:uiPriority w:val="0"/>
    <w:pPr>
      <w:tabs>
        <w:tab w:val="left" w:pos="0"/>
      </w:tabs>
      <w:spacing w:line="360" w:lineRule="auto"/>
      <w:ind w:firstLine="502" w:firstLineChars="209"/>
    </w:pPr>
    <w:rPr>
      <w:rFonts w:ascii="宋体" w:eastAsia="宋体"/>
      <w:b/>
      <w:bCs/>
      <w:sz w:val="24"/>
    </w:rPr>
  </w:style>
  <w:style w:type="paragraph" w:styleId="33">
    <w:name w:val="Balloon Text"/>
    <w:basedOn w:val="1"/>
    <w:link w:val="166"/>
    <w:autoRedefine/>
    <w:qFormat/>
    <w:uiPriority w:val="0"/>
    <w:rPr>
      <w:rFonts w:ascii="Times New Roman" w:hAnsi="Times New Roman" w:eastAsia="宋体"/>
      <w:sz w:val="18"/>
      <w:szCs w:val="18"/>
    </w:rPr>
  </w:style>
  <w:style w:type="paragraph" w:styleId="34">
    <w:name w:val="footer"/>
    <w:basedOn w:val="1"/>
    <w:link w:val="103"/>
    <w:autoRedefine/>
    <w:qFormat/>
    <w:uiPriority w:val="99"/>
    <w:pPr>
      <w:tabs>
        <w:tab w:val="center" w:pos="4153"/>
        <w:tab w:val="right" w:pos="8306"/>
      </w:tabs>
      <w:snapToGrid w:val="0"/>
      <w:jc w:val="left"/>
    </w:pPr>
    <w:rPr>
      <w:rFonts w:ascii="Times New Roman" w:hAnsi="Times New Roman"/>
      <w:sz w:val="18"/>
    </w:rPr>
  </w:style>
  <w:style w:type="paragraph" w:styleId="35">
    <w:name w:val="header"/>
    <w:basedOn w:val="1"/>
    <w:link w:val="88"/>
    <w:autoRedefine/>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36">
    <w:name w:val="toc 1"/>
    <w:basedOn w:val="1"/>
    <w:next w:val="1"/>
    <w:autoRedefine/>
    <w:qFormat/>
    <w:uiPriority w:val="0"/>
    <w:pPr>
      <w:adjustRightInd w:val="0"/>
      <w:jc w:val="left"/>
      <w:textAlignment w:val="baseline"/>
    </w:pPr>
    <w:rPr>
      <w:rFonts w:ascii="Times New Roman" w:hAnsi="Times New Roman" w:eastAsia="宋体"/>
      <w:sz w:val="24"/>
    </w:rPr>
  </w:style>
  <w:style w:type="paragraph" w:styleId="37">
    <w:name w:val="toc 4"/>
    <w:basedOn w:val="1"/>
    <w:next w:val="1"/>
    <w:autoRedefine/>
    <w:qFormat/>
    <w:uiPriority w:val="0"/>
    <w:pPr>
      <w:ind w:left="1260"/>
    </w:pPr>
    <w:rPr>
      <w:rFonts w:ascii="Times New Roman" w:hAnsi="Times New Roman" w:eastAsia="宋体"/>
    </w:rPr>
  </w:style>
  <w:style w:type="paragraph" w:styleId="38">
    <w:name w:val="index heading"/>
    <w:basedOn w:val="1"/>
    <w:next w:val="39"/>
    <w:autoRedefine/>
    <w:qFormat/>
    <w:uiPriority w:val="0"/>
    <w:rPr>
      <w:rFonts w:ascii="Times New Roman" w:hAnsi="Times New Roman" w:eastAsia="宋体"/>
    </w:rPr>
  </w:style>
  <w:style w:type="paragraph" w:styleId="39">
    <w:name w:val="index 1"/>
    <w:basedOn w:val="1"/>
    <w:next w:val="1"/>
    <w:autoRedefine/>
    <w:qFormat/>
    <w:uiPriority w:val="0"/>
    <w:rPr>
      <w:rFonts w:ascii="Times New Roman" w:hAnsi="Times New Roman" w:eastAsia="宋体"/>
    </w:rPr>
  </w:style>
  <w:style w:type="paragraph" w:styleId="40">
    <w:name w:val="Subtitle"/>
    <w:basedOn w:val="1"/>
    <w:next w:val="1"/>
    <w:link w:val="342"/>
    <w:autoRedefine/>
    <w:qFormat/>
    <w:uiPriority w:val="0"/>
    <w:pPr>
      <w:spacing w:before="240" w:after="60" w:line="312" w:lineRule="auto"/>
      <w:jc w:val="center"/>
      <w:outlineLvl w:val="1"/>
    </w:pPr>
    <w:rPr>
      <w:rFonts w:ascii="Cambria" w:hAnsi="Cambria" w:eastAsia="宋体"/>
      <w:b/>
      <w:bCs/>
      <w:kern w:val="28"/>
      <w:sz w:val="32"/>
      <w:szCs w:val="32"/>
    </w:rPr>
  </w:style>
  <w:style w:type="paragraph" w:styleId="41">
    <w:name w:val="List"/>
    <w:basedOn w:val="1"/>
    <w:autoRedefine/>
    <w:qFormat/>
    <w:uiPriority w:val="0"/>
    <w:pPr>
      <w:spacing w:before="120" w:after="120"/>
      <w:ind w:left="420" w:hanging="420"/>
    </w:pPr>
    <w:rPr>
      <w:rFonts w:eastAsia="宋体"/>
      <w:sz w:val="24"/>
    </w:rPr>
  </w:style>
  <w:style w:type="paragraph" w:styleId="42">
    <w:name w:val="footnote text"/>
    <w:basedOn w:val="1"/>
    <w:link w:val="159"/>
    <w:autoRedefine/>
    <w:qFormat/>
    <w:uiPriority w:val="0"/>
    <w:pPr>
      <w:snapToGrid w:val="0"/>
      <w:jc w:val="left"/>
    </w:pPr>
    <w:rPr>
      <w:rFonts w:ascii="Times New Roman" w:hAnsi="Times New Roman" w:eastAsia="宋体"/>
      <w:sz w:val="18"/>
    </w:rPr>
  </w:style>
  <w:style w:type="paragraph" w:styleId="43">
    <w:name w:val="toc 6"/>
    <w:basedOn w:val="1"/>
    <w:next w:val="1"/>
    <w:autoRedefine/>
    <w:qFormat/>
    <w:uiPriority w:val="0"/>
    <w:pPr>
      <w:ind w:left="2100"/>
    </w:pPr>
    <w:rPr>
      <w:rFonts w:ascii="Times New Roman" w:hAnsi="Times New Roman" w:eastAsia="宋体"/>
    </w:rPr>
  </w:style>
  <w:style w:type="paragraph" w:styleId="44">
    <w:name w:val="Body Text Indent 3"/>
    <w:basedOn w:val="1"/>
    <w:link w:val="191"/>
    <w:autoRedefine/>
    <w:qFormat/>
    <w:uiPriority w:val="0"/>
    <w:pPr>
      <w:spacing w:line="360" w:lineRule="auto"/>
      <w:ind w:firstLine="617" w:firstLineChars="257"/>
    </w:pPr>
    <w:rPr>
      <w:rFonts w:ascii="Times New Roman" w:hAnsi="Times New Roman" w:eastAsia="宋体"/>
      <w:sz w:val="24"/>
      <w:szCs w:val="24"/>
    </w:rPr>
  </w:style>
  <w:style w:type="paragraph" w:styleId="45">
    <w:name w:val="index 7"/>
    <w:basedOn w:val="1"/>
    <w:next w:val="1"/>
    <w:autoRedefine/>
    <w:qFormat/>
    <w:uiPriority w:val="0"/>
    <w:pPr>
      <w:ind w:left="2520"/>
    </w:pPr>
    <w:rPr>
      <w:rFonts w:ascii="Times New Roman" w:hAnsi="Times New Roman" w:eastAsia="宋体"/>
    </w:rPr>
  </w:style>
  <w:style w:type="paragraph" w:styleId="46">
    <w:name w:val="index 9"/>
    <w:basedOn w:val="1"/>
    <w:next w:val="1"/>
    <w:autoRedefine/>
    <w:qFormat/>
    <w:uiPriority w:val="0"/>
    <w:pPr>
      <w:ind w:left="3360"/>
    </w:pPr>
    <w:rPr>
      <w:rFonts w:ascii="Times New Roman" w:hAnsi="Times New Roman" w:eastAsia="宋体"/>
    </w:rPr>
  </w:style>
  <w:style w:type="paragraph" w:styleId="47">
    <w:name w:val="table of figures"/>
    <w:basedOn w:val="1"/>
    <w:next w:val="1"/>
    <w:autoRedefine/>
    <w:qFormat/>
    <w:uiPriority w:val="0"/>
    <w:pPr>
      <w:adjustRightInd w:val="0"/>
      <w:ind w:left="420" w:hanging="420"/>
      <w:jc w:val="left"/>
      <w:textAlignment w:val="baseline"/>
    </w:pPr>
    <w:rPr>
      <w:rFonts w:ascii="Times New Roman" w:hAnsi="Times New Roman" w:eastAsia="宋体"/>
      <w:smallCaps/>
      <w:sz w:val="24"/>
    </w:rPr>
  </w:style>
  <w:style w:type="paragraph" w:styleId="48">
    <w:name w:val="toc 2"/>
    <w:basedOn w:val="1"/>
    <w:next w:val="1"/>
    <w:autoRedefine/>
    <w:qFormat/>
    <w:uiPriority w:val="0"/>
    <w:pPr>
      <w:ind w:left="420"/>
    </w:pPr>
    <w:rPr>
      <w:rFonts w:ascii="Times New Roman" w:hAnsi="Times New Roman" w:eastAsia="宋体"/>
    </w:rPr>
  </w:style>
  <w:style w:type="paragraph" w:styleId="49">
    <w:name w:val="toc 9"/>
    <w:basedOn w:val="1"/>
    <w:next w:val="1"/>
    <w:autoRedefine/>
    <w:qFormat/>
    <w:uiPriority w:val="0"/>
    <w:pPr>
      <w:ind w:left="3360"/>
    </w:pPr>
    <w:rPr>
      <w:rFonts w:ascii="Times New Roman" w:hAnsi="Times New Roman" w:eastAsia="宋体"/>
    </w:rPr>
  </w:style>
  <w:style w:type="paragraph" w:styleId="50">
    <w:name w:val="List Continue 2"/>
    <w:basedOn w:val="1"/>
    <w:autoRedefine/>
    <w:qFormat/>
    <w:uiPriority w:val="0"/>
    <w:pPr>
      <w:spacing w:after="120"/>
      <w:ind w:left="840"/>
    </w:pPr>
    <w:rPr>
      <w:rFonts w:ascii="Times New Roman" w:hAnsi="Times New Roman" w:eastAsia="宋体"/>
      <w:sz w:val="21"/>
      <w:szCs w:val="24"/>
    </w:rPr>
  </w:style>
  <w:style w:type="paragraph" w:styleId="5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2">
    <w:name w:val="Normal (Web)"/>
    <w:basedOn w:val="1"/>
    <w:link w:val="120"/>
    <w:autoRedefine/>
    <w:qFormat/>
    <w:uiPriority w:val="0"/>
    <w:pPr>
      <w:widowControl/>
      <w:spacing w:before="100" w:beforeAutospacing="1" w:after="100" w:afterAutospacing="1"/>
      <w:jc w:val="left"/>
    </w:pPr>
    <w:rPr>
      <w:rFonts w:eastAsia="宋体"/>
      <w:kern w:val="0"/>
      <w:sz w:val="24"/>
      <w:szCs w:val="24"/>
    </w:rPr>
  </w:style>
  <w:style w:type="paragraph" w:styleId="53">
    <w:name w:val="index 2"/>
    <w:basedOn w:val="1"/>
    <w:next w:val="1"/>
    <w:autoRedefine/>
    <w:qFormat/>
    <w:uiPriority w:val="0"/>
    <w:pPr>
      <w:ind w:left="420"/>
    </w:pPr>
    <w:rPr>
      <w:rFonts w:ascii="Times New Roman" w:hAnsi="Times New Roman" w:eastAsia="宋体"/>
    </w:rPr>
  </w:style>
  <w:style w:type="paragraph" w:styleId="54">
    <w:name w:val="Title"/>
    <w:basedOn w:val="1"/>
    <w:next w:val="1"/>
    <w:link w:val="102"/>
    <w:autoRedefine/>
    <w:qFormat/>
    <w:uiPriority w:val="0"/>
    <w:pPr>
      <w:spacing w:before="240" w:after="60"/>
      <w:jc w:val="center"/>
      <w:outlineLvl w:val="0"/>
    </w:pPr>
    <w:rPr>
      <w:rFonts w:ascii="Cambria" w:hAnsi="Cambria" w:eastAsia="宋体"/>
      <w:b/>
      <w:bCs/>
      <w:sz w:val="32"/>
      <w:szCs w:val="32"/>
    </w:rPr>
  </w:style>
  <w:style w:type="paragraph" w:styleId="55">
    <w:name w:val="annotation subject"/>
    <w:basedOn w:val="18"/>
    <w:next w:val="18"/>
    <w:link w:val="90"/>
    <w:autoRedefine/>
    <w:qFormat/>
    <w:uiPriority w:val="0"/>
    <w:rPr>
      <w:rFonts w:ascii="Calibri" w:hAnsi="Calibri" w:eastAsia="宋体"/>
      <w:b/>
      <w:bCs/>
    </w:rPr>
  </w:style>
  <w:style w:type="paragraph" w:styleId="56">
    <w:name w:val="Body Text First Indent 2"/>
    <w:basedOn w:val="23"/>
    <w:autoRedefine/>
    <w:unhideWhenUsed/>
    <w:qFormat/>
    <w:uiPriority w:val="99"/>
    <w:pPr>
      <w:ind w:firstLine="420" w:firstLineChars="200"/>
    </w:pPr>
  </w:style>
  <w:style w:type="table" w:styleId="58">
    <w:name w:val="Table Grid"/>
    <w:basedOn w:val="5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rFonts w:ascii="Times New Roman" w:hAnsi="Times New Roman" w:eastAsia="宋体" w:cs="Times New Roman"/>
      <w:b/>
    </w:rPr>
  </w:style>
  <w:style w:type="character" w:styleId="61">
    <w:name w:val="page number"/>
    <w:autoRedefine/>
    <w:qFormat/>
    <w:uiPriority w:val="0"/>
    <w:rPr>
      <w:rFonts w:ascii="Times New Roman" w:hAnsi="Times New Roman" w:eastAsia="宋体" w:cs="Times New Roman"/>
    </w:rPr>
  </w:style>
  <w:style w:type="character" w:styleId="62">
    <w:name w:val="FollowedHyperlink"/>
    <w:autoRedefine/>
    <w:qFormat/>
    <w:uiPriority w:val="0"/>
    <w:rPr>
      <w:rFonts w:ascii="Times New Roman" w:hAnsi="Times New Roman" w:eastAsia="宋体" w:cs="Times New Roman"/>
      <w:color w:val="954F72"/>
      <w:u w:val="single"/>
    </w:rPr>
  </w:style>
  <w:style w:type="character" w:styleId="63">
    <w:name w:val="Emphasis"/>
    <w:autoRedefine/>
    <w:qFormat/>
    <w:uiPriority w:val="0"/>
    <w:rPr>
      <w:rFonts w:ascii="Times New Roman" w:hAnsi="Times New Roman" w:eastAsia="宋体" w:cs="Times New Roman"/>
      <w:i/>
      <w:iCs/>
    </w:rPr>
  </w:style>
  <w:style w:type="character" w:styleId="64">
    <w:name w:val="line number"/>
    <w:autoRedefine/>
    <w:qFormat/>
    <w:uiPriority w:val="0"/>
    <w:rPr>
      <w:rFonts w:ascii="Times New Roman" w:hAnsi="Times New Roman" w:eastAsia="宋体" w:cs="Times New Roman"/>
    </w:rPr>
  </w:style>
  <w:style w:type="character" w:styleId="65">
    <w:name w:val="HTML Definition"/>
    <w:autoRedefine/>
    <w:qFormat/>
    <w:uiPriority w:val="0"/>
    <w:rPr>
      <w:rFonts w:ascii="Times New Roman" w:hAnsi="Times New Roman" w:eastAsia="宋体" w:cs="Times New Roman"/>
      <w:i/>
    </w:rPr>
  </w:style>
  <w:style w:type="character" w:styleId="66">
    <w:name w:val="HTML Typewriter"/>
    <w:basedOn w:val="59"/>
    <w:autoRedefine/>
    <w:semiHidden/>
    <w:unhideWhenUsed/>
    <w:qFormat/>
    <w:uiPriority w:val="99"/>
    <w:rPr>
      <w:rFonts w:hint="default" w:ascii="monospace" w:hAnsi="monospace" w:eastAsia="monospace" w:cs="monospace"/>
      <w:sz w:val="20"/>
    </w:rPr>
  </w:style>
  <w:style w:type="character" w:styleId="67">
    <w:name w:val="HTML Acronym"/>
    <w:basedOn w:val="59"/>
    <w:autoRedefine/>
    <w:semiHidden/>
    <w:unhideWhenUsed/>
    <w:qFormat/>
    <w:uiPriority w:val="99"/>
  </w:style>
  <w:style w:type="character" w:styleId="68">
    <w:name w:val="HTML Variable"/>
    <w:basedOn w:val="59"/>
    <w:autoRedefine/>
    <w:semiHidden/>
    <w:unhideWhenUsed/>
    <w:qFormat/>
    <w:uiPriority w:val="99"/>
  </w:style>
  <w:style w:type="character" w:styleId="69">
    <w:name w:val="Hyperlink"/>
    <w:autoRedefine/>
    <w:qFormat/>
    <w:uiPriority w:val="0"/>
    <w:rPr>
      <w:rFonts w:ascii="Times New Roman" w:hAnsi="Times New Roman" w:eastAsia="宋体" w:cs="Times New Roman"/>
      <w:color w:val="0000FF"/>
      <w:u w:val="single"/>
    </w:rPr>
  </w:style>
  <w:style w:type="character" w:styleId="70">
    <w:name w:val="HTML Code"/>
    <w:autoRedefine/>
    <w:qFormat/>
    <w:uiPriority w:val="0"/>
    <w:rPr>
      <w:rFonts w:hint="default" w:ascii="Menlo" w:hAnsi="Menlo" w:eastAsia="Menlo" w:cs="Menlo"/>
      <w:color w:val="C7254E"/>
      <w:sz w:val="21"/>
      <w:szCs w:val="21"/>
      <w:shd w:val="clear" w:color="auto" w:fill="F9F2F4"/>
    </w:rPr>
  </w:style>
  <w:style w:type="character" w:styleId="71">
    <w:name w:val="annotation reference"/>
    <w:autoRedefine/>
    <w:qFormat/>
    <w:uiPriority w:val="0"/>
    <w:rPr>
      <w:rFonts w:ascii="Times New Roman" w:hAnsi="Times New Roman" w:eastAsia="宋体" w:cs="Times New Roman"/>
      <w:sz w:val="21"/>
      <w:szCs w:val="21"/>
    </w:rPr>
  </w:style>
  <w:style w:type="character" w:styleId="72">
    <w:name w:val="HTML Cite"/>
    <w:autoRedefine/>
    <w:qFormat/>
    <w:uiPriority w:val="0"/>
    <w:rPr>
      <w:rFonts w:ascii="Times New Roman" w:hAnsi="Times New Roman" w:eastAsia="宋体" w:cs="Times New Roman"/>
    </w:rPr>
  </w:style>
  <w:style w:type="character" w:styleId="73">
    <w:name w:val="footnote reference"/>
    <w:autoRedefine/>
    <w:qFormat/>
    <w:uiPriority w:val="0"/>
    <w:rPr>
      <w:rFonts w:ascii="Times New Roman" w:hAnsi="Times New Roman" w:eastAsia="宋体" w:cs="Times New Roman"/>
      <w:vertAlign w:val="superscript"/>
    </w:rPr>
  </w:style>
  <w:style w:type="character" w:styleId="74">
    <w:name w:val="HTML Keyboard"/>
    <w:autoRedefine/>
    <w:qFormat/>
    <w:uiPriority w:val="0"/>
    <w:rPr>
      <w:rFonts w:hint="default" w:ascii="Menlo" w:hAnsi="Menlo" w:eastAsia="Menlo" w:cs="Menlo"/>
      <w:sz w:val="21"/>
      <w:szCs w:val="21"/>
    </w:rPr>
  </w:style>
  <w:style w:type="character" w:styleId="75">
    <w:name w:val="HTML Sample"/>
    <w:autoRedefine/>
    <w:qFormat/>
    <w:uiPriority w:val="0"/>
    <w:rPr>
      <w:rFonts w:ascii="Menlo" w:hAnsi="Menlo" w:eastAsia="Menlo" w:cs="Menlo"/>
      <w:sz w:val="21"/>
      <w:szCs w:val="21"/>
    </w:rPr>
  </w:style>
  <w:style w:type="character" w:customStyle="1" w:styleId="76">
    <w:name w:val="正文文本 字符"/>
    <w:link w:val="21"/>
    <w:autoRedefine/>
    <w:qFormat/>
    <w:uiPriority w:val="0"/>
    <w:rPr>
      <w:rFonts w:ascii="楷体_GB2312" w:hAnsi="Times New Roman"/>
      <w:kern w:val="2"/>
      <w:sz w:val="28"/>
    </w:rPr>
  </w:style>
  <w:style w:type="character" w:customStyle="1" w:styleId="77">
    <w:name w:val="标题 1 字符"/>
    <w:link w:val="2"/>
    <w:autoRedefine/>
    <w:qFormat/>
    <w:uiPriority w:val="0"/>
    <w:rPr>
      <w:rFonts w:ascii="Times New Roman" w:hAnsi="Times New Roman" w:eastAsia="楷体_GB2312" w:cs="Times New Roman"/>
      <w:b/>
      <w:kern w:val="44"/>
      <w:sz w:val="44"/>
    </w:rPr>
  </w:style>
  <w:style w:type="character" w:customStyle="1" w:styleId="78">
    <w:name w:val="标题 2 字符"/>
    <w:link w:val="3"/>
    <w:autoRedefine/>
    <w:qFormat/>
    <w:uiPriority w:val="0"/>
    <w:rPr>
      <w:rFonts w:ascii="宋体" w:hAnsi="宋体" w:eastAsia="楷体_GB2312" w:cs="Times New Roman"/>
      <w:b/>
      <w:kern w:val="2"/>
      <w:sz w:val="26"/>
      <w:lang w:val="en-US" w:eastAsia="zh-CN" w:bidi="ar-SA"/>
    </w:rPr>
  </w:style>
  <w:style w:type="character" w:customStyle="1" w:styleId="79">
    <w:name w:val="标题 3 字符"/>
    <w:link w:val="4"/>
    <w:autoRedefine/>
    <w:qFormat/>
    <w:uiPriority w:val="0"/>
    <w:rPr>
      <w:rFonts w:ascii="Times New Roman" w:hAnsi="Times New Roman" w:eastAsia="楷体_GB2312" w:cs="Times New Roman"/>
      <w:b/>
      <w:kern w:val="2"/>
      <w:sz w:val="26"/>
    </w:rPr>
  </w:style>
  <w:style w:type="character" w:customStyle="1" w:styleId="80">
    <w:name w:val="标题 4 字符"/>
    <w:link w:val="5"/>
    <w:autoRedefine/>
    <w:qFormat/>
    <w:uiPriority w:val="0"/>
    <w:rPr>
      <w:rFonts w:ascii="Arial" w:hAnsi="Arial" w:eastAsia="黑体" w:cs="Times New Roman"/>
      <w:b/>
      <w:bCs/>
      <w:kern w:val="2"/>
      <w:sz w:val="28"/>
      <w:szCs w:val="28"/>
    </w:rPr>
  </w:style>
  <w:style w:type="character" w:customStyle="1" w:styleId="81">
    <w:name w:val="正文缩进 字符"/>
    <w:link w:val="7"/>
    <w:autoRedefine/>
    <w:qFormat/>
    <w:uiPriority w:val="0"/>
    <w:rPr>
      <w:rFonts w:ascii="Times New Roman" w:hAnsi="Times New Roman" w:eastAsia="楷体_GB2312" w:cs="Times New Roman"/>
      <w:kern w:val="2"/>
      <w:sz w:val="24"/>
      <w:lang w:val="en-US" w:eastAsia="zh-CN" w:bidi="ar-SA"/>
    </w:rPr>
  </w:style>
  <w:style w:type="character" w:customStyle="1" w:styleId="82">
    <w:name w:val="标题 5 字符"/>
    <w:link w:val="6"/>
    <w:autoRedefine/>
    <w:qFormat/>
    <w:uiPriority w:val="0"/>
    <w:rPr>
      <w:rFonts w:ascii="宋体" w:hAnsi="Times New Roman"/>
      <w:b/>
      <w:spacing w:val="-2"/>
      <w:kern w:val="2"/>
      <w:position w:val="-6"/>
      <w:sz w:val="28"/>
    </w:rPr>
  </w:style>
  <w:style w:type="character" w:customStyle="1" w:styleId="83">
    <w:name w:val="标题 6 字符"/>
    <w:link w:val="8"/>
    <w:autoRedefine/>
    <w:qFormat/>
    <w:uiPriority w:val="0"/>
    <w:rPr>
      <w:rFonts w:ascii="Arial" w:hAnsi="Arial" w:eastAsia="黑体"/>
      <w:b/>
      <w:spacing w:val="-2"/>
      <w:kern w:val="2"/>
      <w:position w:val="-6"/>
      <w:sz w:val="24"/>
    </w:rPr>
  </w:style>
  <w:style w:type="character" w:customStyle="1" w:styleId="84">
    <w:name w:val="标题 7 字符"/>
    <w:link w:val="9"/>
    <w:autoRedefine/>
    <w:qFormat/>
    <w:uiPriority w:val="0"/>
    <w:rPr>
      <w:rFonts w:ascii="宋体" w:hAnsi="Times New Roman"/>
      <w:b/>
      <w:spacing w:val="-2"/>
      <w:kern w:val="2"/>
      <w:position w:val="-6"/>
      <w:sz w:val="24"/>
    </w:rPr>
  </w:style>
  <w:style w:type="character" w:customStyle="1" w:styleId="85">
    <w:name w:val="标题 8 字符"/>
    <w:link w:val="10"/>
    <w:autoRedefine/>
    <w:qFormat/>
    <w:uiPriority w:val="0"/>
    <w:rPr>
      <w:rFonts w:ascii="Arial" w:hAnsi="Arial" w:eastAsia="黑体"/>
      <w:spacing w:val="-2"/>
      <w:kern w:val="2"/>
      <w:position w:val="-6"/>
      <w:sz w:val="24"/>
    </w:rPr>
  </w:style>
  <w:style w:type="character" w:customStyle="1" w:styleId="86">
    <w:name w:val="标题 9 字符"/>
    <w:link w:val="11"/>
    <w:autoRedefine/>
    <w:qFormat/>
    <w:uiPriority w:val="0"/>
    <w:rPr>
      <w:rFonts w:ascii="Arial" w:hAnsi="Arial" w:eastAsia="黑体"/>
      <w:spacing w:val="-2"/>
      <w:kern w:val="2"/>
      <w:position w:val="-6"/>
      <w:sz w:val="28"/>
    </w:rPr>
  </w:style>
  <w:style w:type="character" w:customStyle="1" w:styleId="87">
    <w:name w:val="hilite6"/>
    <w:autoRedefine/>
    <w:qFormat/>
    <w:uiPriority w:val="0"/>
    <w:rPr>
      <w:rFonts w:ascii="Times New Roman" w:hAnsi="Times New Roman" w:eastAsia="宋体" w:cs="Times New Roman"/>
      <w:color w:val="FFFFFF"/>
      <w:shd w:val="clear" w:color="auto" w:fill="776666"/>
    </w:rPr>
  </w:style>
  <w:style w:type="character" w:customStyle="1" w:styleId="88">
    <w:name w:val="页眉 字符"/>
    <w:link w:val="35"/>
    <w:autoRedefine/>
    <w:qFormat/>
    <w:uiPriority w:val="99"/>
    <w:rPr>
      <w:rFonts w:ascii="Times New Roman" w:hAnsi="Times New Roman" w:eastAsia="楷体_GB2312" w:cs="Times New Roman"/>
      <w:kern w:val="2"/>
      <w:sz w:val="18"/>
    </w:rPr>
  </w:style>
  <w:style w:type="character" w:customStyle="1" w:styleId="89">
    <w:name w:val="hilite"/>
    <w:autoRedefine/>
    <w:qFormat/>
    <w:uiPriority w:val="0"/>
    <w:rPr>
      <w:rFonts w:ascii="Times New Roman" w:hAnsi="Times New Roman" w:eastAsia="宋体" w:cs="Times New Roman"/>
      <w:color w:val="FFFFFF"/>
      <w:shd w:val="clear" w:color="auto" w:fill="776666"/>
    </w:rPr>
  </w:style>
  <w:style w:type="character" w:customStyle="1" w:styleId="90">
    <w:name w:val="批注主题 字符"/>
    <w:link w:val="55"/>
    <w:autoRedefine/>
    <w:qFormat/>
    <w:uiPriority w:val="0"/>
    <w:rPr>
      <w:b/>
      <w:bCs/>
      <w:kern w:val="2"/>
      <w:sz w:val="26"/>
    </w:rPr>
  </w:style>
  <w:style w:type="character" w:customStyle="1" w:styleId="91">
    <w:name w:val="批注文字 字符"/>
    <w:link w:val="18"/>
    <w:autoRedefine/>
    <w:qFormat/>
    <w:uiPriority w:val="0"/>
    <w:rPr>
      <w:rFonts w:ascii="Times New Roman" w:hAnsi="Times New Roman" w:eastAsia="楷体_GB2312" w:cs="Times New Roman"/>
      <w:kern w:val="2"/>
      <w:sz w:val="26"/>
    </w:rPr>
  </w:style>
  <w:style w:type="character" w:customStyle="1" w:styleId="92">
    <w:name w:val="state"/>
    <w:autoRedefine/>
    <w:qFormat/>
    <w:uiPriority w:val="0"/>
    <w:rPr>
      <w:rFonts w:ascii="Times New Roman" w:hAnsi="Times New Roman" w:eastAsia="宋体" w:cs="Times New Roman"/>
      <w:b/>
      <w:color w:val="FFFFFF"/>
      <w:sz w:val="19"/>
      <w:szCs w:val="19"/>
    </w:rPr>
  </w:style>
  <w:style w:type="character" w:customStyle="1" w:styleId="93">
    <w:name w:val="bds_more5"/>
    <w:autoRedefine/>
    <w:qFormat/>
    <w:uiPriority w:val="0"/>
    <w:rPr>
      <w:rFonts w:ascii="Times New Roman" w:hAnsi="Times New Roman" w:eastAsia="宋体" w:cs="Times New Roman"/>
    </w:rPr>
  </w:style>
  <w:style w:type="character" w:customStyle="1" w:styleId="94">
    <w:name w:val="正文文本缩进 字符"/>
    <w:link w:val="23"/>
    <w:autoRedefine/>
    <w:qFormat/>
    <w:uiPriority w:val="0"/>
    <w:rPr>
      <w:rFonts w:ascii="方正仿宋简体" w:hAnsi="创艺简仿宋" w:eastAsia="方正仿宋简体" w:cs="Times New Roman"/>
      <w:kern w:val="2"/>
      <w:sz w:val="24"/>
      <w:lang w:val="en-US" w:eastAsia="zh-CN" w:bidi="ar-SA"/>
    </w:rPr>
  </w:style>
  <w:style w:type="character" w:customStyle="1" w:styleId="95">
    <w:name w:val="bigfont"/>
    <w:autoRedefine/>
    <w:qFormat/>
    <w:uiPriority w:val="0"/>
  </w:style>
  <w:style w:type="character" w:customStyle="1" w:styleId="96">
    <w:name w:val="正文文本缩进 2 字符"/>
    <w:link w:val="32"/>
    <w:autoRedefine/>
    <w:qFormat/>
    <w:uiPriority w:val="0"/>
    <w:rPr>
      <w:rFonts w:ascii="宋体"/>
      <w:b/>
      <w:bCs/>
      <w:kern w:val="2"/>
      <w:sz w:val="24"/>
    </w:rPr>
  </w:style>
  <w:style w:type="character" w:customStyle="1" w:styleId="97">
    <w:name w:val="bds_more6"/>
    <w:autoRedefine/>
    <w:qFormat/>
    <w:uiPriority w:val="0"/>
    <w:rPr>
      <w:rFonts w:ascii="Times New Roman" w:hAnsi="Times New Roman" w:eastAsia="宋体" w:cs="Times New Roman"/>
    </w:rPr>
  </w:style>
  <w:style w:type="character" w:customStyle="1" w:styleId="98">
    <w:name w:val="noused"/>
    <w:autoRedefine/>
    <w:qFormat/>
    <w:uiPriority w:val="0"/>
    <w:rPr>
      <w:rFonts w:ascii="Times New Roman" w:hAnsi="Times New Roman" w:eastAsia="宋体" w:cs="Times New Roman"/>
      <w:b/>
      <w:color w:val="FFFFFF"/>
      <w:sz w:val="21"/>
      <w:szCs w:val="21"/>
    </w:rPr>
  </w:style>
  <w:style w:type="character" w:customStyle="1" w:styleId="99">
    <w:name w:val="Char Char2"/>
    <w:autoRedefine/>
    <w:qFormat/>
    <w:uiPriority w:val="0"/>
    <w:rPr>
      <w:rFonts w:ascii="宋体" w:hAnsi="宋体" w:eastAsia="楷体_GB2312" w:cs="Times New Roman"/>
      <w:b/>
      <w:kern w:val="2"/>
      <w:sz w:val="26"/>
      <w:lang w:val="en-US" w:eastAsia="zh-CN" w:bidi="ar-SA"/>
    </w:rPr>
  </w:style>
  <w:style w:type="character" w:customStyle="1" w:styleId="100">
    <w:name w:val="bds_more7"/>
    <w:autoRedefine/>
    <w:qFormat/>
    <w:uiPriority w:val="0"/>
    <w:rPr>
      <w:rFonts w:ascii="Times New Roman" w:hAnsi="Times New Roman" w:eastAsia="宋体" w:cs="Times New Roman"/>
    </w:rPr>
  </w:style>
  <w:style w:type="character" w:customStyle="1" w:styleId="101">
    <w:name w:val="文档结构图 字符"/>
    <w:link w:val="16"/>
    <w:autoRedefine/>
    <w:qFormat/>
    <w:uiPriority w:val="99"/>
    <w:rPr>
      <w:kern w:val="2"/>
      <w:sz w:val="26"/>
      <w:shd w:val="clear" w:color="auto" w:fill="000080"/>
    </w:rPr>
  </w:style>
  <w:style w:type="character" w:customStyle="1" w:styleId="102">
    <w:name w:val="标题 字符"/>
    <w:link w:val="54"/>
    <w:autoRedefine/>
    <w:qFormat/>
    <w:uiPriority w:val="0"/>
    <w:rPr>
      <w:rFonts w:ascii="Cambria" w:hAnsi="Cambria" w:eastAsia="宋体" w:cs="Times New Roman"/>
      <w:b/>
      <w:bCs/>
      <w:kern w:val="2"/>
      <w:sz w:val="32"/>
      <w:szCs w:val="32"/>
    </w:rPr>
  </w:style>
  <w:style w:type="character" w:customStyle="1" w:styleId="103">
    <w:name w:val="页脚 字符"/>
    <w:link w:val="34"/>
    <w:autoRedefine/>
    <w:qFormat/>
    <w:uiPriority w:val="99"/>
    <w:rPr>
      <w:rFonts w:ascii="Times New Roman" w:hAnsi="Times New Roman" w:eastAsia="楷体_GB2312" w:cs="Times New Roman"/>
      <w:kern w:val="2"/>
      <w:sz w:val="18"/>
    </w:rPr>
  </w:style>
  <w:style w:type="character" w:customStyle="1" w:styleId="104">
    <w:name w:val="Body Char Char"/>
    <w:link w:val="105"/>
    <w:autoRedefine/>
    <w:qFormat/>
    <w:uiPriority w:val="0"/>
    <w:rPr>
      <w:sz w:val="21"/>
      <w:szCs w:val="21"/>
      <w:lang w:eastAsia="en-US"/>
    </w:rPr>
  </w:style>
  <w:style w:type="paragraph" w:customStyle="1" w:styleId="105">
    <w:name w:val="Body"/>
    <w:basedOn w:val="1"/>
    <w:link w:val="104"/>
    <w:autoRedefine/>
    <w:qFormat/>
    <w:uiPriority w:val="0"/>
    <w:pPr>
      <w:widowControl/>
      <w:tabs>
        <w:tab w:val="left" w:pos="9356"/>
      </w:tabs>
      <w:spacing w:before="80" w:after="80" w:line="360" w:lineRule="auto"/>
      <w:ind w:firstLine="480" w:firstLineChars="200"/>
    </w:pPr>
    <w:rPr>
      <w:rFonts w:eastAsia="宋体"/>
      <w:kern w:val="0"/>
      <w:sz w:val="21"/>
      <w:szCs w:val="21"/>
      <w:lang w:eastAsia="en-US"/>
    </w:rPr>
  </w:style>
  <w:style w:type="character" w:customStyle="1" w:styleId="106">
    <w:name w:val="bds_more4"/>
    <w:autoRedefine/>
    <w:qFormat/>
    <w:uiPriority w:val="0"/>
    <w:rPr>
      <w:rFonts w:hint="eastAsia" w:ascii="宋体" w:hAnsi="宋体" w:eastAsia="宋体" w:cs="宋体"/>
    </w:rPr>
  </w:style>
  <w:style w:type="character" w:customStyle="1" w:styleId="107">
    <w:name w:val="other"/>
    <w:autoRedefine/>
    <w:qFormat/>
    <w:uiPriority w:val="0"/>
    <w:rPr>
      <w:rFonts w:ascii="Times New Roman" w:hAnsi="Times New Roman" w:eastAsia="宋体" w:cs="Times New Roman"/>
    </w:rPr>
  </w:style>
  <w:style w:type="character" w:customStyle="1" w:styleId="108">
    <w:name w:val="active"/>
    <w:autoRedefine/>
    <w:qFormat/>
    <w:uiPriority w:val="0"/>
    <w:rPr>
      <w:rFonts w:ascii="Times New Roman" w:hAnsi="Times New Roman" w:eastAsia="宋体" w:cs="Times New Roman"/>
      <w:color w:val="00FF00"/>
      <w:shd w:val="clear" w:color="auto" w:fill="000000"/>
    </w:rPr>
  </w:style>
  <w:style w:type="character" w:customStyle="1" w:styleId="109">
    <w:name w:val="bds_more8"/>
    <w:autoRedefine/>
    <w:qFormat/>
    <w:uiPriority w:val="0"/>
    <w:rPr>
      <w:rFonts w:hint="eastAsia" w:ascii="宋体" w:hAnsi="宋体" w:eastAsia="宋体" w:cs="宋体"/>
    </w:rPr>
  </w:style>
  <w:style w:type="character" w:customStyle="1" w:styleId="110">
    <w:name w:val="标书正文格式 Char Char"/>
    <w:link w:val="111"/>
    <w:autoRedefine/>
    <w:qFormat/>
    <w:uiPriority w:val="0"/>
    <w:rPr>
      <w:rFonts w:eastAsia="楷体_GB2312"/>
      <w:kern w:val="2"/>
      <w:sz w:val="24"/>
      <w:szCs w:val="24"/>
      <w:lang w:val="en-US" w:eastAsia="zh-CN" w:bidi="ar-SA"/>
    </w:rPr>
  </w:style>
  <w:style w:type="paragraph" w:customStyle="1" w:styleId="111">
    <w:name w:val="标书正文格式"/>
    <w:link w:val="110"/>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112">
    <w:name w:val="bds_nopic"/>
    <w:autoRedefine/>
    <w:qFormat/>
    <w:uiPriority w:val="0"/>
    <w:rPr>
      <w:rFonts w:ascii="Times New Roman" w:hAnsi="Times New Roman" w:eastAsia="宋体" w:cs="Times New Roman"/>
    </w:rPr>
  </w:style>
  <w:style w:type="character" w:customStyle="1" w:styleId="113">
    <w:name w:val="dg2"/>
    <w:autoRedefine/>
    <w:qFormat/>
    <w:uiPriority w:val="0"/>
  </w:style>
  <w:style w:type="character" w:customStyle="1" w:styleId="114">
    <w:name w:val="hover61"/>
    <w:autoRedefine/>
    <w:qFormat/>
    <w:uiPriority w:val="0"/>
    <w:rPr>
      <w:rFonts w:ascii="Times New Roman" w:hAnsi="Times New Roman" w:eastAsia="宋体" w:cs="Times New Roman"/>
      <w:shd w:val="clear" w:color="auto" w:fill="FF0000"/>
    </w:rPr>
  </w:style>
  <w:style w:type="character" w:customStyle="1" w:styleId="115">
    <w:name w:val="grid2"/>
    <w:autoRedefine/>
    <w:qFormat/>
    <w:uiPriority w:val="0"/>
    <w:rPr>
      <w:rFonts w:ascii="Times New Roman" w:hAnsi="Times New Roman" w:eastAsia="宋体" w:cs="Times New Roman"/>
    </w:rPr>
  </w:style>
  <w:style w:type="character" w:customStyle="1" w:styleId="116">
    <w:name w:val="正文要点 Char Char"/>
    <w:link w:val="117"/>
    <w:autoRedefine/>
    <w:qFormat/>
    <w:uiPriority w:val="0"/>
    <w:rPr>
      <w:rFonts w:eastAsia="楷体_GB2312"/>
      <w:kern w:val="2"/>
      <w:sz w:val="21"/>
      <w:szCs w:val="24"/>
    </w:rPr>
  </w:style>
  <w:style w:type="paragraph" w:customStyle="1" w:styleId="117">
    <w:name w:val="正文要点"/>
    <w:basedOn w:val="1"/>
    <w:next w:val="1"/>
    <w:link w:val="116"/>
    <w:autoRedefine/>
    <w:qFormat/>
    <w:uiPriority w:val="0"/>
    <w:pPr>
      <w:tabs>
        <w:tab w:val="left" w:pos="420"/>
      </w:tabs>
      <w:spacing w:line="360" w:lineRule="auto"/>
      <w:ind w:left="420" w:hanging="420"/>
    </w:pPr>
    <w:rPr>
      <w:sz w:val="21"/>
      <w:szCs w:val="24"/>
    </w:rPr>
  </w:style>
  <w:style w:type="character" w:customStyle="1" w:styleId="118">
    <w:name w:val="apple-converted-space"/>
    <w:autoRedefine/>
    <w:qFormat/>
    <w:uiPriority w:val="0"/>
  </w:style>
  <w:style w:type="character" w:customStyle="1" w:styleId="119">
    <w:name w:val="bds_nopic2"/>
    <w:autoRedefine/>
    <w:qFormat/>
    <w:uiPriority w:val="0"/>
    <w:rPr>
      <w:rFonts w:ascii="Times New Roman" w:hAnsi="Times New Roman" w:eastAsia="宋体" w:cs="Times New Roman"/>
    </w:rPr>
  </w:style>
  <w:style w:type="character" w:customStyle="1" w:styleId="120">
    <w:name w:val="普通(网站) 字符"/>
    <w:link w:val="52"/>
    <w:autoRedefine/>
    <w:qFormat/>
    <w:uiPriority w:val="0"/>
    <w:rPr>
      <w:sz w:val="24"/>
      <w:szCs w:val="24"/>
    </w:rPr>
  </w:style>
  <w:style w:type="character" w:customStyle="1" w:styleId="121">
    <w:name w:val="样式 宋体 小四"/>
    <w:autoRedefine/>
    <w:qFormat/>
    <w:uiPriority w:val="0"/>
    <w:rPr>
      <w:rFonts w:ascii="宋体" w:hAnsi="宋体"/>
      <w:sz w:val="24"/>
    </w:rPr>
  </w:style>
  <w:style w:type="character" w:customStyle="1" w:styleId="122">
    <w:name w:val="Table Text Char Char"/>
    <w:link w:val="123"/>
    <w:autoRedefine/>
    <w:qFormat/>
    <w:uiPriority w:val="0"/>
    <w:rPr>
      <w:rFonts w:ascii="Arial" w:hAnsi="Arial" w:cs="Arial"/>
      <w:sz w:val="18"/>
      <w:szCs w:val="18"/>
      <w:lang w:val="en-US" w:eastAsia="zh-CN" w:bidi="ar-SA"/>
    </w:rPr>
  </w:style>
  <w:style w:type="paragraph" w:customStyle="1" w:styleId="123">
    <w:name w:val="Table Text"/>
    <w:link w:val="122"/>
    <w:autoRedefine/>
    <w:qFormat/>
    <w:uiPriority w:val="0"/>
    <w:pPr>
      <w:snapToGrid w:val="0"/>
      <w:spacing w:before="80" w:after="80"/>
    </w:pPr>
    <w:rPr>
      <w:rFonts w:ascii="Arial" w:hAnsi="Arial" w:eastAsia="宋体" w:cs="Arial"/>
      <w:sz w:val="18"/>
      <w:szCs w:val="18"/>
      <w:lang w:val="en-US" w:eastAsia="zh-CN" w:bidi="ar-SA"/>
    </w:rPr>
  </w:style>
  <w:style w:type="character" w:customStyle="1" w:styleId="124">
    <w:name w:val="grid"/>
    <w:autoRedefine/>
    <w:qFormat/>
    <w:uiPriority w:val="0"/>
    <w:rPr>
      <w:rFonts w:ascii="Times New Roman" w:hAnsi="Times New Roman" w:eastAsia="宋体" w:cs="Times New Roman"/>
    </w:rPr>
  </w:style>
  <w:style w:type="character" w:customStyle="1" w:styleId="125">
    <w:name w:val="纯文本 字符"/>
    <w:link w:val="28"/>
    <w:autoRedefine/>
    <w:qFormat/>
    <w:uiPriority w:val="0"/>
    <w:rPr>
      <w:rFonts w:ascii="宋体" w:hAnsi="Courier New" w:eastAsia="楷体_GB2312" w:cs="Times New Roman"/>
      <w:kern w:val="2"/>
      <w:sz w:val="26"/>
      <w:lang w:val="en-US" w:eastAsia="zh-CN" w:bidi="ar-SA"/>
    </w:rPr>
  </w:style>
  <w:style w:type="character" w:customStyle="1" w:styleId="126">
    <w:name w:val="bds_nopic1"/>
    <w:autoRedefine/>
    <w:qFormat/>
    <w:uiPriority w:val="0"/>
    <w:rPr>
      <w:rFonts w:ascii="Times New Roman" w:hAnsi="Times New Roman" w:eastAsia="宋体" w:cs="Times New Roman"/>
    </w:rPr>
  </w:style>
  <w:style w:type="character" w:customStyle="1" w:styleId="127">
    <w:name w:val="active8"/>
    <w:autoRedefine/>
    <w:qFormat/>
    <w:uiPriority w:val="0"/>
    <w:rPr>
      <w:rFonts w:ascii="Times New Roman" w:hAnsi="Times New Roman" w:eastAsia="宋体" w:cs="Times New Roman"/>
      <w:color w:val="00FF00"/>
      <w:shd w:val="clear" w:color="auto" w:fill="000000"/>
    </w:rPr>
  </w:style>
  <w:style w:type="paragraph" w:customStyle="1" w:styleId="128">
    <w:name w:val="xl1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29">
    <w:name w:val="xl11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
    <w:name w:val="xl81"/>
    <w:basedOn w:val="1"/>
    <w:autoRedefine/>
    <w:qFormat/>
    <w:uiPriority w:val="0"/>
    <w:pPr>
      <w:widowControl/>
      <w:spacing w:before="100" w:beforeAutospacing="1" w:after="100" w:afterAutospacing="1"/>
      <w:jc w:val="center"/>
    </w:pPr>
    <w:rPr>
      <w:rFonts w:eastAsia="宋体"/>
      <w:b/>
      <w:bCs/>
      <w:kern w:val="0"/>
      <w:sz w:val="24"/>
      <w:szCs w:val="24"/>
    </w:rPr>
  </w:style>
  <w:style w:type="paragraph" w:customStyle="1" w:styleId="131">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32">
    <w:name w:val="xl76"/>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3">
    <w:name w:val="xl84"/>
    <w:basedOn w:val="1"/>
    <w:autoRedefine/>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4">
    <w:name w:val="xl12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35">
    <w:name w:val="xl15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character" w:customStyle="1" w:styleId="136">
    <w:name w:val="日期 字符"/>
    <w:link w:val="31"/>
    <w:autoRedefine/>
    <w:qFormat/>
    <w:uiPriority w:val="0"/>
    <w:rPr>
      <w:rFonts w:ascii="宋体" w:hAnsi="宋体" w:eastAsia="宋体" w:cs="Times New Roman"/>
      <w:kern w:val="2"/>
      <w:sz w:val="24"/>
    </w:rPr>
  </w:style>
  <w:style w:type="paragraph" w:customStyle="1" w:styleId="137">
    <w:name w:val="列出段落1"/>
    <w:basedOn w:val="1"/>
    <w:autoRedefine/>
    <w:qFormat/>
    <w:uiPriority w:val="0"/>
    <w:pPr>
      <w:ind w:firstLine="420" w:firstLineChars="200"/>
    </w:pPr>
    <w:rPr>
      <w:rFonts w:eastAsia="宋体"/>
      <w:sz w:val="21"/>
      <w:szCs w:val="22"/>
    </w:rPr>
  </w:style>
  <w:style w:type="paragraph" w:customStyle="1" w:styleId="138">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
    <w:name w:val="xl150"/>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40">
    <w:name w:val="xl13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1">
    <w:name w:val="xl14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2">
    <w:name w:val="xl48"/>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43">
    <w:name w:val="列出段落11"/>
    <w:basedOn w:val="1"/>
    <w:autoRedefine/>
    <w:qFormat/>
    <w:uiPriority w:val="0"/>
    <w:pPr>
      <w:ind w:firstLine="200" w:firstLineChars="200"/>
    </w:pPr>
    <w:rPr>
      <w:rFonts w:eastAsia="宋体" w:cs="Arial"/>
      <w:sz w:val="21"/>
      <w:szCs w:val="22"/>
    </w:rPr>
  </w:style>
  <w:style w:type="paragraph" w:customStyle="1" w:styleId="144">
    <w:name w:val="rm"/>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
    <w:name w:val="font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6">
    <w:name w:val="Char"/>
    <w:basedOn w:val="1"/>
    <w:autoRedefine/>
    <w:qFormat/>
    <w:uiPriority w:val="0"/>
    <w:rPr>
      <w:rFonts w:ascii="Tahoma" w:hAnsi="Tahoma" w:eastAsia="宋体"/>
      <w:sz w:val="24"/>
    </w:rPr>
  </w:style>
  <w:style w:type="paragraph" w:customStyle="1" w:styleId="14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148">
    <w:name w:val="xl146"/>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49">
    <w:name w:val="xl96"/>
    <w:basedOn w:val="1"/>
    <w:autoRedefine/>
    <w:qFormat/>
    <w:uiPriority w:val="0"/>
    <w:pPr>
      <w:widowControl/>
      <w:spacing w:before="100" w:beforeAutospacing="1" w:after="100" w:afterAutospacing="1"/>
      <w:jc w:val="center"/>
    </w:pPr>
    <w:rPr>
      <w:rFonts w:eastAsia="宋体"/>
      <w:kern w:val="0"/>
      <w:sz w:val="24"/>
      <w:szCs w:val="24"/>
    </w:rPr>
  </w:style>
  <w:style w:type="paragraph" w:customStyle="1" w:styleId="150">
    <w:name w:val="xl99"/>
    <w:basedOn w:val="1"/>
    <w:autoRedefine/>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151">
    <w:name w:val="xl82"/>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152">
    <w:name w:val="xl153"/>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53">
    <w:name w:val="xl162"/>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5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5">
    <w:name w:val="xl49"/>
    <w:basedOn w:val="1"/>
    <w:autoRedefine/>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156">
    <w:name w:val="规范正文"/>
    <w:basedOn w:val="1"/>
    <w:autoRedefine/>
    <w:qFormat/>
    <w:uiPriority w:val="0"/>
    <w:pPr>
      <w:spacing w:beforeLines="50" w:afterLines="50" w:line="360" w:lineRule="auto"/>
      <w:ind w:left="425" w:firstLine="480" w:firstLineChars="200"/>
    </w:pPr>
    <w:rPr>
      <w:rFonts w:ascii="宋体" w:hAnsi="宋体" w:eastAsia="宋体" w:cs="宋体"/>
      <w:sz w:val="24"/>
      <w:szCs w:val="24"/>
    </w:rPr>
  </w:style>
  <w:style w:type="paragraph" w:customStyle="1" w:styleId="157">
    <w:name w:val="xl7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158">
    <w:name w:val="xl92"/>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159">
    <w:name w:val="脚注文本 字符"/>
    <w:link w:val="42"/>
    <w:autoRedefine/>
    <w:qFormat/>
    <w:uiPriority w:val="0"/>
    <w:rPr>
      <w:rFonts w:ascii="Times New Roman" w:hAnsi="Times New Roman"/>
      <w:kern w:val="2"/>
      <w:sz w:val="18"/>
    </w:rPr>
  </w:style>
  <w:style w:type="paragraph" w:customStyle="1" w:styleId="160">
    <w:name w:val="样式2"/>
    <w:basedOn w:val="1"/>
    <w:autoRedefine/>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1">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62">
    <w:name w:val="xl141"/>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63">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64">
    <w:name w:val="Char Char1 Char Char Char Char"/>
    <w:basedOn w:val="16"/>
    <w:autoRedefine/>
    <w:qFormat/>
    <w:uiPriority w:val="0"/>
    <w:pPr>
      <w:adjustRightInd w:val="0"/>
      <w:snapToGrid w:val="0"/>
      <w:spacing w:line="360" w:lineRule="auto"/>
    </w:pPr>
    <w:rPr>
      <w:rFonts w:ascii="Tahoma" w:hAnsi="Tahoma"/>
      <w:sz w:val="24"/>
      <w:szCs w:val="24"/>
    </w:rPr>
  </w:style>
  <w:style w:type="paragraph" w:customStyle="1" w:styleId="165">
    <w:name w:val="xl157"/>
    <w:basedOn w:val="1"/>
    <w:autoRedefine/>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character" w:customStyle="1" w:styleId="166">
    <w:name w:val="批注框文本 字符"/>
    <w:link w:val="33"/>
    <w:autoRedefine/>
    <w:qFormat/>
    <w:uiPriority w:val="0"/>
    <w:rPr>
      <w:rFonts w:ascii="Times New Roman" w:hAnsi="Times New Roman" w:eastAsia="宋体" w:cs="Times New Roman"/>
      <w:kern w:val="2"/>
      <w:sz w:val="18"/>
      <w:szCs w:val="18"/>
    </w:rPr>
  </w:style>
  <w:style w:type="paragraph" w:customStyle="1" w:styleId="16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8">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69">
    <w:name w:val="Char Char3"/>
    <w:basedOn w:val="1"/>
    <w:autoRedefine/>
    <w:qFormat/>
    <w:uiPriority w:val="0"/>
    <w:pPr>
      <w:spacing w:beforeLines="50" w:afterLines="50"/>
      <w:jc w:val="left"/>
    </w:pPr>
    <w:rPr>
      <w:rFonts w:eastAsia="宋体"/>
      <w:sz w:val="30"/>
      <w:szCs w:val="32"/>
    </w:rPr>
  </w:style>
  <w:style w:type="paragraph" w:customStyle="1" w:styleId="170">
    <w:name w:val="xl88"/>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171">
    <w:name w:val="xl1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7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3">
    <w:name w:val="正文首行缩进4"/>
    <w:basedOn w:val="1"/>
    <w:autoRedefine/>
    <w:qFormat/>
    <w:uiPriority w:val="0"/>
    <w:pPr>
      <w:spacing w:beforeLines="50" w:afterLines="50" w:line="360" w:lineRule="auto"/>
      <w:ind w:firstLine="480" w:firstLineChars="200"/>
    </w:pPr>
    <w:rPr>
      <w:rFonts w:ascii="Arial" w:hAnsi="Arial" w:eastAsia="宋体"/>
      <w:sz w:val="24"/>
      <w:szCs w:val="24"/>
    </w:rPr>
  </w:style>
  <w:style w:type="paragraph" w:customStyle="1" w:styleId="174">
    <w:name w:val="font8"/>
    <w:basedOn w:val="1"/>
    <w:autoRedefine/>
    <w:qFormat/>
    <w:uiPriority w:val="0"/>
    <w:pPr>
      <w:widowControl/>
      <w:spacing w:before="100" w:beforeAutospacing="1" w:after="100" w:afterAutospacing="1"/>
      <w:jc w:val="left"/>
    </w:pPr>
    <w:rPr>
      <w:rFonts w:eastAsia="宋体"/>
      <w:kern w:val="0"/>
      <w:sz w:val="22"/>
      <w:szCs w:val="22"/>
    </w:rPr>
  </w:style>
  <w:style w:type="paragraph" w:customStyle="1" w:styleId="175">
    <w:name w:val="Char Char Char Char Char Char"/>
    <w:basedOn w:val="1"/>
    <w:autoRedefine/>
    <w:qFormat/>
    <w:uiPriority w:val="0"/>
    <w:rPr>
      <w:rFonts w:ascii="Tahoma" w:hAnsi="Tahoma" w:eastAsia="宋体"/>
      <w:sz w:val="24"/>
    </w:rPr>
  </w:style>
  <w:style w:type="paragraph" w:customStyle="1" w:styleId="1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17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178">
    <w:name w:val="表格正文"/>
    <w:basedOn w:val="1"/>
    <w:autoRedefine/>
    <w:qFormat/>
    <w:uiPriority w:val="0"/>
    <w:pPr>
      <w:spacing w:before="100" w:beforeAutospacing="1" w:after="100" w:afterAutospacing="1" w:line="240" w:lineRule="atLeast"/>
    </w:pPr>
    <w:rPr>
      <w:sz w:val="24"/>
    </w:rPr>
  </w:style>
  <w:style w:type="paragraph" w:customStyle="1" w:styleId="179">
    <w:name w:val="xl74"/>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xl90"/>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2">
    <w:name w:val="Bullet"/>
    <w:basedOn w:val="1"/>
    <w:autoRedefine/>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83">
    <w:name w:val="_Style 57"/>
    <w:next w:val="1"/>
    <w:autoRedefine/>
    <w:qFormat/>
    <w:uiPriority w:val="0"/>
    <w:pPr>
      <w:widowControl w:val="0"/>
      <w:jc w:val="both"/>
    </w:pPr>
    <w:rPr>
      <w:rFonts w:ascii="Calibri" w:hAnsi="Calibri" w:eastAsia="楷体_GB2312" w:cs="Times New Roman"/>
      <w:kern w:val="2"/>
      <w:sz w:val="26"/>
      <w:lang w:val="en-US" w:eastAsia="zh-CN" w:bidi="ar-SA"/>
    </w:rPr>
  </w:style>
  <w:style w:type="paragraph" w:customStyle="1" w:styleId="184">
    <w:name w:val="p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xl6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6">
    <w:name w:val="xl53"/>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87">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8">
    <w:name w:val="xl8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89">
    <w:name w:val="xl7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90">
    <w:name w:val="xl7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character" w:customStyle="1" w:styleId="191">
    <w:name w:val="正文文本缩进 3 字符"/>
    <w:link w:val="44"/>
    <w:autoRedefine/>
    <w:qFormat/>
    <w:uiPriority w:val="0"/>
    <w:rPr>
      <w:rFonts w:ascii="Times New Roman" w:hAnsi="Times New Roman"/>
      <w:kern w:val="2"/>
      <w:sz w:val="24"/>
      <w:szCs w:val="24"/>
    </w:rPr>
  </w:style>
  <w:style w:type="paragraph" w:customStyle="1" w:styleId="192">
    <w:name w:val="Char Char Char Char Char Char Char"/>
    <w:basedOn w:val="1"/>
    <w:autoRedefine/>
    <w:qFormat/>
    <w:uiPriority w:val="0"/>
    <w:rPr>
      <w:rFonts w:eastAsia="宋体"/>
      <w:sz w:val="21"/>
      <w:szCs w:val="24"/>
    </w:rPr>
  </w:style>
  <w:style w:type="paragraph" w:customStyle="1" w:styleId="193">
    <w:name w:val="项符&gt;"/>
    <w:basedOn w:val="1"/>
    <w:autoRedefine/>
    <w:qFormat/>
    <w:uiPriority w:val="0"/>
    <w:pPr>
      <w:spacing w:line="360" w:lineRule="auto"/>
    </w:pPr>
    <w:rPr>
      <w:rFonts w:hint="eastAsia" w:ascii="宋体" w:hAnsi="宋体" w:eastAsia="宋体"/>
      <w:sz w:val="24"/>
      <w:szCs w:val="30"/>
    </w:rPr>
  </w:style>
  <w:style w:type="paragraph" w:customStyle="1" w:styleId="194">
    <w:name w:val="xl1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5">
    <w:name w:val="xl151"/>
    <w:basedOn w:val="1"/>
    <w:autoRedefine/>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6">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197">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98">
    <w:name w:val="默认段落字体 Para Char Char Char Char Char Char Char"/>
    <w:basedOn w:val="1"/>
    <w:autoRedefine/>
    <w:qFormat/>
    <w:uiPriority w:val="0"/>
    <w:rPr>
      <w:rFonts w:eastAsia="宋体"/>
      <w:sz w:val="21"/>
    </w:rPr>
  </w:style>
  <w:style w:type="paragraph" w:customStyle="1" w:styleId="19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0">
    <w:name w:val="p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01">
    <w:name w:val="List Paragraph"/>
    <w:basedOn w:val="1"/>
    <w:autoRedefine/>
    <w:qFormat/>
    <w:uiPriority w:val="0"/>
    <w:pPr>
      <w:ind w:firstLine="420" w:firstLineChars="200"/>
    </w:pPr>
    <w:rPr>
      <w:rFonts w:ascii="Times New Roman" w:hAnsi="Times New Roman" w:eastAsia="宋体"/>
      <w:sz w:val="21"/>
      <w:szCs w:val="24"/>
    </w:rPr>
  </w:style>
  <w:style w:type="paragraph" w:customStyle="1" w:styleId="202">
    <w:name w:val="xl11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03">
    <w:name w:val="表格标题"/>
    <w:basedOn w:val="178"/>
    <w:autoRedefine/>
    <w:qFormat/>
    <w:uiPriority w:val="0"/>
    <w:pPr>
      <w:jc w:val="center"/>
    </w:pPr>
    <w:rPr>
      <w:b/>
    </w:rPr>
  </w:style>
  <w:style w:type="paragraph" w:customStyle="1" w:styleId="204">
    <w:name w:val="xl11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05">
    <w:name w:val="xl89"/>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206">
    <w:name w:val="正文符号1"/>
    <w:basedOn w:val="1"/>
    <w:autoRedefine/>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07">
    <w:name w:val="xl50"/>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08">
    <w:name w:val="xl137"/>
    <w:basedOn w:val="1"/>
    <w:autoRedefine/>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11">
    <w:name w:val="flName"/>
    <w:basedOn w:val="1"/>
    <w:link w:val="212"/>
    <w:autoRedefine/>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character" w:customStyle="1" w:styleId="212">
    <w:name w:val="flName Char Char"/>
    <w:link w:val="211"/>
    <w:autoRedefine/>
    <w:qFormat/>
    <w:uiPriority w:val="0"/>
    <w:rPr>
      <w:rFonts w:ascii="Arial" w:eastAsia="黑体"/>
      <w:sz w:val="32"/>
    </w:rPr>
  </w:style>
  <w:style w:type="paragraph" w:customStyle="1" w:styleId="213">
    <w:name w:val="xl97"/>
    <w:basedOn w:val="1"/>
    <w:autoRedefine/>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214">
    <w:name w:val="Char2"/>
    <w:basedOn w:val="1"/>
    <w:autoRedefine/>
    <w:qFormat/>
    <w:uiPriority w:val="0"/>
    <w:rPr>
      <w:rFonts w:ascii="仿宋_GB2312" w:eastAsia="仿宋_GB2312"/>
      <w:b/>
      <w:sz w:val="32"/>
      <w:szCs w:val="32"/>
    </w:rPr>
  </w:style>
  <w:style w:type="paragraph" w:customStyle="1" w:styleId="215">
    <w:name w:val="font11"/>
    <w:basedOn w:val="1"/>
    <w:autoRedefine/>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216">
    <w:name w:val="xl156"/>
    <w:basedOn w:val="1"/>
    <w:autoRedefine/>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217">
    <w:name w:val="纯文本1"/>
    <w:basedOn w:val="1"/>
    <w:autoRedefine/>
    <w:qFormat/>
    <w:uiPriority w:val="0"/>
    <w:pPr>
      <w:adjustRightInd w:val="0"/>
      <w:textAlignment w:val="baseline"/>
    </w:pPr>
    <w:rPr>
      <w:rFonts w:ascii="宋体" w:hAnsi="Courier New" w:eastAsia="宋体"/>
      <w:sz w:val="28"/>
    </w:rPr>
  </w:style>
  <w:style w:type="paragraph" w:customStyle="1" w:styleId="218">
    <w:name w:val="xl47"/>
    <w:basedOn w:val="1"/>
    <w:autoRedefine/>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19">
    <w:name w:val="xl80"/>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20">
    <w:name w:val="content"/>
    <w:basedOn w:val="1"/>
    <w:autoRedefine/>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1">
    <w:name w:val="正文1"/>
    <w:next w:val="1"/>
    <w:autoRedefine/>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22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23">
    <w:name w:val="xl46"/>
    <w:basedOn w:val="1"/>
    <w:autoRedefine/>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24">
    <w:name w:val="Char Char Char Char Char Char Char Char Char Char Char Char Char"/>
    <w:basedOn w:val="16"/>
    <w:autoRedefine/>
    <w:qFormat/>
    <w:uiPriority w:val="0"/>
    <w:rPr>
      <w:rFonts w:ascii="Tahoma" w:hAnsi="Tahoma"/>
      <w:sz w:val="24"/>
      <w:szCs w:val="24"/>
    </w:rPr>
  </w:style>
  <w:style w:type="paragraph" w:customStyle="1" w:styleId="225">
    <w:name w:val="6"/>
    <w:basedOn w:val="1"/>
    <w:next w:val="21"/>
    <w:autoRedefine/>
    <w:qFormat/>
    <w:uiPriority w:val="0"/>
    <w:pPr>
      <w:spacing w:after="120"/>
    </w:pPr>
    <w:rPr>
      <w:rFonts w:eastAsia="宋体"/>
      <w:sz w:val="21"/>
      <w:szCs w:val="24"/>
    </w:rPr>
  </w:style>
  <w:style w:type="paragraph" w:customStyle="1" w:styleId="226">
    <w:name w:val="样式3"/>
    <w:basedOn w:val="2"/>
    <w:autoRedefine/>
    <w:qFormat/>
    <w:uiPriority w:val="0"/>
    <w:pPr>
      <w:keepLines w:val="0"/>
      <w:autoSpaceDE w:val="0"/>
      <w:autoSpaceDN w:val="0"/>
      <w:adjustRightInd w:val="0"/>
      <w:spacing w:before="0" w:after="0" w:line="360" w:lineRule="auto"/>
      <w:jc w:val="center"/>
      <w:textAlignment w:val="baseline"/>
    </w:pPr>
    <w:rPr>
      <w:rFonts w:eastAsia="宋体"/>
      <w:kern w:val="0"/>
      <w:sz w:val="24"/>
      <w:szCs w:val="24"/>
    </w:rPr>
  </w:style>
  <w:style w:type="paragraph" w:customStyle="1" w:styleId="227">
    <w:name w:val="纯文本2"/>
    <w:basedOn w:val="1"/>
    <w:autoRedefine/>
    <w:qFormat/>
    <w:uiPriority w:val="0"/>
    <w:pPr>
      <w:adjustRightInd w:val="0"/>
      <w:textAlignment w:val="baseline"/>
    </w:pPr>
    <w:rPr>
      <w:rFonts w:ascii="宋体" w:hAnsi="Courier New" w:eastAsia="宋体"/>
    </w:rPr>
  </w:style>
  <w:style w:type="paragraph" w:customStyle="1" w:styleId="228">
    <w:name w:val="xl152"/>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29">
    <w:name w:val="xl8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0">
    <w:name w:val="xl1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1">
    <w:name w:val="font9"/>
    <w:basedOn w:val="1"/>
    <w:autoRedefine/>
    <w:qFormat/>
    <w:uiPriority w:val="0"/>
    <w:pPr>
      <w:widowControl/>
      <w:spacing w:before="100" w:beforeAutospacing="1" w:after="100" w:afterAutospacing="1"/>
      <w:jc w:val="left"/>
    </w:pPr>
    <w:rPr>
      <w:rFonts w:eastAsia="宋体"/>
      <w:b/>
      <w:bCs/>
      <w:kern w:val="0"/>
      <w:sz w:val="20"/>
    </w:rPr>
  </w:style>
  <w:style w:type="paragraph" w:customStyle="1" w:styleId="232">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3">
    <w:name w:val="xl59"/>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34">
    <w:name w:val="xl11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5">
    <w:name w:val="font10"/>
    <w:basedOn w:val="1"/>
    <w:autoRedefine/>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36">
    <w:name w:val="Char Char Char Char Char Char Char1 Char"/>
    <w:basedOn w:val="1"/>
    <w:autoRedefine/>
    <w:qFormat/>
    <w:uiPriority w:val="0"/>
    <w:rPr>
      <w:rFonts w:ascii="Tahoma" w:hAnsi="Tahoma" w:eastAsia="宋体"/>
      <w:sz w:val="24"/>
    </w:rPr>
  </w:style>
  <w:style w:type="paragraph" w:customStyle="1" w:styleId="237">
    <w:name w:val="xl14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38">
    <w:name w:val="Char1"/>
    <w:basedOn w:val="1"/>
    <w:autoRedefine/>
    <w:qFormat/>
    <w:uiPriority w:val="0"/>
    <w:pPr>
      <w:widowControl/>
      <w:spacing w:after="160" w:line="240" w:lineRule="exact"/>
      <w:jc w:val="left"/>
    </w:pPr>
    <w:rPr>
      <w:rFonts w:ascii="Verdana" w:hAnsi="Verdana" w:eastAsia="宋体"/>
      <w:kern w:val="0"/>
      <w:sz w:val="21"/>
      <w:lang w:eastAsia="en-US"/>
    </w:rPr>
  </w:style>
  <w:style w:type="paragraph" w:customStyle="1" w:styleId="239">
    <w:name w:val="xl57"/>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0">
    <w:name w:val="Char Char Char Char Char Char1 Char"/>
    <w:basedOn w:val="1"/>
    <w:autoRedefine/>
    <w:qFormat/>
    <w:uiPriority w:val="0"/>
    <w:pPr>
      <w:widowControl/>
      <w:spacing w:after="160" w:line="240" w:lineRule="exact"/>
      <w:jc w:val="left"/>
    </w:pPr>
    <w:rPr>
      <w:rFonts w:eastAsia="宋体"/>
      <w:sz w:val="21"/>
    </w:rPr>
  </w:style>
  <w:style w:type="paragraph" w:customStyle="1" w:styleId="241">
    <w:name w:val="xl93"/>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42">
    <w:name w:val="xl161"/>
    <w:basedOn w:val="1"/>
    <w:autoRedefine/>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43">
    <w:name w:val="xl154"/>
    <w:basedOn w:val="1"/>
    <w:autoRedefine/>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44">
    <w:name w:val="xl86"/>
    <w:basedOn w:val="1"/>
    <w:autoRedefine/>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245">
    <w:name w:val="xl52"/>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46">
    <w:name w:val="正文首行缩进{858D7CFB-ED40-4347-BF05-701D383B685F}{858D7CFB-ED40-4347-BF05-701D383B685F}"/>
    <w:basedOn w:val="1"/>
    <w:autoRedefine/>
    <w:qFormat/>
    <w:uiPriority w:val="0"/>
    <w:pPr>
      <w:ind w:firstLine="420"/>
    </w:pPr>
    <w:rPr>
      <w:rFonts w:ascii="Times New Roman" w:hAnsi="Times New Roman" w:eastAsia="宋体"/>
      <w:sz w:val="21"/>
    </w:rPr>
  </w:style>
  <w:style w:type="paragraph" w:customStyle="1" w:styleId="247">
    <w:name w:val="普通 (Web)"/>
    <w:basedOn w:val="1"/>
    <w:autoRedefine/>
    <w:qFormat/>
    <w:uiPriority w:val="0"/>
    <w:pPr>
      <w:widowControl/>
      <w:spacing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48">
    <w:name w:val="xl1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49">
    <w:name w:val="xl143"/>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50">
    <w:name w:val="xl126"/>
    <w:basedOn w:val="1"/>
    <w:autoRedefine/>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5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2">
    <w:name w:val="xl13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53">
    <w:name w:val="xl51"/>
    <w:basedOn w:val="1"/>
    <w:autoRedefine/>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54">
    <w:name w:val="xl12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55">
    <w:name w:val="xl123"/>
    <w:basedOn w:val="1"/>
    <w:autoRedefine/>
    <w:qFormat/>
    <w:uiPriority w:val="0"/>
    <w:pPr>
      <w:widowControl/>
      <w:spacing w:before="100" w:beforeAutospacing="1" w:after="100" w:afterAutospacing="1"/>
      <w:jc w:val="center"/>
    </w:pPr>
    <w:rPr>
      <w:rFonts w:ascii="楷体_GB2312" w:hAnsi="宋体" w:cs="宋体"/>
      <w:b/>
      <w:bCs/>
      <w:kern w:val="0"/>
      <w:sz w:val="32"/>
      <w:szCs w:val="32"/>
    </w:rPr>
  </w:style>
  <w:style w:type="paragraph" w:customStyle="1" w:styleId="25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57">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8">
    <w:name w:val="Char Char Char"/>
    <w:basedOn w:val="1"/>
    <w:autoRedefine/>
    <w:qFormat/>
    <w:uiPriority w:val="0"/>
    <w:pPr>
      <w:adjustRightInd w:val="0"/>
      <w:spacing w:line="360" w:lineRule="auto"/>
    </w:pPr>
    <w:rPr>
      <w:rFonts w:eastAsia="宋体"/>
      <w:sz w:val="21"/>
      <w:szCs w:val="24"/>
    </w:rPr>
  </w:style>
  <w:style w:type="paragraph" w:customStyle="1" w:styleId="259">
    <w:name w:val="xl14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60">
    <w:name w:val="方案正文"/>
    <w:basedOn w:val="1"/>
    <w:autoRedefine/>
    <w:qFormat/>
    <w:uiPriority w:val="0"/>
    <w:pPr>
      <w:spacing w:line="360" w:lineRule="auto"/>
    </w:pPr>
    <w:rPr>
      <w:rFonts w:eastAsia="宋体"/>
      <w:sz w:val="24"/>
      <w:szCs w:val="24"/>
    </w:rPr>
  </w:style>
  <w:style w:type="paragraph" w:customStyle="1" w:styleId="261">
    <w:name w:val="表项"/>
    <w:next w:val="1"/>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2">
    <w:name w:val="xl11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64">
    <w:name w:val="xl98"/>
    <w:basedOn w:val="1"/>
    <w:autoRedefine/>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265">
    <w:name w:val="flType"/>
    <w:basedOn w:val="211"/>
    <w:autoRedefine/>
    <w:qFormat/>
    <w:uiPriority w:val="0"/>
    <w:pPr>
      <w:spacing w:before="560" w:after="120"/>
    </w:pPr>
    <w:rPr>
      <w:sz w:val="28"/>
    </w:rPr>
  </w:style>
  <w:style w:type="paragraph" w:customStyle="1" w:styleId="266">
    <w:name w:val="font1"/>
    <w:basedOn w:val="1"/>
    <w:autoRedefine/>
    <w:qFormat/>
    <w:uiPriority w:val="0"/>
    <w:pPr>
      <w:widowControl/>
      <w:spacing w:before="100" w:beforeAutospacing="1" w:after="100" w:afterAutospacing="1"/>
      <w:jc w:val="left"/>
    </w:pPr>
    <w:rPr>
      <w:rFonts w:ascii="宋体" w:hAnsi="宋体" w:eastAsia="宋体" w:cs="宋体"/>
      <w:outline/>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267">
    <w:name w:val="xl11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8">
    <w:name w:val="xl7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69">
    <w:name w:val="xl127"/>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0">
    <w:name w:val="xl135"/>
    <w:basedOn w:val="1"/>
    <w:autoRedefine/>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1">
    <w:name w:val="xl105"/>
    <w:basedOn w:val="1"/>
    <w:autoRedefine/>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272">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73">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74">
    <w:name w:val="xl163"/>
    <w:basedOn w:val="1"/>
    <w:autoRedefine/>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5">
    <w:name w:val="h"/>
    <w:basedOn w:val="1"/>
    <w:autoRedefine/>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276">
    <w:name w:val="样式 宋体 四号 行距: 固定值 25 磅1"/>
    <w:basedOn w:val="1"/>
    <w:autoRedefine/>
    <w:qFormat/>
    <w:uiPriority w:val="0"/>
    <w:pPr>
      <w:tabs>
        <w:tab w:val="left" w:pos="420"/>
      </w:tabs>
      <w:spacing w:line="500" w:lineRule="exact"/>
      <w:ind w:left="420" w:hanging="420"/>
    </w:pPr>
    <w:rPr>
      <w:rFonts w:ascii="宋体" w:hAnsi="宋体" w:eastAsia="宋体"/>
      <w:sz w:val="28"/>
    </w:rPr>
  </w:style>
  <w:style w:type="paragraph" w:customStyle="1" w:styleId="277">
    <w:name w:val="文档正文"/>
    <w:basedOn w:val="1"/>
    <w:autoRedefine/>
    <w:qFormat/>
    <w:uiPriority w:val="0"/>
    <w:pPr>
      <w:adjustRightInd w:val="0"/>
      <w:spacing w:line="440" w:lineRule="atLeast"/>
      <w:ind w:firstLine="567"/>
      <w:textAlignment w:val="baseline"/>
    </w:pPr>
    <w:rPr>
      <w:rFonts w:ascii="宋体" w:eastAsia="宋体"/>
      <w:spacing w:val="4"/>
      <w:kern w:val="0"/>
      <w:sz w:val="24"/>
    </w:rPr>
  </w:style>
  <w:style w:type="paragraph" w:customStyle="1" w:styleId="278">
    <w:name w:val="Char3 Char Char Char"/>
    <w:basedOn w:val="1"/>
    <w:autoRedefine/>
    <w:qFormat/>
    <w:uiPriority w:val="0"/>
    <w:pPr>
      <w:widowControl/>
      <w:spacing w:after="160" w:line="240" w:lineRule="exact"/>
      <w:jc w:val="left"/>
    </w:pPr>
    <w:rPr>
      <w:rFonts w:ascii="Verdana" w:hAnsi="Verdana" w:eastAsia="宋体"/>
      <w:kern w:val="0"/>
      <w:sz w:val="20"/>
      <w:lang w:eastAsia="en-US"/>
    </w:rPr>
  </w:style>
  <w:style w:type="paragraph" w:customStyle="1" w:styleId="279">
    <w:name w:val="xl68"/>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81">
    <w:name w:val="xl160"/>
    <w:basedOn w:val="1"/>
    <w:autoRedefine/>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82">
    <w:name w:val="xl148"/>
    <w:basedOn w:val="1"/>
    <w:autoRedefine/>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3">
    <w:name w:val="xl6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4">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85">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286">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88">
    <w:name w:val="xl136"/>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89">
    <w:name w:val="xl13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0">
    <w:name w:val="xl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291">
    <w:name w:val="xl1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93">
    <w:name w:val="小四 段落 宋体 Char Char"/>
    <w:basedOn w:val="14"/>
    <w:autoRedefine/>
    <w:qFormat/>
    <w:uiPriority w:val="0"/>
    <w:pPr>
      <w:spacing w:line="360" w:lineRule="auto"/>
      <w:ind w:left="0" w:right="-33" w:firstLine="480" w:firstLineChars="200"/>
      <w:jc w:val="left"/>
    </w:pPr>
    <w:rPr>
      <w:sz w:val="24"/>
    </w:rPr>
  </w:style>
  <w:style w:type="paragraph" w:customStyle="1" w:styleId="29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95">
    <w:name w:val="xl83"/>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296">
    <w:name w:val="font7"/>
    <w:basedOn w:val="1"/>
    <w:autoRedefine/>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7">
    <w:name w:val="样式 标题 2 + 图案: 清除 (自定义颜色(RGB(202189233)))"/>
    <w:basedOn w:val="3"/>
    <w:autoRedefine/>
    <w:qFormat/>
    <w:uiPriority w:val="0"/>
    <w:pPr>
      <w:shd w:val="clear" w:color="auto" w:fill="CABDE9"/>
      <w:tabs>
        <w:tab w:val="left" w:pos="840"/>
      </w:tabs>
      <w:overflowPunct/>
      <w:adjustRightInd/>
      <w:spacing w:before="100" w:beforeAutospacing="1" w:after="100" w:afterAutospacing="1" w:line="320" w:lineRule="exact"/>
      <w:ind w:left="1400" w:hanging="420"/>
      <w:jc w:val="both"/>
      <w:textAlignment w:val="auto"/>
    </w:pPr>
    <w:rPr>
      <w:rFonts w:ascii="Arial" w:hAnsi="Arial" w:eastAsia="黑体" w:cs="宋体"/>
      <w:bCs/>
      <w:sz w:val="28"/>
      <w:szCs w:val="28"/>
    </w:rPr>
  </w:style>
  <w:style w:type="paragraph" w:customStyle="1" w:styleId="298">
    <w:name w:val="xl1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299">
    <w:name w:val="xl54"/>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00">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01">
    <w:name w:val="xl129"/>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302">
    <w:name w:val="样式 正文首行缩进2字 + 仿宋_GB2312 段前: 自动 段后: 自动"/>
    <w:basedOn w:val="1"/>
    <w:autoRedefine/>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303">
    <w:name w:val="xl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04">
    <w:name w:val="xl134"/>
    <w:basedOn w:val="1"/>
    <w:autoRedefine/>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05">
    <w:name w:val="xl11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306">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07">
    <w:name w:val="xl12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08">
    <w:name w:val="默认段落字体 Para Char Char Char"/>
    <w:basedOn w:val="1"/>
    <w:autoRedefine/>
    <w:qFormat/>
    <w:uiPriority w:val="0"/>
    <w:pPr>
      <w:spacing w:line="360" w:lineRule="auto"/>
      <w:ind w:firstLine="200" w:firstLineChars="200"/>
    </w:pPr>
    <w:rPr>
      <w:rFonts w:eastAsia="宋体"/>
      <w:sz w:val="24"/>
      <w:szCs w:val="24"/>
    </w:rPr>
  </w:style>
  <w:style w:type="character" w:customStyle="1" w:styleId="309">
    <w:name w:val="bigfont1"/>
    <w:autoRedefine/>
    <w:qFormat/>
    <w:uiPriority w:val="0"/>
    <w:rPr>
      <w:rFonts w:hint="default"/>
      <w:color w:val="000000"/>
      <w:sz w:val="24"/>
      <w:szCs w:val="24"/>
      <w:u w:val="none"/>
    </w:rPr>
  </w:style>
  <w:style w:type="character" w:customStyle="1" w:styleId="310">
    <w:name w:val="页眉 Char Char"/>
    <w:autoRedefine/>
    <w:qFormat/>
    <w:uiPriority w:val="0"/>
    <w:rPr>
      <w:kern w:val="2"/>
      <w:sz w:val="18"/>
    </w:rPr>
  </w:style>
  <w:style w:type="character" w:customStyle="1" w:styleId="311">
    <w:name w:val="font21"/>
    <w:autoRedefine/>
    <w:qFormat/>
    <w:uiPriority w:val="0"/>
    <w:rPr>
      <w:rFonts w:hint="eastAsia" w:ascii="微软雅黑" w:hAnsi="微软雅黑" w:eastAsia="微软雅黑" w:cs="微软雅黑"/>
      <w:color w:val="000000"/>
      <w:sz w:val="20"/>
      <w:szCs w:val="20"/>
      <w:u w:val="none"/>
    </w:rPr>
  </w:style>
  <w:style w:type="character" w:customStyle="1" w:styleId="312">
    <w:name w:val="不明显强调1"/>
    <w:autoRedefine/>
    <w:qFormat/>
    <w:uiPriority w:val="19"/>
    <w:rPr>
      <w:rFonts w:ascii="Times New Roman" w:hAnsi="Times New Roman" w:eastAsia="宋体" w:cs="Times New Roman"/>
      <w:i/>
      <w:iCs/>
      <w:color w:val="7F7F7F"/>
    </w:rPr>
  </w:style>
  <w:style w:type="character" w:customStyle="1" w:styleId="313">
    <w:name w:val="明显强调1"/>
    <w:autoRedefine/>
    <w:qFormat/>
    <w:uiPriority w:val="0"/>
    <w:rPr>
      <w:b/>
      <w:bCs/>
      <w:i/>
      <w:iCs/>
      <w:color w:val="4F81BD"/>
    </w:rPr>
  </w:style>
  <w:style w:type="character" w:customStyle="1" w:styleId="314">
    <w:name w:val="标题 4 Char Char"/>
    <w:autoRedefine/>
    <w:qFormat/>
    <w:uiPriority w:val="0"/>
    <w:rPr>
      <w:rFonts w:ascii="Arial" w:hAnsi="Arial" w:eastAsia="黑体"/>
      <w:b/>
      <w:bCs/>
      <w:kern w:val="2"/>
      <w:sz w:val="28"/>
      <w:szCs w:val="28"/>
    </w:rPr>
  </w:style>
  <w:style w:type="character" w:customStyle="1" w:styleId="315">
    <w:name w:val="书籍标题1"/>
    <w:autoRedefine/>
    <w:qFormat/>
    <w:uiPriority w:val="0"/>
    <w:rPr>
      <w:b/>
      <w:bCs/>
      <w:smallCaps/>
      <w:spacing w:val="5"/>
    </w:rPr>
  </w:style>
  <w:style w:type="character" w:customStyle="1" w:styleId="316">
    <w:name w:val="页脚 Char Char"/>
    <w:autoRedefine/>
    <w:qFormat/>
    <w:uiPriority w:val="0"/>
    <w:rPr>
      <w:kern w:val="2"/>
      <w:sz w:val="18"/>
    </w:rPr>
  </w:style>
  <w:style w:type="character" w:customStyle="1" w:styleId="317">
    <w:name w:val="样式 Char Char"/>
    <w:link w:val="318"/>
    <w:autoRedefine/>
    <w:qFormat/>
    <w:uiPriority w:val="0"/>
    <w:rPr>
      <w:rFonts w:ascii="宋体" w:hAnsi="宋体" w:cs="宋体"/>
      <w:sz w:val="24"/>
      <w:szCs w:val="24"/>
      <w:lang w:val="en-US" w:eastAsia="zh-CN" w:bidi="ar-SA"/>
    </w:rPr>
  </w:style>
  <w:style w:type="paragraph" w:customStyle="1" w:styleId="318">
    <w:name w:val="样式"/>
    <w:link w:val="317"/>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9">
    <w:name w:val="标题 Char1"/>
    <w:autoRedefine/>
    <w:qFormat/>
    <w:uiPriority w:val="10"/>
    <w:rPr>
      <w:rFonts w:ascii="Cambria" w:hAnsi="Cambria" w:eastAsia="宋体" w:cs="Times New Roman"/>
      <w:b/>
      <w:bCs/>
      <w:sz w:val="32"/>
      <w:szCs w:val="32"/>
    </w:rPr>
  </w:style>
  <w:style w:type="character" w:customStyle="1" w:styleId="320">
    <w:name w:val="font161"/>
    <w:autoRedefine/>
    <w:qFormat/>
    <w:uiPriority w:val="0"/>
    <w:rPr>
      <w:b/>
      <w:bCs/>
      <w:sz w:val="32"/>
      <w:szCs w:val="32"/>
    </w:rPr>
  </w:style>
  <w:style w:type="character" w:customStyle="1" w:styleId="321">
    <w:name w:val="标题 3 Char Char"/>
    <w:autoRedefine/>
    <w:qFormat/>
    <w:uiPriority w:val="0"/>
    <w:rPr>
      <w:rFonts w:ascii="黑体" w:hAnsi="宋体" w:eastAsia="黑体"/>
      <w:bCs/>
      <w:kern w:val="2"/>
      <w:sz w:val="28"/>
      <w:szCs w:val="28"/>
    </w:rPr>
  </w:style>
  <w:style w:type="character" w:customStyle="1" w:styleId="322">
    <w:name w:val="不明显参考1"/>
    <w:autoRedefine/>
    <w:qFormat/>
    <w:uiPriority w:val="0"/>
    <w:rPr>
      <w:smallCaps/>
      <w:color w:val="C0504D"/>
      <w:u w:val="single"/>
    </w:rPr>
  </w:style>
  <w:style w:type="character" w:customStyle="1" w:styleId="323">
    <w:name w:val="副标题 Char"/>
    <w:autoRedefine/>
    <w:qFormat/>
    <w:uiPriority w:val="0"/>
    <w:rPr>
      <w:rFonts w:ascii="Cambria" w:hAnsi="Cambria"/>
      <w:b/>
      <w:bCs/>
      <w:kern w:val="28"/>
      <w:sz w:val="32"/>
      <w:szCs w:val="32"/>
    </w:rPr>
  </w:style>
  <w:style w:type="character" w:customStyle="1" w:styleId="324">
    <w:name w:val="Char Char7"/>
    <w:autoRedefine/>
    <w:qFormat/>
    <w:uiPriority w:val="0"/>
    <w:rPr>
      <w:rFonts w:ascii="Arial" w:hAnsi="Arial" w:eastAsia="黑体"/>
      <w:b/>
      <w:bCs/>
      <w:kern w:val="2"/>
      <w:sz w:val="32"/>
      <w:szCs w:val="32"/>
      <w:lang w:val="en-US" w:eastAsia="zh-CN" w:bidi="ar-SA"/>
    </w:rPr>
  </w:style>
  <w:style w:type="character" w:customStyle="1" w:styleId="325">
    <w:name w:val="无间隔 字符"/>
    <w:link w:val="326"/>
    <w:autoRedefine/>
    <w:qFormat/>
    <w:uiPriority w:val="0"/>
    <w:rPr>
      <w:szCs w:val="24"/>
      <w:lang w:val="en-US" w:eastAsia="zh-CN" w:bidi="ar-SA"/>
    </w:rPr>
  </w:style>
  <w:style w:type="paragraph" w:styleId="326">
    <w:name w:val="No Spacing"/>
    <w:link w:val="325"/>
    <w:autoRedefine/>
    <w:qFormat/>
    <w:uiPriority w:val="0"/>
    <w:pPr>
      <w:widowControl w:val="0"/>
      <w:jc w:val="both"/>
    </w:pPr>
    <w:rPr>
      <w:rFonts w:ascii="Calibri" w:hAnsi="Calibri" w:eastAsia="宋体" w:cs="Times New Roman"/>
      <w:szCs w:val="24"/>
      <w:lang w:val="en-US" w:eastAsia="zh-CN" w:bidi="ar-SA"/>
    </w:rPr>
  </w:style>
  <w:style w:type="character" w:customStyle="1" w:styleId="327">
    <w:name w:val="明显引用 Char1"/>
    <w:autoRedefine/>
    <w:qFormat/>
    <w:uiPriority w:val="30"/>
    <w:rPr>
      <w:rFonts w:ascii="Times New Roman" w:hAnsi="Times New Roman" w:eastAsia="宋体" w:cs="Times New Roman"/>
      <w:b/>
      <w:bCs/>
      <w:i/>
      <w:iCs/>
      <w:color w:val="4F81BD"/>
      <w:szCs w:val="24"/>
    </w:rPr>
  </w:style>
  <w:style w:type="character" w:customStyle="1" w:styleId="328">
    <w:name w:val="Char Char21"/>
    <w:autoRedefine/>
    <w:qFormat/>
    <w:uiPriority w:val="0"/>
    <w:rPr>
      <w:rFonts w:eastAsia="宋体"/>
      <w:kern w:val="2"/>
      <w:sz w:val="21"/>
      <w:szCs w:val="24"/>
      <w:lang w:val="en-US" w:eastAsia="zh-CN" w:bidi="ar-SA"/>
    </w:rPr>
  </w:style>
  <w:style w:type="character" w:customStyle="1" w:styleId="329">
    <w:name w:val="明显引用 Char"/>
    <w:autoRedefine/>
    <w:qFormat/>
    <w:uiPriority w:val="0"/>
    <w:rPr>
      <w:b/>
      <w:bCs/>
      <w:i/>
      <w:iCs/>
      <w:color w:val="4F81BD"/>
      <w:szCs w:val="24"/>
    </w:rPr>
  </w:style>
  <w:style w:type="paragraph" w:styleId="330">
    <w:name w:val="Intense Quote"/>
    <w:basedOn w:val="1"/>
    <w:next w:val="1"/>
    <w:link w:val="346"/>
    <w:autoRedefine/>
    <w:qFormat/>
    <w:uiPriority w:val="0"/>
    <w:pPr>
      <w:pBdr>
        <w:bottom w:val="single" w:color="4F81BD" w:sz="4" w:space="4"/>
      </w:pBdr>
      <w:spacing w:before="200" w:after="280"/>
      <w:ind w:left="936" w:right="936"/>
    </w:pPr>
    <w:rPr>
      <w:rFonts w:eastAsia="宋体"/>
      <w:b/>
      <w:bCs/>
      <w:i/>
      <w:iCs/>
      <w:color w:val="4F81BD"/>
      <w:kern w:val="0"/>
      <w:sz w:val="20"/>
      <w:szCs w:val="24"/>
    </w:rPr>
  </w:style>
  <w:style w:type="character" w:customStyle="1" w:styleId="331">
    <w:name w:val="Char Char8"/>
    <w:autoRedefine/>
    <w:qFormat/>
    <w:uiPriority w:val="0"/>
    <w:rPr>
      <w:rFonts w:ascii="Arial" w:hAnsi="Arial" w:eastAsia="黑体"/>
      <w:b/>
      <w:bCs/>
      <w:kern w:val="2"/>
      <w:sz w:val="32"/>
      <w:szCs w:val="32"/>
      <w:lang w:val="en-US" w:eastAsia="zh-CN" w:bidi="ar-SA"/>
    </w:rPr>
  </w:style>
  <w:style w:type="character" w:customStyle="1" w:styleId="332">
    <w:name w:val="批注文字 Char Char"/>
    <w:autoRedefine/>
    <w:qFormat/>
    <w:uiPriority w:val="0"/>
    <w:rPr>
      <w:rFonts w:eastAsia="宋体"/>
      <w:kern w:val="2"/>
      <w:sz w:val="21"/>
      <w:szCs w:val="24"/>
      <w:lang w:val="en-US" w:eastAsia="zh-CN" w:bidi="ar-SA"/>
    </w:rPr>
  </w:style>
  <w:style w:type="character" w:customStyle="1" w:styleId="333">
    <w:name w:val="明显参考1"/>
    <w:autoRedefine/>
    <w:qFormat/>
    <w:uiPriority w:val="0"/>
    <w:rPr>
      <w:b/>
      <w:bCs/>
      <w:smallCaps/>
      <w:color w:val="C0504D"/>
      <w:spacing w:val="5"/>
      <w:u w:val="single"/>
    </w:rPr>
  </w:style>
  <w:style w:type="character" w:customStyle="1" w:styleId="334">
    <w:name w:val="font31"/>
    <w:autoRedefine/>
    <w:qFormat/>
    <w:uiPriority w:val="0"/>
    <w:rPr>
      <w:rFonts w:hint="eastAsia" w:ascii="宋体" w:hAnsi="宋体" w:eastAsia="宋体" w:cs="宋体"/>
      <w:color w:val="000000"/>
      <w:sz w:val="20"/>
      <w:szCs w:val="20"/>
      <w:u w:val="none"/>
    </w:rPr>
  </w:style>
  <w:style w:type="character" w:customStyle="1" w:styleId="335">
    <w:name w:val="引用 Char"/>
    <w:autoRedefine/>
    <w:qFormat/>
    <w:uiPriority w:val="0"/>
    <w:rPr>
      <w:i/>
      <w:iCs/>
      <w:color w:val="000000"/>
      <w:szCs w:val="24"/>
    </w:rPr>
  </w:style>
  <w:style w:type="paragraph" w:styleId="336">
    <w:name w:val="Quote"/>
    <w:basedOn w:val="1"/>
    <w:next w:val="1"/>
    <w:link w:val="347"/>
    <w:autoRedefine/>
    <w:qFormat/>
    <w:uiPriority w:val="0"/>
    <w:rPr>
      <w:rFonts w:eastAsia="宋体"/>
      <w:i/>
      <w:iCs/>
      <w:color w:val="000000"/>
      <w:kern w:val="0"/>
      <w:sz w:val="20"/>
      <w:szCs w:val="24"/>
    </w:rPr>
  </w:style>
  <w:style w:type="character" w:customStyle="1" w:styleId="337">
    <w:name w:val="正文文本 3 Char"/>
    <w:autoRedefine/>
    <w:qFormat/>
    <w:uiPriority w:val="0"/>
    <w:rPr>
      <w:rFonts w:ascii="宋体"/>
      <w:sz w:val="24"/>
    </w:rPr>
  </w:style>
  <w:style w:type="character" w:customStyle="1" w:styleId="338">
    <w:name w:val="副标题 Char1"/>
    <w:autoRedefine/>
    <w:qFormat/>
    <w:uiPriority w:val="11"/>
    <w:rPr>
      <w:rFonts w:ascii="Cambria" w:hAnsi="Cambria" w:eastAsia="宋体" w:cs="Times New Roman"/>
      <w:b/>
      <w:bCs/>
      <w:kern w:val="28"/>
      <w:sz w:val="32"/>
      <w:szCs w:val="32"/>
    </w:rPr>
  </w:style>
  <w:style w:type="character" w:customStyle="1" w:styleId="339">
    <w:name w:val="引用 Char1"/>
    <w:autoRedefine/>
    <w:qFormat/>
    <w:uiPriority w:val="29"/>
    <w:rPr>
      <w:rFonts w:ascii="Times New Roman" w:hAnsi="Times New Roman" w:eastAsia="宋体" w:cs="Times New Roman"/>
      <w:i/>
      <w:iCs/>
      <w:color w:val="000000"/>
      <w:szCs w:val="24"/>
    </w:rPr>
  </w:style>
  <w:style w:type="character" w:customStyle="1" w:styleId="340">
    <w:name w:val="不明显强调2"/>
    <w:autoRedefine/>
    <w:qFormat/>
    <w:uiPriority w:val="19"/>
    <w:rPr>
      <w:i/>
      <w:iCs/>
      <w:color w:val="808080"/>
    </w:rPr>
  </w:style>
  <w:style w:type="paragraph" w:customStyle="1" w:styleId="341">
    <w:name w:val="注"/>
    <w:basedOn w:val="1"/>
    <w:autoRedefine/>
    <w:qFormat/>
    <w:uiPriority w:val="0"/>
    <w:pPr>
      <w:adjustRightInd w:val="0"/>
      <w:spacing w:line="360" w:lineRule="atLeast"/>
      <w:ind w:left="840" w:hanging="420"/>
      <w:textAlignment w:val="baseline"/>
    </w:pPr>
    <w:rPr>
      <w:rFonts w:ascii="Times New Roman" w:hAnsi="Times New Roman" w:eastAsia="宋体"/>
      <w:kern w:val="0"/>
      <w:sz w:val="21"/>
    </w:rPr>
  </w:style>
  <w:style w:type="character" w:customStyle="1" w:styleId="342">
    <w:name w:val="副标题 字符"/>
    <w:link w:val="40"/>
    <w:autoRedefine/>
    <w:qFormat/>
    <w:uiPriority w:val="11"/>
    <w:rPr>
      <w:rFonts w:ascii="Cambria" w:hAnsi="Cambria" w:eastAsia="宋体" w:cs="Times New Roman"/>
      <w:b/>
      <w:bCs/>
      <w:kern w:val="28"/>
      <w:sz w:val="32"/>
      <w:szCs w:val="32"/>
    </w:rPr>
  </w:style>
  <w:style w:type="character" w:customStyle="1" w:styleId="343">
    <w:name w:val="正文文本 3 字符"/>
    <w:link w:val="20"/>
    <w:autoRedefine/>
    <w:semiHidden/>
    <w:qFormat/>
    <w:uiPriority w:val="99"/>
    <w:rPr>
      <w:rFonts w:ascii="Times New Roman" w:hAnsi="Times New Roman" w:eastAsia="楷体_GB2312" w:cs="Times New Roman"/>
      <w:kern w:val="2"/>
      <w:sz w:val="16"/>
      <w:szCs w:val="16"/>
    </w:rPr>
  </w:style>
  <w:style w:type="paragraph" w:customStyle="1" w:styleId="344">
    <w:name w:val="样式 标题 2 + 黑色 行距: 1.5 倍行距"/>
    <w:basedOn w:val="3"/>
    <w:autoRedefine/>
    <w:qFormat/>
    <w:uiPriority w:val="0"/>
    <w:pPr>
      <w:overflowPunct/>
      <w:adjustRightInd/>
      <w:spacing w:before="260" w:after="260" w:line="360" w:lineRule="auto"/>
      <w:jc w:val="both"/>
      <w:textAlignment w:val="auto"/>
    </w:pPr>
    <w:rPr>
      <w:rFonts w:ascii="Arial" w:hAnsi="Arial" w:eastAsia="宋体" w:cs="宋体"/>
      <w:bCs/>
      <w:color w:val="000000"/>
      <w:sz w:val="32"/>
    </w:rPr>
  </w:style>
  <w:style w:type="paragraph" w:customStyle="1" w:styleId="345">
    <w:name w:val="纯文本21"/>
    <w:basedOn w:val="1"/>
    <w:autoRedefine/>
    <w:qFormat/>
    <w:uiPriority w:val="0"/>
    <w:pPr>
      <w:adjustRightInd w:val="0"/>
    </w:pPr>
    <w:rPr>
      <w:rFonts w:ascii="宋体" w:hAnsi="Courier New"/>
      <w:szCs w:val="24"/>
    </w:rPr>
  </w:style>
  <w:style w:type="character" w:customStyle="1" w:styleId="346">
    <w:name w:val="明显引用 字符"/>
    <w:link w:val="330"/>
    <w:autoRedefine/>
    <w:qFormat/>
    <w:uiPriority w:val="30"/>
    <w:rPr>
      <w:rFonts w:ascii="Times New Roman" w:hAnsi="Times New Roman" w:eastAsia="楷体_GB2312" w:cs="Times New Roman"/>
      <w:b/>
      <w:bCs/>
      <w:i/>
      <w:iCs/>
      <w:color w:val="4F81BD"/>
      <w:kern w:val="2"/>
      <w:sz w:val="26"/>
    </w:rPr>
  </w:style>
  <w:style w:type="character" w:customStyle="1" w:styleId="347">
    <w:name w:val="引用 字符"/>
    <w:link w:val="336"/>
    <w:autoRedefine/>
    <w:qFormat/>
    <w:uiPriority w:val="29"/>
    <w:rPr>
      <w:rFonts w:ascii="Times New Roman" w:hAnsi="Times New Roman" w:eastAsia="楷体_GB2312" w:cs="Times New Roman"/>
      <w:i/>
      <w:iCs/>
      <w:color w:val="000000"/>
      <w:kern w:val="2"/>
      <w:sz w:val="26"/>
    </w:rPr>
  </w:style>
  <w:style w:type="paragraph" w:customStyle="1" w:styleId="3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9">
    <w:name w:val="标题 Char2"/>
    <w:autoRedefine/>
    <w:qFormat/>
    <w:uiPriority w:val="10"/>
    <w:rPr>
      <w:rFonts w:ascii="Cambria" w:hAnsi="Cambria" w:eastAsia="宋体" w:cs="Times New Roman"/>
      <w:b/>
      <w:bCs/>
      <w:sz w:val="32"/>
      <w:szCs w:val="32"/>
    </w:rPr>
  </w:style>
  <w:style w:type="paragraph" w:customStyle="1" w:styleId="350">
    <w:name w:val="默认段落字体 Para Char Char Char Char Char Char Char Char Char1 Char Char Char Char Char Char Char"/>
    <w:basedOn w:val="201"/>
    <w:autoRedefine/>
    <w:qFormat/>
    <w:uiPriority w:val="0"/>
    <w:pPr>
      <w:widowControl/>
      <w:spacing w:line="270" w:lineRule="exact"/>
      <w:ind w:firstLine="0" w:firstLineChars="0"/>
      <w:jc w:val="center"/>
    </w:pPr>
  </w:style>
  <w:style w:type="paragraph" w:customStyle="1" w:styleId="351">
    <w:name w:val="正文文字3"/>
    <w:basedOn w:val="1"/>
    <w:autoRedefine/>
    <w:qFormat/>
    <w:uiPriority w:val="0"/>
    <w:pPr>
      <w:adjustRightInd w:val="0"/>
      <w:spacing w:line="360" w:lineRule="atLeast"/>
      <w:ind w:left="72" w:leftChars="30" w:right="72" w:rightChars="30"/>
      <w:textAlignment w:val="baseline"/>
    </w:pPr>
    <w:rPr>
      <w:rFonts w:eastAsia="宋体"/>
      <w:kern w:val="0"/>
      <w:sz w:val="21"/>
      <w:szCs w:val="24"/>
    </w:rPr>
  </w:style>
  <w:style w:type="character" w:customStyle="1" w:styleId="352">
    <w:name w:val="layui-this"/>
    <w:basedOn w:val="59"/>
    <w:autoRedefine/>
    <w:qFormat/>
    <w:uiPriority w:val="0"/>
    <w:rPr>
      <w:bdr w:val="single" w:color="EEEEEE" w:sz="4" w:space="0"/>
      <w:shd w:val="clear" w:color="auto" w:fill="FFFFFF"/>
    </w:rPr>
  </w:style>
  <w:style w:type="character" w:customStyle="1" w:styleId="353">
    <w:name w:val="first-child"/>
    <w:basedOn w:val="59"/>
    <w:autoRedefine/>
    <w:qFormat/>
    <w:uiPriority w:val="0"/>
  </w:style>
  <w:style w:type="character" w:customStyle="1" w:styleId="354">
    <w:name w:val="hover2"/>
    <w:basedOn w:val="59"/>
    <w:autoRedefine/>
    <w:qFormat/>
    <w:uiPriority w:val="0"/>
    <w:rPr>
      <w:color w:val="5FB878"/>
    </w:rPr>
  </w:style>
  <w:style w:type="character" w:customStyle="1" w:styleId="355">
    <w:name w:val="hover3"/>
    <w:basedOn w:val="59"/>
    <w:autoRedefine/>
    <w:qFormat/>
    <w:uiPriority w:val="0"/>
    <w:rPr>
      <w:color w:val="5FB878"/>
    </w:rPr>
  </w:style>
  <w:style w:type="character" w:customStyle="1" w:styleId="356">
    <w:name w:val="hover4"/>
    <w:basedOn w:val="59"/>
    <w:autoRedefine/>
    <w:qFormat/>
    <w:uiPriority w:val="0"/>
    <w:rPr>
      <w:color w:val="FFFFFF"/>
    </w:rPr>
  </w:style>
  <w:style w:type="paragraph" w:customStyle="1" w:styleId="357">
    <w:name w:val="标题 11"/>
    <w:basedOn w:val="1"/>
    <w:autoRedefine/>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358">
    <w:name w:val="hover"/>
    <w:basedOn w:val="59"/>
    <w:autoRedefine/>
    <w:qFormat/>
    <w:uiPriority w:val="0"/>
    <w:rPr>
      <w:color w:val="5FB878"/>
    </w:rPr>
  </w:style>
  <w:style w:type="character" w:customStyle="1" w:styleId="359">
    <w:name w:val="hover1"/>
    <w:basedOn w:val="59"/>
    <w:autoRedefine/>
    <w:qFormat/>
    <w:uiPriority w:val="0"/>
    <w:rPr>
      <w:color w:val="5FB878"/>
    </w:rPr>
  </w:style>
  <w:style w:type="character" w:customStyle="1" w:styleId="360">
    <w:name w:val="layui-this2"/>
    <w:basedOn w:val="59"/>
    <w:autoRedefine/>
    <w:qFormat/>
    <w:uiPriority w:val="0"/>
    <w:rPr>
      <w:bdr w:val="single" w:color="EEEEEE" w:sz="6" w:space="0"/>
      <w:shd w:val="clear" w:color="auto" w:fill="FFFFFF"/>
    </w:rPr>
  </w:style>
  <w:style w:type="paragraph" w:customStyle="1" w:styleId="361">
    <w:name w:val="Table Paragraph"/>
    <w:basedOn w:val="1"/>
    <w:autoRedefine/>
    <w:qFormat/>
    <w:uiPriority w:val="1"/>
    <w:pPr>
      <w:ind w:left="108"/>
    </w:pPr>
    <w:rPr>
      <w:rFonts w:ascii="宋体" w:hAnsi="宋体" w:eastAsia="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zls\Desktop\2019&#22312;&#32447;&#27700;&#36136;&#20202;&#22120;&#36816;&#32500;&#39033;&#30446;\&#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E660C-B07E-4AEA-9DE7-02F4E7397BEB}">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32</Pages>
  <Words>19026</Words>
  <Characters>19435</Characters>
  <Lines>161</Lines>
  <Paragraphs>45</Paragraphs>
  <TotalTime>3</TotalTime>
  <ScaleCrop>false</ScaleCrop>
  <LinksUpToDate>false</LinksUpToDate>
  <CharactersWithSpaces>20011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2021-08-05T08:25:00Z</dcterms:created>
  <dc:creator>国衡南通</dc:creator>
  <cp:lastModifiedBy>user01</cp:lastModifiedBy>
  <cp:lastPrinted>2024-05-07T04:57:00Z</cp:lastPrinted>
  <dcterms:modified xsi:type="dcterms:W3CDTF">2024-07-01T07:39:06Z</dcterms:modified>
  <dc:title>崇川区政府采购</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BAF8474120A8452E89818A0D21BFDAFE_13</vt:lpwstr>
  </property>
</Properties>
</file>