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8"/>
        <w:overflowPunct w:val="0"/>
        <w:adjustRightInd/>
        <w:textAlignment w:val="auto"/>
        <w:rPr>
          <w:rFonts w:asciiTheme="minorEastAsia" w:hAnsiTheme="minorEastAsia" w:eastAsiaTheme="minorEastAsia"/>
        </w:rPr>
      </w:pPr>
    </w:p>
    <w:p>
      <w:pPr>
        <w:overflowPunct w:val="0"/>
        <w:rPr>
          <w:rFonts w:asciiTheme="minorEastAsia" w:hAnsiTheme="minorEastAsia" w:eastAsiaTheme="minorEastAsia"/>
        </w:rPr>
      </w:pPr>
    </w:p>
    <w:p>
      <w:pPr>
        <w:widowControl/>
        <w:jc w:val="center"/>
        <w:rPr>
          <w:rFonts w:asciiTheme="minorEastAsia" w:hAnsiTheme="minorEastAsia" w:eastAsiaTheme="minorEastAsia"/>
          <w:w w:val="80"/>
          <w:sz w:val="44"/>
          <w:szCs w:val="44"/>
        </w:rPr>
      </w:pPr>
    </w:p>
    <w:p>
      <w:pPr>
        <w:widowControl/>
        <w:jc w:val="center"/>
        <w:rPr>
          <w:rFonts w:asciiTheme="minorEastAsia" w:hAnsiTheme="minorEastAsia" w:eastAsiaTheme="minorEastAsia"/>
          <w:w w:val="80"/>
          <w:sz w:val="40"/>
          <w:szCs w:val="40"/>
        </w:rPr>
      </w:pPr>
      <w:r>
        <w:rPr>
          <w:rFonts w:hint="eastAsia" w:asciiTheme="minorEastAsia" w:hAnsiTheme="minorEastAsia" w:eastAsiaTheme="minorEastAsia"/>
          <w:w w:val="80"/>
          <w:sz w:val="40"/>
          <w:szCs w:val="40"/>
          <w:lang w:eastAsia="zh-CN"/>
        </w:rPr>
        <w:t>南通市保安服务有限公司</w:t>
      </w:r>
      <w:r>
        <w:rPr>
          <w:rFonts w:hint="eastAsia" w:asciiTheme="minorEastAsia" w:hAnsiTheme="minorEastAsia" w:eastAsiaTheme="minorEastAsia"/>
          <w:w w:val="80"/>
          <w:sz w:val="40"/>
          <w:szCs w:val="40"/>
        </w:rPr>
        <w:t>车辆定点维修、保养、年检等服务采购项目</w:t>
      </w:r>
    </w:p>
    <w:p>
      <w:pPr>
        <w:widowControl/>
        <w:jc w:val="center"/>
        <w:rPr>
          <w:rFonts w:asciiTheme="minorEastAsia" w:hAnsiTheme="minorEastAsia" w:eastAsiaTheme="minorEastAsia"/>
          <w:w w:val="80"/>
          <w:sz w:val="44"/>
          <w:szCs w:val="44"/>
        </w:rPr>
      </w:pPr>
    </w:p>
    <w:p>
      <w:pPr>
        <w:widowControl/>
        <w:jc w:val="center"/>
        <w:rPr>
          <w:rFonts w:asciiTheme="minorEastAsia" w:hAnsiTheme="minorEastAsia" w:eastAsiaTheme="minorEastAsia"/>
        </w:rPr>
      </w:pPr>
    </w:p>
    <w:p>
      <w:pPr>
        <w:tabs>
          <w:tab w:val="left" w:pos="6300"/>
        </w:tabs>
        <w:snapToGrid w:val="0"/>
        <w:spacing w:line="300" w:lineRule="auto"/>
        <w:jc w:val="center"/>
        <w:rPr>
          <w:rFonts w:asciiTheme="minorEastAsia" w:hAnsiTheme="minorEastAsia" w:eastAsiaTheme="minorEastAsia"/>
          <w:w w:val="80"/>
          <w:sz w:val="84"/>
        </w:rPr>
      </w:pPr>
    </w:p>
    <w:p>
      <w:pPr>
        <w:tabs>
          <w:tab w:val="left" w:pos="1050"/>
          <w:tab w:val="right" w:leader="dot" w:pos="9402"/>
        </w:tabs>
        <w:spacing w:line="1600" w:lineRule="exact"/>
        <w:jc w:val="center"/>
        <w:rPr>
          <w:rFonts w:asciiTheme="minorEastAsia" w:hAnsiTheme="minorEastAsia" w:eastAsiaTheme="minorEastAsia"/>
          <w:b/>
          <w:sz w:val="44"/>
          <w:szCs w:val="44"/>
        </w:rPr>
      </w:pPr>
      <w:r>
        <w:rPr>
          <w:rFonts w:hint="eastAsia" w:asciiTheme="minorEastAsia" w:hAnsiTheme="minorEastAsia" w:eastAsiaTheme="minorEastAsia"/>
          <w:b/>
          <w:w w:val="80"/>
          <w:sz w:val="72"/>
          <w:szCs w:val="72"/>
        </w:rPr>
        <w:t>公开招标文件</w:t>
      </w:r>
    </w:p>
    <w:p>
      <w:pPr>
        <w:tabs>
          <w:tab w:val="left" w:pos="1050"/>
          <w:tab w:val="right" w:leader="dot" w:pos="9402"/>
        </w:tabs>
        <w:spacing w:line="520" w:lineRule="exact"/>
        <w:jc w:val="center"/>
        <w:rPr>
          <w:rFonts w:asciiTheme="minorEastAsia" w:hAnsiTheme="minorEastAsia" w:eastAsiaTheme="minorEastAsia"/>
          <w:w w:val="80"/>
          <w:sz w:val="32"/>
          <w:szCs w:val="32"/>
        </w:rPr>
      </w:pPr>
      <w:r>
        <w:rPr>
          <w:rFonts w:hint="eastAsia" w:asciiTheme="minorEastAsia" w:hAnsiTheme="minorEastAsia" w:eastAsiaTheme="minorEastAsia"/>
          <w:w w:val="80"/>
          <w:sz w:val="32"/>
          <w:szCs w:val="32"/>
        </w:rPr>
        <w:t>（资格后审）</w:t>
      </w:r>
    </w:p>
    <w:p>
      <w:pPr>
        <w:snapToGrid w:val="0"/>
        <w:spacing w:line="520" w:lineRule="exact"/>
        <w:jc w:val="center"/>
        <w:rPr>
          <w:rFonts w:hint="default" w:asciiTheme="minorEastAsia" w:hAnsiTheme="minorEastAsia" w:eastAsiaTheme="minorEastAsia"/>
          <w:b/>
          <w:sz w:val="22"/>
          <w:szCs w:val="22"/>
          <w:lang w:val="en-US" w:eastAsia="zh-CN"/>
        </w:rPr>
      </w:pPr>
      <w:r>
        <w:rPr>
          <w:rFonts w:hint="eastAsia" w:asciiTheme="minorEastAsia" w:hAnsiTheme="minorEastAsia" w:eastAsiaTheme="minorEastAsia"/>
          <w:b/>
          <w:sz w:val="22"/>
          <w:szCs w:val="22"/>
          <w:lang w:val="en-US" w:eastAsia="zh-CN"/>
        </w:rPr>
        <w:t>项目编号：NTGC2024020201(ZB037)</w:t>
      </w:r>
    </w:p>
    <w:p>
      <w:pPr>
        <w:snapToGrid w:val="0"/>
        <w:spacing w:line="520" w:lineRule="exact"/>
        <w:jc w:val="center"/>
        <w:rPr>
          <w:rFonts w:hint="eastAsia" w:asciiTheme="minorEastAsia" w:hAnsiTheme="minorEastAsia" w:eastAsiaTheme="minorEastAsia"/>
          <w:b/>
          <w:sz w:val="28"/>
          <w:szCs w:val="28"/>
          <w:lang w:eastAsia="zh-CN"/>
        </w:rPr>
      </w:pPr>
      <w:r>
        <w:rPr>
          <w:rFonts w:hint="eastAsia" w:asciiTheme="minorEastAsia" w:hAnsiTheme="minorEastAsia" w:eastAsiaTheme="minorEastAsia"/>
          <w:b/>
          <w:sz w:val="28"/>
          <w:szCs w:val="28"/>
          <w:lang w:eastAsia="zh-CN"/>
        </w:rPr>
        <w:t>（</w:t>
      </w:r>
      <w:r>
        <w:rPr>
          <w:rFonts w:hint="eastAsia" w:asciiTheme="minorEastAsia" w:hAnsiTheme="minorEastAsia" w:eastAsiaTheme="minorEastAsia"/>
          <w:b/>
          <w:sz w:val="28"/>
          <w:szCs w:val="28"/>
          <w:lang w:val="en-US" w:eastAsia="zh-CN"/>
        </w:rPr>
        <w:t>三次</w:t>
      </w:r>
      <w:r>
        <w:rPr>
          <w:rFonts w:hint="eastAsia" w:asciiTheme="minorEastAsia" w:hAnsiTheme="minorEastAsia" w:eastAsiaTheme="minorEastAsia"/>
          <w:b/>
          <w:sz w:val="28"/>
          <w:szCs w:val="28"/>
          <w:lang w:eastAsia="zh-CN"/>
        </w:rPr>
        <w:t>）</w:t>
      </w:r>
    </w:p>
    <w:p>
      <w:pPr>
        <w:widowControl/>
        <w:spacing w:line="520" w:lineRule="exact"/>
        <w:jc w:val="left"/>
        <w:rPr>
          <w:rFonts w:asciiTheme="minorEastAsia" w:hAnsiTheme="minorEastAsia" w:eastAsiaTheme="minorEastAsia"/>
          <w:b/>
          <w:sz w:val="28"/>
          <w:szCs w:val="28"/>
        </w:rPr>
      </w:pPr>
    </w:p>
    <w:p>
      <w:pPr>
        <w:pStyle w:val="21"/>
        <w:rPr>
          <w:rFonts w:asciiTheme="minorEastAsia" w:hAnsiTheme="minorEastAsia" w:eastAsiaTheme="minorEastAsia"/>
        </w:rPr>
      </w:pPr>
    </w:p>
    <w:p>
      <w:pPr>
        <w:pStyle w:val="21"/>
        <w:rPr>
          <w:rFonts w:asciiTheme="minorEastAsia" w:hAnsiTheme="minorEastAsia" w:eastAsiaTheme="minorEastAsia"/>
        </w:rPr>
      </w:pPr>
    </w:p>
    <w:p>
      <w:pPr>
        <w:pStyle w:val="21"/>
        <w:rPr>
          <w:rFonts w:asciiTheme="minorEastAsia" w:hAnsiTheme="minorEastAsia" w:eastAsiaTheme="minorEastAsia"/>
        </w:rPr>
      </w:pPr>
    </w:p>
    <w:p>
      <w:pPr>
        <w:widowControl/>
        <w:spacing w:line="520" w:lineRule="exact"/>
        <w:jc w:val="left"/>
        <w:rPr>
          <w:rFonts w:asciiTheme="minorEastAsia" w:hAnsiTheme="minorEastAsia" w:eastAsiaTheme="minorEastAsia"/>
          <w:sz w:val="28"/>
          <w:szCs w:val="28"/>
        </w:rPr>
      </w:pPr>
    </w:p>
    <w:p>
      <w:pPr>
        <w:pStyle w:val="21"/>
        <w:rPr>
          <w:rFonts w:asciiTheme="minorEastAsia" w:hAnsiTheme="minorEastAsia" w:eastAsiaTheme="minorEastAsia"/>
          <w:szCs w:val="28"/>
        </w:rPr>
      </w:pPr>
    </w:p>
    <w:p>
      <w:pPr>
        <w:pStyle w:val="21"/>
        <w:rPr>
          <w:rFonts w:asciiTheme="minorEastAsia" w:hAnsiTheme="minorEastAsia" w:eastAsiaTheme="minorEastAsia"/>
          <w:szCs w:val="28"/>
        </w:rPr>
      </w:pPr>
    </w:p>
    <w:p>
      <w:pPr>
        <w:pStyle w:val="21"/>
        <w:rPr>
          <w:rFonts w:asciiTheme="minorEastAsia" w:hAnsiTheme="minorEastAsia" w:eastAsiaTheme="minorEastAsia"/>
          <w:szCs w:val="28"/>
        </w:rPr>
      </w:pPr>
    </w:p>
    <w:p>
      <w:pPr>
        <w:widowControl/>
        <w:spacing w:line="520" w:lineRule="exact"/>
        <w:jc w:val="left"/>
        <w:rPr>
          <w:rFonts w:asciiTheme="minorEastAsia" w:hAnsiTheme="minorEastAsia" w:eastAsiaTheme="minorEastAsia"/>
          <w:sz w:val="28"/>
          <w:szCs w:val="28"/>
        </w:rPr>
      </w:pPr>
    </w:p>
    <w:p>
      <w:pPr>
        <w:widowControl/>
        <w:spacing w:line="520" w:lineRule="exact"/>
        <w:jc w:val="center"/>
        <w:rPr>
          <w:rFonts w:hint="eastAsia" w:asciiTheme="minorEastAsia" w:hAnsiTheme="minorEastAsia" w:eastAsiaTheme="minorEastAsia"/>
          <w:w w:val="80"/>
          <w:sz w:val="28"/>
          <w:szCs w:val="28"/>
          <w:lang w:eastAsia="zh-CN"/>
        </w:rPr>
      </w:pPr>
      <w:r>
        <w:rPr>
          <w:rFonts w:hint="eastAsia" w:asciiTheme="minorEastAsia" w:hAnsiTheme="minorEastAsia" w:eastAsiaTheme="minorEastAsia"/>
          <w:w w:val="80"/>
          <w:sz w:val="28"/>
          <w:szCs w:val="28"/>
        </w:rPr>
        <w:t>招标人：</w:t>
      </w:r>
      <w:r>
        <w:rPr>
          <w:rFonts w:hint="eastAsia" w:asciiTheme="minorEastAsia" w:hAnsiTheme="minorEastAsia" w:eastAsiaTheme="minorEastAsia"/>
          <w:w w:val="80"/>
          <w:sz w:val="28"/>
          <w:szCs w:val="28"/>
          <w:lang w:eastAsia="zh-CN"/>
        </w:rPr>
        <w:t>南通市保安服务有限公司</w:t>
      </w:r>
    </w:p>
    <w:p>
      <w:pPr>
        <w:tabs>
          <w:tab w:val="left" w:pos="1050"/>
          <w:tab w:val="right" w:leader="dot" w:pos="9402"/>
        </w:tabs>
        <w:spacing w:line="520" w:lineRule="exact"/>
        <w:jc w:val="center"/>
        <w:rPr>
          <w:rFonts w:asciiTheme="minorEastAsia" w:hAnsiTheme="minorEastAsia" w:eastAsiaTheme="minorEastAsia"/>
          <w:w w:val="80"/>
          <w:sz w:val="28"/>
          <w:szCs w:val="28"/>
        </w:rPr>
      </w:pPr>
      <w:r>
        <w:rPr>
          <w:rFonts w:hint="eastAsia" w:asciiTheme="minorEastAsia" w:hAnsiTheme="minorEastAsia" w:eastAsiaTheme="minorEastAsia"/>
          <w:w w:val="80"/>
          <w:sz w:val="28"/>
          <w:szCs w:val="28"/>
        </w:rPr>
        <w:t>招标代理机构：中诚智信工程咨询集团股份有限公司</w:t>
      </w:r>
    </w:p>
    <w:p>
      <w:pPr>
        <w:tabs>
          <w:tab w:val="left" w:pos="1050"/>
          <w:tab w:val="right" w:leader="dot" w:pos="9402"/>
        </w:tabs>
        <w:spacing w:line="520" w:lineRule="exact"/>
        <w:jc w:val="center"/>
        <w:rPr>
          <w:rFonts w:asciiTheme="minorEastAsia" w:hAnsiTheme="minorEastAsia" w:eastAsiaTheme="minorEastAsia"/>
          <w:w w:val="80"/>
          <w:sz w:val="28"/>
          <w:szCs w:val="28"/>
        </w:rPr>
      </w:pPr>
      <w:r>
        <w:rPr>
          <w:rFonts w:hint="eastAsia" w:asciiTheme="minorEastAsia" w:hAnsiTheme="minorEastAsia" w:eastAsiaTheme="minorEastAsia"/>
          <w:w w:val="80"/>
          <w:sz w:val="28"/>
          <w:szCs w:val="28"/>
        </w:rPr>
        <w:t>二○二</w:t>
      </w:r>
      <w:r>
        <w:rPr>
          <w:rFonts w:hint="eastAsia" w:asciiTheme="minorEastAsia" w:hAnsiTheme="minorEastAsia" w:eastAsiaTheme="minorEastAsia"/>
          <w:w w:val="80"/>
          <w:sz w:val="28"/>
          <w:szCs w:val="28"/>
          <w:lang w:val="en-US" w:eastAsia="zh-CN"/>
        </w:rPr>
        <w:t>四</w:t>
      </w:r>
      <w:r>
        <w:rPr>
          <w:rFonts w:hint="eastAsia" w:asciiTheme="minorEastAsia" w:hAnsiTheme="minorEastAsia" w:eastAsiaTheme="minorEastAsia"/>
          <w:w w:val="80"/>
          <w:sz w:val="28"/>
          <w:szCs w:val="28"/>
        </w:rPr>
        <w:t>年</w:t>
      </w:r>
      <w:r>
        <w:rPr>
          <w:rFonts w:hint="eastAsia" w:asciiTheme="minorEastAsia" w:hAnsiTheme="minorEastAsia" w:eastAsiaTheme="minorEastAsia"/>
          <w:w w:val="80"/>
          <w:sz w:val="28"/>
          <w:szCs w:val="28"/>
          <w:lang w:val="en-US" w:eastAsia="zh-CN"/>
        </w:rPr>
        <w:t>七</w:t>
      </w:r>
      <w:r>
        <w:rPr>
          <w:rFonts w:hint="eastAsia" w:asciiTheme="minorEastAsia" w:hAnsiTheme="minorEastAsia" w:eastAsiaTheme="minorEastAsia"/>
          <w:w w:val="80"/>
          <w:sz w:val="28"/>
          <w:szCs w:val="28"/>
        </w:rPr>
        <w:t>月</w:t>
      </w:r>
      <w:r>
        <w:rPr>
          <w:rFonts w:hint="eastAsia" w:asciiTheme="minorEastAsia" w:hAnsiTheme="minorEastAsia" w:eastAsiaTheme="minorEastAsia"/>
          <w:w w:val="80"/>
          <w:sz w:val="28"/>
          <w:szCs w:val="28"/>
          <w:lang w:val="en-US" w:eastAsia="zh-CN"/>
        </w:rPr>
        <w:t>一</w:t>
      </w:r>
      <w:r>
        <w:rPr>
          <w:rFonts w:hint="eastAsia" w:asciiTheme="minorEastAsia" w:hAnsiTheme="minorEastAsia" w:eastAsiaTheme="minorEastAsia"/>
          <w:w w:val="80"/>
          <w:sz w:val="28"/>
          <w:szCs w:val="28"/>
        </w:rPr>
        <w:t>日</w:t>
      </w:r>
    </w:p>
    <w:p>
      <w:pPr>
        <w:tabs>
          <w:tab w:val="left" w:pos="1050"/>
          <w:tab w:val="right" w:leader="dot" w:pos="9402"/>
        </w:tabs>
        <w:spacing w:line="760" w:lineRule="exact"/>
        <w:jc w:val="center"/>
        <w:outlineLvl w:val="0"/>
        <w:rPr>
          <w:rFonts w:asciiTheme="minorEastAsia" w:hAnsiTheme="minorEastAsia" w:eastAsiaTheme="minorEastAsia"/>
          <w:b/>
          <w:w w:val="80"/>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239" w:right="851" w:bottom="851" w:left="1418" w:header="851" w:footer="522" w:gutter="0"/>
          <w:cols w:space="720" w:num="1"/>
          <w:titlePg/>
          <w:docGrid w:linePitch="380" w:charSpace="-5735"/>
        </w:sectPr>
      </w:pPr>
    </w:p>
    <w:p>
      <w:pPr>
        <w:tabs>
          <w:tab w:val="left" w:pos="1050"/>
          <w:tab w:val="right" w:leader="dot" w:pos="9402"/>
        </w:tabs>
        <w:spacing w:line="760" w:lineRule="exact"/>
        <w:jc w:val="center"/>
        <w:outlineLvl w:val="0"/>
        <w:rPr>
          <w:rFonts w:asciiTheme="minorEastAsia" w:hAnsiTheme="minorEastAsia" w:eastAsiaTheme="minorEastAsia"/>
          <w:b/>
          <w:w w:val="80"/>
          <w:sz w:val="44"/>
          <w:szCs w:val="44"/>
        </w:rPr>
      </w:pPr>
      <w:r>
        <w:rPr>
          <w:rFonts w:hint="eastAsia" w:asciiTheme="minorEastAsia" w:hAnsiTheme="minorEastAsia" w:eastAsiaTheme="minorEastAsia"/>
          <w:b/>
          <w:w w:val="80"/>
          <w:sz w:val="44"/>
          <w:szCs w:val="44"/>
        </w:rPr>
        <w:t>目  录</w:t>
      </w:r>
    </w:p>
    <w:p>
      <w:pPr>
        <w:pStyle w:val="3"/>
        <w:overflowPunct w:val="0"/>
        <w:ind w:firstLine="0"/>
        <w:jc w:val="center"/>
        <w:rPr>
          <w:rFonts w:asciiTheme="minorEastAsia" w:hAnsiTheme="minorEastAsia" w:eastAsiaTheme="minorEastAsia"/>
          <w:sz w:val="30"/>
        </w:rPr>
      </w:pPr>
    </w:p>
    <w:p>
      <w:pPr>
        <w:pStyle w:val="35"/>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b/>
          <w:bCs/>
          <w:sz w:val="32"/>
          <w:szCs w:val="32"/>
        </w:rPr>
        <w:fldChar w:fldCharType="begin"/>
      </w:r>
      <w:r>
        <w:rPr>
          <w:rFonts w:asciiTheme="minorEastAsia" w:hAnsiTheme="minorEastAsia" w:eastAsiaTheme="minorEastAsia"/>
          <w:b/>
          <w:bCs/>
          <w:sz w:val="32"/>
          <w:szCs w:val="32"/>
        </w:rPr>
        <w:instrText xml:space="preserve"> TOC \o "1-1"</w:instrText>
      </w:r>
      <w:r>
        <w:rPr>
          <w:rFonts w:asciiTheme="minorEastAsia" w:hAnsiTheme="minorEastAsia" w:eastAsiaTheme="minorEastAsia"/>
          <w:b/>
          <w:bCs/>
          <w:sz w:val="32"/>
          <w:szCs w:val="32"/>
        </w:rPr>
        <w:fldChar w:fldCharType="separate"/>
      </w:r>
      <w:r>
        <w:rPr>
          <w:rFonts w:asciiTheme="minorEastAsia" w:hAnsiTheme="minorEastAsia" w:eastAsiaTheme="minorEastAsia"/>
          <w:sz w:val="32"/>
          <w:szCs w:val="32"/>
        </w:rPr>
        <w:t>第一章 招标公告</w:t>
      </w:r>
    </w:p>
    <w:p>
      <w:pPr>
        <w:pStyle w:val="35"/>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第二章 投标人须知</w:t>
      </w:r>
    </w:p>
    <w:p>
      <w:pPr>
        <w:pStyle w:val="35"/>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第三章 项目需求</w:t>
      </w:r>
    </w:p>
    <w:p>
      <w:pPr>
        <w:pStyle w:val="35"/>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第四章 评审程序和方法</w:t>
      </w:r>
    </w:p>
    <w:p>
      <w:pPr>
        <w:pStyle w:val="35"/>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五</w:t>
      </w:r>
      <w:r>
        <w:rPr>
          <w:rFonts w:asciiTheme="minorEastAsia" w:hAnsiTheme="minorEastAsia" w:eastAsiaTheme="minorEastAsia"/>
          <w:sz w:val="32"/>
          <w:szCs w:val="32"/>
        </w:rPr>
        <w:t xml:space="preserve">章 </w:t>
      </w:r>
      <w:r>
        <w:rPr>
          <w:rFonts w:hint="eastAsia" w:asciiTheme="minorEastAsia" w:hAnsiTheme="minorEastAsia" w:eastAsiaTheme="minorEastAsia"/>
          <w:sz w:val="32"/>
          <w:szCs w:val="32"/>
        </w:rPr>
        <w:t>合同授予及主要</w:t>
      </w:r>
      <w:r>
        <w:rPr>
          <w:rFonts w:asciiTheme="minorEastAsia" w:hAnsiTheme="minorEastAsia" w:eastAsiaTheme="minorEastAsia"/>
          <w:sz w:val="32"/>
          <w:szCs w:val="32"/>
        </w:rPr>
        <w:t>条款</w:t>
      </w:r>
    </w:p>
    <w:p>
      <w:pPr>
        <w:pStyle w:val="35"/>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六</w:t>
      </w:r>
      <w:r>
        <w:rPr>
          <w:rFonts w:asciiTheme="minorEastAsia" w:hAnsiTheme="minorEastAsia" w:eastAsiaTheme="minorEastAsia"/>
          <w:sz w:val="32"/>
          <w:szCs w:val="32"/>
        </w:rPr>
        <w:t>章 履约验收及付款</w:t>
      </w:r>
    </w:p>
    <w:p>
      <w:pPr>
        <w:pStyle w:val="35"/>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七</w:t>
      </w:r>
      <w:r>
        <w:rPr>
          <w:rFonts w:asciiTheme="minorEastAsia" w:hAnsiTheme="minorEastAsia" w:eastAsiaTheme="minorEastAsia"/>
          <w:sz w:val="32"/>
          <w:szCs w:val="32"/>
        </w:rPr>
        <w:t>章 质疑与投诉</w:t>
      </w:r>
    </w:p>
    <w:p>
      <w:pPr>
        <w:pStyle w:val="35"/>
        <w:tabs>
          <w:tab w:val="right" w:leader="dot" w:pos="9072"/>
        </w:tabs>
        <w:spacing w:line="1200" w:lineRule="exact"/>
        <w:ind w:left="520" w:leftChars="200"/>
        <w:rPr>
          <w:rFonts w:asciiTheme="minorEastAsia" w:hAnsiTheme="minorEastAsia" w:eastAsiaTheme="minorEastAsia"/>
          <w:sz w:val="32"/>
          <w:szCs w:val="32"/>
        </w:rPr>
      </w:pPr>
      <w:r>
        <w:rPr>
          <w:rFonts w:asciiTheme="minorEastAsia" w:hAnsiTheme="minorEastAsia" w:eastAsiaTheme="minorEastAsia"/>
          <w:sz w:val="32"/>
          <w:szCs w:val="32"/>
        </w:rPr>
        <w:t>第</w:t>
      </w:r>
      <w:r>
        <w:rPr>
          <w:rFonts w:hint="eastAsia" w:asciiTheme="minorEastAsia" w:hAnsiTheme="minorEastAsia" w:eastAsiaTheme="minorEastAsia"/>
          <w:sz w:val="32"/>
          <w:szCs w:val="32"/>
        </w:rPr>
        <w:t>八</w:t>
      </w:r>
      <w:r>
        <w:rPr>
          <w:rFonts w:asciiTheme="minorEastAsia" w:hAnsiTheme="minorEastAsia" w:eastAsiaTheme="minorEastAsia"/>
          <w:sz w:val="32"/>
          <w:szCs w:val="32"/>
        </w:rPr>
        <w:t>章 投标文件的组成及相关格式</w:t>
      </w:r>
    </w:p>
    <w:p>
      <w:pPr>
        <w:tabs>
          <w:tab w:val="left" w:pos="1050"/>
          <w:tab w:val="right" w:leader="dot" w:pos="9402"/>
        </w:tabs>
        <w:spacing w:before="240" w:beforeLines="100" w:line="600" w:lineRule="exact"/>
        <w:jc w:val="center"/>
        <w:outlineLvl w:val="0"/>
        <w:rPr>
          <w:rFonts w:asciiTheme="minorEastAsia" w:hAnsiTheme="minorEastAsia" w:eastAsiaTheme="minorEastAsia"/>
          <w:b/>
          <w:bCs/>
          <w:sz w:val="32"/>
          <w:szCs w:val="32"/>
        </w:rPr>
        <w:sectPr>
          <w:footerReference r:id="rId10" w:type="first"/>
          <w:footerReference r:id="rId9" w:type="default"/>
          <w:pgSz w:w="11906" w:h="16838"/>
          <w:pgMar w:top="1239" w:right="851" w:bottom="851" w:left="1418" w:header="851" w:footer="522" w:gutter="0"/>
          <w:pgNumType w:start="1"/>
          <w:cols w:space="720" w:num="1"/>
          <w:docGrid w:linePitch="380" w:charSpace="-5735"/>
        </w:sectPr>
      </w:pPr>
      <w:r>
        <w:rPr>
          <w:rFonts w:asciiTheme="minorEastAsia" w:hAnsiTheme="minorEastAsia" w:eastAsiaTheme="minorEastAsia"/>
          <w:b/>
          <w:bCs/>
          <w:sz w:val="32"/>
          <w:szCs w:val="32"/>
        </w:rPr>
        <w:fldChar w:fldCharType="end"/>
      </w:r>
      <w:bookmarkStart w:id="0" w:name="_Toc363573853"/>
    </w:p>
    <w:p>
      <w:pPr>
        <w:tabs>
          <w:tab w:val="left" w:pos="1050"/>
          <w:tab w:val="right" w:leader="dot" w:pos="9402"/>
        </w:tabs>
        <w:spacing w:before="240" w:beforeLines="100" w:line="600" w:lineRule="exact"/>
        <w:jc w:val="center"/>
        <w:outlineLvl w:val="0"/>
        <w:rPr>
          <w:rFonts w:hint="eastAsia" w:asciiTheme="minorEastAsia" w:hAnsiTheme="minorEastAsia" w:eastAsiaTheme="minorEastAsia"/>
          <w:b/>
          <w:w w:val="80"/>
          <w:sz w:val="32"/>
          <w:szCs w:val="32"/>
        </w:rPr>
      </w:pPr>
      <w:r>
        <w:rPr>
          <w:rFonts w:hint="eastAsia" w:asciiTheme="minorEastAsia" w:hAnsiTheme="minorEastAsia" w:eastAsiaTheme="minorEastAsia"/>
          <w:b/>
          <w:w w:val="80"/>
          <w:sz w:val="32"/>
          <w:szCs w:val="32"/>
          <w:lang w:eastAsia="zh-CN"/>
        </w:rPr>
        <w:t>南通市保安服务有限公司</w:t>
      </w:r>
      <w:r>
        <w:rPr>
          <w:rFonts w:hint="eastAsia" w:asciiTheme="minorEastAsia" w:hAnsiTheme="minorEastAsia" w:eastAsiaTheme="minorEastAsia"/>
          <w:b/>
          <w:w w:val="80"/>
          <w:sz w:val="32"/>
          <w:szCs w:val="32"/>
        </w:rPr>
        <w:t>车辆定点维修、保养、年检等服务采购项目</w:t>
      </w: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招标公告</w:t>
      </w:r>
      <w:bookmarkEnd w:id="0"/>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中诚智信工程咨询集团股份有限公司（以下称招标代理机构）受</w:t>
      </w: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sz w:val="24"/>
          <w:szCs w:val="24"/>
        </w:rPr>
        <w:t>（以下称招标人）的委托，就</w:t>
      </w: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sz w:val="24"/>
          <w:szCs w:val="24"/>
        </w:rPr>
        <w:t>车辆定点维修、保养、年检等服务采购项目组织公开招标采购，诚邀符合条件的潜在投标人参加投标。</w:t>
      </w:r>
    </w:p>
    <w:p>
      <w:pPr>
        <w:spacing w:line="420" w:lineRule="exact"/>
        <w:ind w:firstLine="422" w:firstLineChars="176"/>
        <w:outlineLvl w:val="1"/>
        <w:rPr>
          <w:rFonts w:asciiTheme="minorEastAsia" w:hAnsiTheme="minorEastAsia" w:eastAsiaTheme="minorEastAsia"/>
          <w:sz w:val="24"/>
          <w:szCs w:val="24"/>
        </w:rPr>
      </w:pPr>
      <w:r>
        <w:rPr>
          <w:rFonts w:asciiTheme="minorEastAsia" w:hAnsiTheme="minorEastAsia" w:eastAsiaTheme="minorEastAsia"/>
          <w:bCs/>
          <w:sz w:val="24"/>
          <w:szCs w:val="24"/>
        </w:rPr>
        <w:t>一、</w:t>
      </w:r>
      <w:r>
        <w:rPr>
          <w:rFonts w:asciiTheme="minorEastAsia" w:hAnsiTheme="minorEastAsia" w:eastAsiaTheme="minorEastAsia"/>
          <w:b/>
          <w:sz w:val="24"/>
          <w:szCs w:val="24"/>
        </w:rPr>
        <w:t>项目名称：</w:t>
      </w: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sz w:val="24"/>
          <w:szCs w:val="24"/>
        </w:rPr>
        <w:t>车辆定点维修、保养、年检等服务采购项目</w:t>
      </w:r>
      <w:r>
        <w:rPr>
          <w:rFonts w:asciiTheme="minorEastAsia" w:hAnsiTheme="minorEastAsia" w:eastAsiaTheme="minorEastAsia"/>
          <w:sz w:val="24"/>
          <w:szCs w:val="24"/>
        </w:rPr>
        <w:t>。</w:t>
      </w:r>
    </w:p>
    <w:p>
      <w:pPr>
        <w:spacing w:line="420" w:lineRule="exact"/>
        <w:ind w:firstLine="424" w:firstLineChars="176"/>
        <w:outlineLvl w:val="1"/>
        <w:rPr>
          <w:rFonts w:hint="eastAsia" w:cs="Times New Roman" w:asciiTheme="minorEastAsia" w:hAnsiTheme="minorEastAsia" w:eastAsiaTheme="minorEastAsia"/>
          <w:sz w:val="24"/>
          <w:szCs w:val="24"/>
        </w:rPr>
      </w:pPr>
      <w:r>
        <w:rPr>
          <w:rFonts w:hint="eastAsia" w:asciiTheme="minorEastAsia" w:hAnsiTheme="minorEastAsia" w:eastAsiaTheme="minorEastAsia"/>
          <w:b/>
          <w:bCs/>
          <w:sz w:val="24"/>
          <w:szCs w:val="24"/>
        </w:rPr>
        <w:t>二</w:t>
      </w:r>
      <w:r>
        <w:rPr>
          <w:rFonts w:asciiTheme="minorEastAsia" w:hAnsiTheme="minorEastAsia" w:eastAsiaTheme="minorEastAsia"/>
          <w:b/>
          <w:bCs/>
          <w:sz w:val="24"/>
          <w:szCs w:val="24"/>
        </w:rPr>
        <w:t>、项目需求</w:t>
      </w:r>
      <w:r>
        <w:rPr>
          <w:rFonts w:asciiTheme="minorEastAsia" w:hAnsiTheme="minorEastAsia" w:eastAsiaTheme="minorEastAsia"/>
          <w:sz w:val="24"/>
          <w:szCs w:val="24"/>
        </w:rPr>
        <w:t>：</w:t>
      </w:r>
      <w:r>
        <w:rPr>
          <w:rFonts w:hint="eastAsia" w:cs="Times New Roman" w:asciiTheme="minorEastAsia" w:hAnsiTheme="minorEastAsia" w:eastAsiaTheme="minorEastAsia"/>
          <w:sz w:val="24"/>
          <w:szCs w:val="24"/>
        </w:rPr>
        <w:t>具体详见本项目招标文件第三章。</w:t>
      </w:r>
    </w:p>
    <w:p>
      <w:pPr>
        <w:spacing w:line="420" w:lineRule="exact"/>
        <w:ind w:firstLine="424" w:firstLineChars="176"/>
        <w:outlineLvl w:val="1"/>
        <w:rPr>
          <w:rFonts w:cs="宋体" w:asciiTheme="minorEastAsia" w:hAnsiTheme="minorEastAsia" w:eastAsiaTheme="minorEastAsia"/>
          <w:kern w:val="0"/>
          <w:sz w:val="24"/>
          <w:szCs w:val="24"/>
        </w:rPr>
      </w:pPr>
      <w:r>
        <w:rPr>
          <w:rFonts w:hint="eastAsia" w:asciiTheme="minorEastAsia" w:hAnsiTheme="minorEastAsia" w:eastAsiaTheme="minorEastAsia"/>
          <w:b/>
          <w:bCs/>
          <w:sz w:val="24"/>
          <w:szCs w:val="24"/>
        </w:rPr>
        <w:t>三</w:t>
      </w:r>
      <w:r>
        <w:rPr>
          <w:rFonts w:asciiTheme="minorEastAsia" w:hAnsiTheme="minorEastAsia" w:eastAsiaTheme="minorEastAsia"/>
          <w:b/>
          <w:bCs/>
          <w:sz w:val="24"/>
          <w:szCs w:val="24"/>
        </w:rPr>
        <w:t>、项目</w:t>
      </w:r>
      <w:r>
        <w:rPr>
          <w:rFonts w:asciiTheme="minorEastAsia" w:hAnsiTheme="minorEastAsia" w:eastAsiaTheme="minorEastAsia"/>
          <w:b/>
          <w:bCs/>
          <w:sz w:val="24"/>
          <w:szCs w:val="24"/>
          <w:highlight w:val="none"/>
        </w:rPr>
        <w:t>预算：</w:t>
      </w:r>
      <w:r>
        <w:rPr>
          <w:rFonts w:hint="eastAsia" w:asciiTheme="minorEastAsia" w:hAnsiTheme="minorEastAsia" w:eastAsiaTheme="minorEastAsia"/>
          <w:b/>
          <w:bCs/>
          <w:sz w:val="24"/>
          <w:szCs w:val="24"/>
          <w:highlight w:val="none"/>
          <w:lang w:val="en-US" w:eastAsia="zh-CN"/>
        </w:rPr>
        <w:t>148</w:t>
      </w:r>
      <w:r>
        <w:rPr>
          <w:rFonts w:hint="eastAsia" w:asciiTheme="minorEastAsia" w:hAnsiTheme="minorEastAsia" w:eastAsiaTheme="minorEastAsia"/>
          <w:sz w:val="24"/>
          <w:szCs w:val="24"/>
          <w:highlight w:val="none"/>
        </w:rPr>
        <w:t>万元</w:t>
      </w:r>
      <w:r>
        <w:rPr>
          <w:rFonts w:cs="宋体" w:asciiTheme="minorEastAsia" w:hAnsiTheme="minorEastAsia" w:eastAsiaTheme="minorEastAsia"/>
          <w:kern w:val="0"/>
          <w:sz w:val="24"/>
          <w:szCs w:val="24"/>
          <w:highlight w:val="none"/>
        </w:rPr>
        <w:t>。</w:t>
      </w:r>
    </w:p>
    <w:p>
      <w:pPr>
        <w:spacing w:line="420" w:lineRule="exact"/>
        <w:ind w:firstLine="424" w:firstLineChars="176"/>
        <w:outlineLvl w:val="1"/>
        <w:rPr>
          <w:rFonts w:asciiTheme="minorEastAsia" w:hAnsiTheme="minorEastAsia" w:eastAsiaTheme="minorEastAsia"/>
          <w:bCs/>
          <w:sz w:val="24"/>
          <w:szCs w:val="24"/>
        </w:rPr>
      </w:pPr>
      <w:r>
        <w:rPr>
          <w:rFonts w:hint="eastAsia" w:asciiTheme="minorEastAsia" w:hAnsiTheme="minorEastAsia" w:eastAsiaTheme="minorEastAsia"/>
          <w:b/>
          <w:sz w:val="24"/>
          <w:szCs w:val="24"/>
        </w:rPr>
        <w:t>四、项目服务期：三年，合同一年一签</w:t>
      </w:r>
    </w:p>
    <w:p>
      <w:pPr>
        <w:spacing w:line="420" w:lineRule="exact"/>
        <w:ind w:firstLine="424" w:firstLineChars="176"/>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五、投标人资格：</w:t>
      </w:r>
    </w:p>
    <w:p>
      <w:pPr>
        <w:widowControl/>
        <w:numPr>
          <w:ilvl w:val="0"/>
          <w:numId w:val="1"/>
        </w:numPr>
        <w:adjustRightInd w:val="0"/>
        <w:snapToGrid w:val="0"/>
        <w:spacing w:line="500" w:lineRule="exact"/>
        <w:ind w:left="220" w:leftChars="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投标人必须具有合法有效的营业执照、税务登记证（三证合一的只需营业执照）；</w:t>
      </w:r>
    </w:p>
    <w:p>
      <w:pPr>
        <w:widowControl/>
        <w:numPr>
          <w:ilvl w:val="0"/>
          <w:numId w:val="1"/>
        </w:numPr>
        <w:adjustRightInd w:val="0"/>
        <w:snapToGrid w:val="0"/>
        <w:spacing w:line="500" w:lineRule="exact"/>
        <w:ind w:left="220" w:leftChars="0" w:firstLineChars="0"/>
        <w:jc w:val="left"/>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投标人须为经南通市交通运输局备案的汽车整车维修企业</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投标人应在南通市崇川区或开发区有一个固定维修保养点</w:t>
      </w:r>
      <w:r>
        <w:rPr>
          <w:rFonts w:hint="eastAsia" w:asciiTheme="minorEastAsia" w:hAnsiTheme="minorEastAsia" w:eastAsiaTheme="minorEastAsia"/>
          <w:sz w:val="24"/>
          <w:szCs w:val="24"/>
          <w:highlight w:val="none"/>
          <w:lang w:eastAsia="zh-CN"/>
        </w:rPr>
        <w:t>；</w:t>
      </w:r>
    </w:p>
    <w:p>
      <w:pPr>
        <w:widowControl/>
        <w:numPr>
          <w:ilvl w:val="0"/>
          <w:numId w:val="1"/>
        </w:numPr>
        <w:adjustRightInd w:val="0"/>
        <w:snapToGrid w:val="0"/>
        <w:spacing w:line="500" w:lineRule="exact"/>
        <w:ind w:left="220" w:leftChars="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本项目不接受联合体投标；</w:t>
      </w:r>
    </w:p>
    <w:p>
      <w:pPr>
        <w:widowControl/>
        <w:numPr>
          <w:ilvl w:val="0"/>
          <w:numId w:val="1"/>
        </w:numPr>
        <w:adjustRightInd w:val="0"/>
        <w:snapToGrid w:val="0"/>
        <w:spacing w:line="500" w:lineRule="exact"/>
        <w:ind w:left="220" w:leftChars="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单位负责人为同一人或者存在直接控股、管理关系的不同投标人，不得同时参与同一采购项目相同标段的采购活动；为采购项目提供整体设计、规范编制或者项目管理、监理等服务的投标人，不得再参加该采购项目的其他采购活动。</w:t>
      </w:r>
    </w:p>
    <w:p>
      <w:pPr>
        <w:spacing w:line="420" w:lineRule="exact"/>
        <w:ind w:firstLine="482" w:firstLineChars="200"/>
        <w:outlineLvl w:val="1"/>
        <w:rPr>
          <w:rFonts w:asciiTheme="minorEastAsia" w:hAnsiTheme="minorEastAsia" w:eastAsiaTheme="minorEastAsia"/>
        </w:rPr>
      </w:pPr>
      <w:r>
        <w:rPr>
          <w:rFonts w:hint="eastAsia" w:asciiTheme="minorEastAsia" w:hAnsiTheme="minorEastAsia" w:eastAsiaTheme="minorEastAsia"/>
          <w:b/>
          <w:sz w:val="24"/>
          <w:szCs w:val="24"/>
        </w:rPr>
        <w:t>六、招标文件的获取</w:t>
      </w:r>
    </w:p>
    <w:p>
      <w:pPr>
        <w:spacing w:line="420" w:lineRule="exact"/>
        <w:ind w:firstLine="484" w:firstLineChars="202"/>
        <w:outlineLvl w:val="1"/>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在“南通市保安服务有限公司网站”自行下载。</w:t>
      </w:r>
    </w:p>
    <w:p>
      <w:pPr>
        <w:spacing w:line="420" w:lineRule="exact"/>
        <w:ind w:firstLine="487" w:firstLineChars="202"/>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七、</w:t>
      </w:r>
      <w:r>
        <w:rPr>
          <w:rFonts w:asciiTheme="minorEastAsia" w:hAnsiTheme="minorEastAsia" w:eastAsiaTheme="minorEastAsia"/>
          <w:b/>
          <w:sz w:val="24"/>
          <w:szCs w:val="24"/>
        </w:rPr>
        <w:t>投标保证金</w:t>
      </w:r>
    </w:p>
    <w:p>
      <w:pPr>
        <w:spacing w:line="420" w:lineRule="exact"/>
        <w:ind w:firstLine="480" w:firstLineChars="200"/>
        <w:rPr>
          <w:rFonts w:hint="eastAsia" w:asciiTheme="minorEastAsia" w:hAnsiTheme="minorEastAsia" w:eastAsiaTheme="minorEastAsia"/>
          <w:b/>
          <w:bCs/>
          <w:sz w:val="24"/>
          <w:szCs w:val="24"/>
          <w:lang w:eastAsia="zh-CN"/>
        </w:rPr>
      </w:pPr>
      <w:r>
        <w:rPr>
          <w:rFonts w:hint="eastAsia" w:ascii="宋体" w:hAnsi="宋体" w:eastAsia="宋体"/>
          <w:sz w:val="24"/>
          <w:szCs w:val="24"/>
        </w:rPr>
        <w:t>1、</w:t>
      </w:r>
      <w:r>
        <w:rPr>
          <w:rFonts w:hint="eastAsia" w:asciiTheme="minorEastAsia" w:hAnsiTheme="minorEastAsia" w:eastAsiaTheme="minorEastAsia"/>
          <w:sz w:val="24"/>
          <w:szCs w:val="24"/>
        </w:rPr>
        <w:t>本项目</w:t>
      </w:r>
      <w:r>
        <w:rPr>
          <w:rFonts w:asciiTheme="minorEastAsia" w:hAnsiTheme="minorEastAsia" w:eastAsiaTheme="minorEastAsia"/>
          <w:sz w:val="24"/>
          <w:szCs w:val="24"/>
        </w:rPr>
        <w:t>投标人须交纳投标保证金</w:t>
      </w:r>
      <w:r>
        <w:rPr>
          <w:rFonts w:hint="eastAsia" w:asciiTheme="minorEastAsia" w:hAnsiTheme="minorEastAsia" w:eastAsiaTheme="minorEastAsia"/>
          <w:sz w:val="24"/>
          <w:szCs w:val="24"/>
        </w:rPr>
        <w:t>人民币</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0000元整。</w:t>
      </w:r>
    </w:p>
    <w:p>
      <w:pPr>
        <w:pStyle w:val="21"/>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账户名称：中诚智信工程咨询集团股份有限公司</w:t>
      </w:r>
    </w:p>
    <w:p>
      <w:pPr>
        <w:pStyle w:val="21"/>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开户银行：上海浦东发展银行苏州高新技术产业开发区支行</w:t>
      </w:r>
    </w:p>
    <w:p>
      <w:pPr>
        <w:pStyle w:val="21"/>
        <w:ind w:firstLine="482" w:firstLineChars="200"/>
        <w:rPr>
          <w:rFonts w:asciiTheme="minorEastAsia" w:hAnsiTheme="minorEastAsia" w:eastAsiaTheme="minorEastAsia"/>
          <w:sz w:val="24"/>
          <w:szCs w:val="24"/>
        </w:rPr>
      </w:pPr>
      <w:r>
        <w:rPr>
          <w:rFonts w:hint="eastAsia" w:asciiTheme="minorEastAsia" w:hAnsiTheme="minorEastAsia" w:eastAsiaTheme="minorEastAsia"/>
          <w:b/>
          <w:bCs/>
          <w:sz w:val="24"/>
          <w:szCs w:val="24"/>
        </w:rPr>
        <w:t>银行账号：89030154740003067</w:t>
      </w:r>
    </w:p>
    <w:p>
      <w:pPr>
        <w:pStyle w:val="21"/>
        <w:ind w:firstLine="482" w:firstLineChars="200"/>
        <w:rPr>
          <w:rFonts w:asciiTheme="minorEastAsia" w:hAnsiTheme="minorEastAsia" w:eastAsiaTheme="minorEastAsia"/>
          <w:b/>
          <w:bCs/>
          <w:sz w:val="24"/>
          <w:szCs w:val="24"/>
        </w:rPr>
      </w:pPr>
      <w:r>
        <w:rPr>
          <w:rFonts w:hint="eastAsia" w:ascii="宋体" w:hAnsi="宋体"/>
          <w:b/>
          <w:bCs/>
          <w:sz w:val="24"/>
        </w:rPr>
        <w:t>注：投标保证金的形式：转账、电汇、网银，银行电子保函、保险电子保函、现金、本票</w:t>
      </w:r>
      <w:r>
        <w:rPr>
          <w:rFonts w:hint="eastAsia" w:ascii="宋体" w:hAnsi="宋体"/>
          <w:b/>
          <w:bCs/>
          <w:sz w:val="24"/>
          <w:lang w:eastAsia="zh-CN"/>
        </w:rPr>
        <w:t>、数字人民币</w:t>
      </w:r>
      <w:r>
        <w:rPr>
          <w:rFonts w:hint="eastAsia" w:ascii="宋体" w:hAnsi="宋体"/>
          <w:b/>
          <w:bCs/>
          <w:sz w:val="24"/>
        </w:rPr>
        <w:t>等形式。各投标人根据企业实际情况合理选择投标保证金的缴纳形式，各类缴纳形式具有同等法律效力。各投标人必须以企业法人基本存款帐户办理保证金缴纳手续</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lang w:val="en-US" w:eastAsia="zh-CN"/>
        </w:rPr>
        <w:t>现金除外</w:t>
      </w:r>
      <w:r>
        <w:rPr>
          <w:rFonts w:hint="eastAsia" w:asciiTheme="minorEastAsia" w:hAnsiTheme="minorEastAsia" w:eastAsiaTheme="minorEastAsia"/>
          <w:b/>
          <w:bCs/>
          <w:sz w:val="24"/>
          <w:szCs w:val="24"/>
          <w:lang w:eastAsia="zh-CN"/>
        </w:rPr>
        <w:t>）</w:t>
      </w:r>
      <w:r>
        <w:rPr>
          <w:rFonts w:hint="eastAsia" w:ascii="宋体" w:hAnsi="宋体"/>
          <w:b/>
          <w:bCs/>
          <w:sz w:val="24"/>
        </w:rPr>
        <w:t>，否则不予接受。</w:t>
      </w:r>
    </w:p>
    <w:p>
      <w:pPr>
        <w:pStyle w:val="21"/>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别提醒：投标人应当按照规定的时间和方式，及时、足额汇入投标保证金，以保证金到达指定账户的时刻作为有效保证金时限的依据，各投标人应当充分预判因各种因素导致保证金到账的滞后情况，提前做好相关准备。</w:t>
      </w:r>
    </w:p>
    <w:p>
      <w:pPr>
        <w:spacing w:line="420" w:lineRule="exact"/>
        <w:ind w:firstLine="720" w:firstLineChars="300"/>
        <w:rPr>
          <w:rFonts w:ascii="宋体" w:hAnsi="宋体" w:eastAsia="宋体"/>
          <w:sz w:val="24"/>
          <w:szCs w:val="24"/>
        </w:rPr>
      </w:pPr>
      <w:r>
        <w:rPr>
          <w:rFonts w:hint="eastAsia" w:asciiTheme="minorEastAsia" w:hAnsiTheme="minorEastAsia" w:eastAsiaTheme="minorEastAsia"/>
          <w:sz w:val="24"/>
          <w:szCs w:val="24"/>
        </w:rPr>
        <w:t>2、不按招标文件要求递交本项目投标保证金的，其投标文件将被招标代理机构将拒绝。</w:t>
      </w:r>
    </w:p>
    <w:p>
      <w:pPr>
        <w:snapToGrid w:val="0"/>
        <w:spacing w:line="400" w:lineRule="exact"/>
        <w:ind w:firstLine="482" w:firstLineChars="200"/>
        <w:contextualSpacing/>
        <w:rPr>
          <w:rFonts w:hint="eastAsia" w:ascii="宋体" w:eastAsia="宋体" w:cs="宋体"/>
          <w:b/>
          <w:sz w:val="24"/>
          <w:szCs w:val="24"/>
        </w:rPr>
      </w:pPr>
      <w:r>
        <w:rPr>
          <w:rFonts w:hint="eastAsia" w:asciiTheme="minorEastAsia" w:hAnsiTheme="minorEastAsia" w:eastAsiaTheme="minorEastAsia"/>
          <w:b/>
          <w:bCs/>
          <w:kern w:val="0"/>
          <w:sz w:val="24"/>
          <w:szCs w:val="24"/>
          <w:lang w:val="en-US" w:eastAsia="zh-CN"/>
        </w:rPr>
        <w:t>八</w:t>
      </w:r>
      <w:r>
        <w:rPr>
          <w:rFonts w:hint="eastAsia" w:asciiTheme="minorEastAsia" w:hAnsiTheme="minorEastAsia" w:eastAsiaTheme="minorEastAsia"/>
          <w:b/>
          <w:bCs/>
          <w:kern w:val="0"/>
          <w:sz w:val="24"/>
          <w:szCs w:val="24"/>
        </w:rPr>
        <w:t>、</w:t>
      </w:r>
      <w:r>
        <w:rPr>
          <w:rFonts w:hint="eastAsia" w:ascii="宋体" w:eastAsia="宋体" w:cs="宋体"/>
          <w:b/>
          <w:sz w:val="24"/>
          <w:szCs w:val="24"/>
        </w:rPr>
        <w:t>提交投标文件截止时间、开标时间和地点</w:t>
      </w:r>
    </w:p>
    <w:p>
      <w:pPr>
        <w:snapToGrid w:val="0"/>
        <w:spacing w:line="400" w:lineRule="exact"/>
        <w:contextualSpacing/>
        <w:rPr>
          <w:rFonts w:hint="eastAsia" w:ascii="宋体" w:eastAsia="宋体" w:cs="宋体"/>
          <w:sz w:val="24"/>
          <w:szCs w:val="24"/>
        </w:rPr>
      </w:pPr>
      <w:r>
        <w:rPr>
          <w:rFonts w:hint="eastAsia" w:ascii="宋体" w:eastAsia="宋体" w:cs="宋体"/>
          <w:sz w:val="24"/>
          <w:szCs w:val="24"/>
        </w:rPr>
        <w:t xml:space="preserve">    投标截止时间为</w:t>
      </w:r>
      <w:r>
        <w:rPr>
          <w:rFonts w:hint="eastAsia" w:ascii="宋体" w:eastAsia="宋体" w:cs="宋体"/>
          <w:color w:val="auto"/>
          <w:sz w:val="24"/>
          <w:szCs w:val="24"/>
        </w:rPr>
        <w:t>：</w:t>
      </w:r>
      <w:r>
        <w:rPr>
          <w:rFonts w:hint="eastAsia" w:ascii="宋体" w:eastAsia="宋体" w:cs="宋体"/>
          <w:color w:val="auto"/>
          <w:sz w:val="24"/>
          <w:szCs w:val="22"/>
        </w:rPr>
        <w:t>202</w:t>
      </w:r>
      <w:r>
        <w:rPr>
          <w:rFonts w:hint="eastAsia" w:ascii="宋体" w:eastAsia="宋体" w:cs="宋体"/>
          <w:color w:val="auto"/>
          <w:sz w:val="24"/>
          <w:szCs w:val="22"/>
          <w:lang w:val="en-US" w:eastAsia="zh-CN"/>
        </w:rPr>
        <w:t>4</w:t>
      </w:r>
      <w:r>
        <w:rPr>
          <w:rFonts w:hint="eastAsia" w:ascii="宋体" w:eastAsia="宋体" w:cs="宋体"/>
          <w:color w:val="auto"/>
          <w:sz w:val="24"/>
          <w:szCs w:val="22"/>
        </w:rPr>
        <w:t>年</w:t>
      </w:r>
      <w:r>
        <w:rPr>
          <w:rFonts w:hint="eastAsia" w:ascii="宋体" w:eastAsia="宋体" w:cs="宋体"/>
          <w:color w:val="auto"/>
          <w:sz w:val="24"/>
          <w:szCs w:val="22"/>
          <w:lang w:val="en-US" w:eastAsia="zh-CN"/>
        </w:rPr>
        <w:t>7</w:t>
      </w:r>
      <w:r>
        <w:rPr>
          <w:rFonts w:hint="eastAsia" w:ascii="宋体" w:eastAsia="宋体" w:cs="宋体"/>
          <w:color w:val="auto"/>
          <w:sz w:val="24"/>
          <w:szCs w:val="22"/>
        </w:rPr>
        <w:t>月</w:t>
      </w:r>
      <w:r>
        <w:rPr>
          <w:rFonts w:hint="eastAsia" w:ascii="宋体" w:eastAsia="宋体" w:cs="宋体"/>
          <w:color w:val="auto"/>
          <w:sz w:val="24"/>
          <w:szCs w:val="22"/>
          <w:lang w:val="en-US" w:eastAsia="zh-CN"/>
        </w:rPr>
        <w:t>23</w:t>
      </w:r>
      <w:r>
        <w:rPr>
          <w:rFonts w:hint="eastAsia" w:ascii="宋体" w:eastAsia="宋体" w:cs="宋体"/>
          <w:color w:val="auto"/>
          <w:sz w:val="24"/>
          <w:szCs w:val="22"/>
        </w:rPr>
        <w:t>日</w:t>
      </w:r>
      <w:r>
        <w:rPr>
          <w:rFonts w:hint="eastAsia" w:ascii="宋体" w:eastAsia="宋体" w:cs="宋体"/>
          <w:color w:val="auto"/>
          <w:sz w:val="24"/>
          <w:szCs w:val="24"/>
          <w:lang w:val="en-US" w:eastAsia="zh-CN"/>
        </w:rPr>
        <w:t>14</w:t>
      </w:r>
      <w:r>
        <w:rPr>
          <w:rFonts w:hint="eastAsia" w:ascii="宋体" w:eastAsia="宋体" w:cs="宋体"/>
          <w:color w:val="auto"/>
          <w:sz w:val="24"/>
          <w:szCs w:val="24"/>
        </w:rPr>
        <w:t>时</w:t>
      </w:r>
      <w:r>
        <w:rPr>
          <w:rFonts w:hint="eastAsia" w:ascii="宋体" w:eastAsia="宋体" w:cs="宋体"/>
          <w:color w:val="auto"/>
          <w:sz w:val="24"/>
          <w:szCs w:val="24"/>
          <w:lang w:val="en-US" w:eastAsia="zh-CN"/>
        </w:rPr>
        <w:t>0</w:t>
      </w:r>
      <w:r>
        <w:rPr>
          <w:rFonts w:hint="eastAsia" w:ascii="宋体" w:eastAsia="宋体" w:cs="宋体"/>
          <w:color w:val="auto"/>
          <w:sz w:val="24"/>
          <w:szCs w:val="24"/>
        </w:rPr>
        <w:t>0分（</w:t>
      </w:r>
      <w:r>
        <w:rPr>
          <w:rFonts w:hint="eastAsia" w:ascii="宋体" w:eastAsia="宋体" w:cs="宋体"/>
          <w:sz w:val="24"/>
          <w:szCs w:val="24"/>
        </w:rPr>
        <w:t>北京时间）</w:t>
      </w:r>
    </w:p>
    <w:p>
      <w:pPr>
        <w:snapToGrid w:val="0"/>
        <w:spacing w:line="400" w:lineRule="exact"/>
        <w:contextualSpacing/>
        <w:rPr>
          <w:rFonts w:hint="eastAsia" w:ascii="宋体" w:eastAsia="宋体" w:cs="宋体"/>
          <w:sz w:val="24"/>
          <w:szCs w:val="24"/>
        </w:rPr>
      </w:pPr>
      <w:r>
        <w:rPr>
          <w:rFonts w:hint="eastAsia" w:ascii="宋体" w:eastAsia="宋体" w:cs="宋体"/>
          <w:sz w:val="24"/>
          <w:szCs w:val="24"/>
        </w:rPr>
        <w:t xml:space="preserve">    开标时间：同投标截止时间</w:t>
      </w:r>
    </w:p>
    <w:p>
      <w:pPr>
        <w:snapToGrid w:val="0"/>
        <w:spacing w:line="400" w:lineRule="exact"/>
        <w:contextualSpacing/>
        <w:rPr>
          <w:rFonts w:hint="eastAsia" w:asciiTheme="minorEastAsia" w:hAnsiTheme="minorEastAsia" w:eastAsiaTheme="minorEastAsia"/>
          <w:b/>
          <w:bCs/>
          <w:color w:val="0000FF"/>
          <w:kern w:val="0"/>
          <w:sz w:val="24"/>
          <w:szCs w:val="24"/>
          <w:highlight w:val="none"/>
        </w:rPr>
      </w:pPr>
      <w:r>
        <w:rPr>
          <w:rFonts w:hint="eastAsia" w:ascii="宋体" w:eastAsia="宋体" w:cs="宋体"/>
          <w:sz w:val="24"/>
          <w:szCs w:val="24"/>
        </w:rPr>
        <w:t xml:space="preserve">    开标地点：南通市崇川区石桥路333号南通市保安服务有限公司6楼会议室2。</w:t>
      </w:r>
    </w:p>
    <w:p>
      <w:pPr>
        <w:spacing w:line="420" w:lineRule="exact"/>
        <w:ind w:firstLine="482" w:firstLineChars="200"/>
        <w:outlineLvl w:val="1"/>
        <w:rPr>
          <w:rFonts w:hint="eastAsia" w:asciiTheme="minorEastAsia" w:hAnsiTheme="minorEastAsia" w:eastAsiaTheme="minorEastAsia"/>
          <w:b/>
          <w:bCs w:val="0"/>
          <w:sz w:val="24"/>
          <w:szCs w:val="24"/>
        </w:rPr>
      </w:pPr>
      <w:r>
        <w:rPr>
          <w:rFonts w:hint="eastAsia" w:asciiTheme="minorEastAsia" w:hAnsiTheme="minorEastAsia" w:eastAsiaTheme="minorEastAsia"/>
          <w:b/>
          <w:bCs w:val="0"/>
          <w:sz w:val="24"/>
          <w:szCs w:val="24"/>
          <w:lang w:val="en-US" w:eastAsia="zh-CN"/>
        </w:rPr>
        <w:t>九</w:t>
      </w:r>
      <w:r>
        <w:rPr>
          <w:rFonts w:hint="eastAsia" w:asciiTheme="minorEastAsia" w:hAnsiTheme="minorEastAsia" w:eastAsiaTheme="minorEastAsia"/>
          <w:b/>
          <w:bCs w:val="0"/>
          <w:sz w:val="24"/>
          <w:szCs w:val="24"/>
        </w:rPr>
        <w:t>、招标公告期限</w:t>
      </w:r>
    </w:p>
    <w:p>
      <w:pPr>
        <w:spacing w:line="420" w:lineRule="exact"/>
        <w:ind w:firstLine="480" w:firstLineChars="200"/>
        <w:outlineLvl w:val="1"/>
        <w:rPr>
          <w:rFonts w:hint="eastAsia" w:asciiTheme="minorEastAsia" w:hAnsiTheme="minorEastAsia" w:eastAsiaTheme="minorEastAsia"/>
          <w:b/>
          <w:sz w:val="24"/>
          <w:szCs w:val="24"/>
        </w:rPr>
      </w:pPr>
      <w:r>
        <w:rPr>
          <w:rFonts w:hint="eastAsia" w:asciiTheme="minorEastAsia" w:hAnsiTheme="minorEastAsia" w:eastAsiaTheme="minorEastAsia"/>
          <w:b w:val="0"/>
          <w:bCs/>
          <w:sz w:val="24"/>
          <w:szCs w:val="24"/>
        </w:rPr>
        <w:t>自招标公告在“南通市保安服务有限公司网站”发布之日起5个工作日。</w:t>
      </w:r>
    </w:p>
    <w:p>
      <w:pPr>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十、履约保证金：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1</w:t>
      </w:r>
      <w:r>
        <w:rPr>
          <w:rFonts w:hint="eastAsia" w:cs="宋体" w:asciiTheme="minorEastAsia" w:hAnsiTheme="minorEastAsia" w:eastAsiaTheme="minorEastAsia"/>
          <w:sz w:val="24"/>
          <w:szCs w:val="24"/>
        </w:rPr>
        <w:t>、本项目的履约保证金为</w:t>
      </w:r>
      <w:r>
        <w:rPr>
          <w:rFonts w:hint="eastAsia" w:cs="宋体" w:asciiTheme="minorEastAsia" w:hAnsiTheme="minorEastAsia" w:eastAsiaTheme="minorEastAsia"/>
          <w:sz w:val="24"/>
          <w:szCs w:val="24"/>
          <w:lang w:val="en-US" w:eastAsia="zh-CN"/>
        </w:rPr>
        <w:t>合同价的10%</w:t>
      </w:r>
      <w:r>
        <w:rPr>
          <w:rFonts w:hint="eastAsia" w:cs="宋体"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、中标供应商的履约保证金须在招标代理通知发中标通知书之日起</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个工作日内汇入招标人账户，中标供应商凭“中标通知书”和已经汇至招标人账上的“履约保证金”凭证，并在招标代理通知发中标通知书之日起</w:t>
      </w:r>
      <w:r>
        <w:rPr>
          <w:rFonts w:hint="eastAsia" w:cs="宋体" w:asciiTheme="minorEastAsia" w:hAnsiTheme="minorEastAsia" w:eastAsiaTheme="minorEastAsia"/>
          <w:sz w:val="24"/>
          <w:szCs w:val="24"/>
          <w:lang w:val="en-US" w:eastAsia="zh-CN"/>
        </w:rPr>
        <w:t>30</w:t>
      </w:r>
      <w:r>
        <w:rPr>
          <w:rFonts w:hint="eastAsia" w:cs="宋体" w:asciiTheme="minorEastAsia" w:hAnsiTheme="minorEastAsia" w:eastAsiaTheme="minorEastAsia"/>
          <w:sz w:val="24"/>
          <w:szCs w:val="24"/>
        </w:rPr>
        <w:t>日内与招标人签订合同。超期则视为自动放弃中标资格，没收投标保证金。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、中标供应商在按要求保质保量的完成该项目合同并通过验收后，招标人凭中标供应商提交的申请，一次性退还该合同项目的履约保证金。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、由于中标供应商原因，在签订合同后出现不按合同履行的情况，招标人有权将履约保证金作为违约金，全额不予退还，同时招标人亦有权终止合同，中标供应商还须承担相应的法律赔偿责任。</w:t>
      </w:r>
    </w:p>
    <w:p>
      <w:pPr>
        <w:snapToGrid w:val="0"/>
        <w:spacing w:line="400" w:lineRule="exact"/>
        <w:ind w:firstLine="482" w:firstLineChars="200"/>
        <w:contextualSpacing/>
        <w:rPr>
          <w:rFonts w:hint="eastAsia" w:ascii="宋体" w:eastAsia="宋体" w:cs="宋体"/>
          <w:b/>
          <w:sz w:val="24"/>
          <w:szCs w:val="24"/>
        </w:rPr>
      </w:pPr>
      <w:r>
        <w:rPr>
          <w:rFonts w:hint="eastAsia" w:asciiTheme="minorEastAsia" w:hAnsiTheme="minorEastAsia" w:eastAsiaTheme="minorEastAsia"/>
          <w:b/>
          <w:sz w:val="24"/>
          <w:szCs w:val="24"/>
        </w:rPr>
        <w:t>十</w:t>
      </w:r>
      <w:r>
        <w:rPr>
          <w:rFonts w:hint="eastAsia" w:asciiTheme="minorEastAsia" w:hAnsiTheme="minorEastAsia" w:eastAsiaTheme="minorEastAsia"/>
          <w:b/>
          <w:sz w:val="24"/>
          <w:szCs w:val="24"/>
          <w:lang w:val="en-US" w:eastAsia="zh-CN"/>
        </w:rPr>
        <w:t>一</w:t>
      </w:r>
      <w:r>
        <w:rPr>
          <w:rFonts w:hint="eastAsia" w:asciiTheme="minorEastAsia" w:hAnsiTheme="minorEastAsia" w:eastAsiaTheme="minorEastAsia"/>
          <w:b/>
          <w:sz w:val="24"/>
          <w:szCs w:val="24"/>
        </w:rPr>
        <w:t>、</w:t>
      </w:r>
      <w:r>
        <w:rPr>
          <w:rFonts w:hint="eastAsia" w:ascii="宋体" w:eastAsia="宋体" w:cs="宋体"/>
          <w:b/>
          <w:sz w:val="24"/>
          <w:szCs w:val="24"/>
        </w:rPr>
        <w:t>本招标项目联系事项：</w:t>
      </w:r>
    </w:p>
    <w:p>
      <w:pPr>
        <w:spacing w:line="420" w:lineRule="exact"/>
        <w:ind w:firstLine="667" w:firstLineChars="277"/>
        <w:rPr>
          <w:rFonts w:hint="eastAsia" w:cs="宋体" w:asciiTheme="minorEastAsia" w:hAnsiTheme="minorEastAsia" w:eastAsiaTheme="minorEastAsia"/>
          <w:b/>
          <w:bCs/>
          <w:sz w:val="24"/>
          <w:szCs w:val="24"/>
          <w:lang w:val="en-US" w:eastAsia="zh-CN"/>
        </w:rPr>
      </w:pPr>
      <w:bookmarkStart w:id="1" w:name="_Toc363573854"/>
      <w:r>
        <w:rPr>
          <w:rFonts w:hint="eastAsia" w:cs="宋体" w:asciiTheme="minorEastAsia" w:hAnsiTheme="minorEastAsia" w:eastAsiaTheme="minorEastAsia"/>
          <w:b/>
          <w:bCs/>
          <w:sz w:val="24"/>
          <w:szCs w:val="24"/>
          <w:lang w:val="en-US" w:eastAsia="zh-CN"/>
        </w:rPr>
        <w:t>1、招标人：南通市保安服务有限公司</w:t>
      </w:r>
    </w:p>
    <w:p>
      <w:pPr>
        <w:spacing w:line="420" w:lineRule="exact"/>
        <w:ind w:firstLine="667" w:firstLineChars="277"/>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地 址：南通市崇川区石桥路333号</w:t>
      </w:r>
    </w:p>
    <w:p>
      <w:pPr>
        <w:spacing w:line="420" w:lineRule="exact"/>
        <w:ind w:firstLine="667" w:firstLineChars="277"/>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 xml:space="preserve">联系人：徐雷 </w:t>
      </w:r>
    </w:p>
    <w:p>
      <w:pPr>
        <w:spacing w:line="420" w:lineRule="exact"/>
        <w:ind w:firstLine="667" w:firstLineChars="277"/>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联系电话：0513-80219010/83533190</w:t>
      </w:r>
    </w:p>
    <w:p>
      <w:pPr>
        <w:spacing w:line="420" w:lineRule="exact"/>
        <w:ind w:firstLine="667" w:firstLineChars="277"/>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2、招标代理机构：中诚智信工程咨询集团股份有限公司</w:t>
      </w:r>
    </w:p>
    <w:p>
      <w:pPr>
        <w:spacing w:line="420" w:lineRule="exact"/>
        <w:ind w:firstLine="667" w:firstLineChars="277"/>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地 址：南通市恒隆国际B座801室</w:t>
      </w:r>
    </w:p>
    <w:p>
      <w:pPr>
        <w:spacing w:line="420" w:lineRule="exact"/>
        <w:ind w:firstLine="667" w:firstLineChars="277"/>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联系人：单舒</w:t>
      </w:r>
    </w:p>
    <w:p>
      <w:pPr>
        <w:spacing w:line="420" w:lineRule="exact"/>
        <w:ind w:firstLine="667" w:firstLineChars="277"/>
        <w:rPr>
          <w:rFonts w:hint="eastAsia"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lang w:val="en-US" w:eastAsia="zh-CN"/>
        </w:rPr>
        <w:t>联系电话：0513-859</w:t>
      </w:r>
      <w:bookmarkStart w:id="11" w:name="_GoBack"/>
      <w:bookmarkEnd w:id="11"/>
      <w:r>
        <w:rPr>
          <w:rFonts w:hint="eastAsia" w:cs="宋体" w:asciiTheme="minorEastAsia" w:hAnsiTheme="minorEastAsia" w:eastAsiaTheme="minorEastAsia"/>
          <w:b/>
          <w:bCs/>
          <w:sz w:val="24"/>
          <w:szCs w:val="24"/>
          <w:lang w:val="en-US" w:eastAsia="zh-CN"/>
        </w:rPr>
        <w:t>80007/13328094029</w:t>
      </w:r>
    </w:p>
    <w:p>
      <w:pPr>
        <w:spacing w:line="360" w:lineRule="auto"/>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第二章  投标人须知</w:t>
      </w:r>
      <w:bookmarkEnd w:id="1"/>
    </w:p>
    <w:p>
      <w:pPr>
        <w:snapToGrid w:val="0"/>
        <w:spacing w:line="420" w:lineRule="exact"/>
        <w:ind w:firstLine="482" w:firstLineChars="200"/>
        <w:outlineLvl w:val="1"/>
        <w:rPr>
          <w:rFonts w:asciiTheme="minorEastAsia" w:hAnsiTheme="minorEastAsia" w:eastAsiaTheme="minorEastAsia"/>
          <w:b/>
          <w:bCs/>
          <w:sz w:val="24"/>
          <w:szCs w:val="24"/>
        </w:rPr>
      </w:pPr>
      <w:r>
        <w:rPr>
          <w:rFonts w:asciiTheme="minorEastAsia" w:hAnsiTheme="minorEastAsia" w:eastAsiaTheme="minorEastAsia"/>
          <w:b/>
          <w:bCs/>
          <w:sz w:val="24"/>
          <w:szCs w:val="24"/>
        </w:rPr>
        <w:t>一、</w:t>
      </w:r>
      <w:r>
        <w:rPr>
          <w:rFonts w:hint="eastAsia" w:asciiTheme="minorEastAsia" w:hAnsiTheme="minorEastAsia" w:eastAsiaTheme="minorEastAsia"/>
          <w:b/>
          <w:bCs/>
          <w:sz w:val="24"/>
          <w:szCs w:val="24"/>
        </w:rPr>
        <w:t>说明</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1、本招标文件仅适用于本代理机构组织的公开招标活动。</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2、公开招标活动及因本次招标产生的合同受中国法律制约和保护。</w:t>
      </w:r>
    </w:p>
    <w:p>
      <w:pPr>
        <w:snapToGrid w:val="0"/>
        <w:spacing w:line="42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3、招标文件的解释权属于</w:t>
      </w:r>
      <w:r>
        <w:rPr>
          <w:rFonts w:hint="eastAsia" w:asciiTheme="minorEastAsia" w:hAnsiTheme="minorEastAsia" w:eastAsiaTheme="minorEastAsia"/>
          <w:bCs/>
          <w:sz w:val="24"/>
          <w:szCs w:val="24"/>
          <w:lang w:val="en-US" w:eastAsia="zh-CN"/>
        </w:rPr>
        <w:t>招标人</w:t>
      </w:r>
      <w:r>
        <w:rPr>
          <w:rFonts w:hint="eastAsia" w:asciiTheme="minorEastAsia" w:hAnsiTheme="minorEastAsia" w:eastAsiaTheme="minorEastAsia"/>
          <w:bCs/>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投标人在知道或应当知道本项目招标公告及招标文件中的所有内容：如内容或页码短缺、资格要求和技术参数出现倾向性或排他性等表述的，应在本项目招标公告及招标文件发布后提出询问或是在发布之日后的7个工作日内以书面实名制形式提出质疑；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5、投标人应认真审阅本招标文件中的所有事项、格式、条款和规范要求等，如果投标人没有按照招标文件要求提交投标文件，或者投标文件没有对招标文件做出实质性响应，将被拒绝参与投标。</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招标文件项目需求提供的可能涉及到的工艺、材料、设备、商标、样本、技术规范、参数规格、品牌等，仅作为说明并没有限制性，投标人在投标中可以选用替代标准，但这些替代标准要优于或等于项目需求技术规格中要求的标准，以满足招标人的需要。</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bCs/>
          <w:sz w:val="24"/>
          <w:szCs w:val="24"/>
        </w:rPr>
        <w:t>二、</w:t>
      </w:r>
      <w:r>
        <w:rPr>
          <w:rFonts w:hint="eastAsia" w:asciiTheme="minorEastAsia" w:hAnsiTheme="minorEastAsia" w:eastAsiaTheme="minorEastAsia"/>
          <w:b/>
          <w:sz w:val="24"/>
          <w:szCs w:val="24"/>
        </w:rPr>
        <w:t>招标文件的补充说明、澄清、修改、答疑</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1、代理机构有权对发出的招标文件进行必要的补充说明、澄清或修改。</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2、凡涉及招标文件的补充说明、澄清或修改，均以代理机构在</w:t>
      </w:r>
      <w:r>
        <w:rPr>
          <w:rFonts w:hint="eastAsia" w:asciiTheme="minorEastAsia" w:hAnsiTheme="minorEastAsia" w:eastAsiaTheme="minorEastAsia"/>
          <w:kern w:val="0"/>
          <w:sz w:val="24"/>
          <w:szCs w:val="24"/>
          <w:lang w:eastAsia="zh-CN"/>
        </w:rPr>
        <w:t>“南通市保安服务有限公司网站”</w:t>
      </w:r>
      <w:r>
        <w:rPr>
          <w:rFonts w:hint="eastAsia" w:asciiTheme="minorEastAsia" w:hAnsiTheme="minorEastAsia" w:eastAsiaTheme="minorEastAsia"/>
          <w:sz w:val="24"/>
          <w:szCs w:val="24"/>
        </w:rPr>
        <w:t>发布的信息为准。</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3、代理机构对招标文件的补充说明、澄清或修改，将构成招标文件的一部分，对投标人具有约束力。</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4、补充说明、澄清或修改的内容可能影响到响应文件编制的，代理机构将在提交投标文件截止期15日前，发布补充说明、澄清或修改的公告，不足15日的应当顺延首次提交投标文件截止之日。</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5、除非代理机构以书面的形式对招标文件作出澄清、修改及补充，投标人对涉及招标文件的任何推论、理解和结论所造成的结果，均由投标人自负。</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6、招标采购单位视情组织答疑会。如有产生答疑且对招标文件内容有修改，代理机构将按照本须知有关规定，以补充通知（公告）的方式发出。</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7、招标项目涉及到的现场勘察</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7.1、招标文件所提供的项目相关数据仅做参考，投标人必须在投标文件递交日前自行对有关现场和周围环境进行勘察，以获取编制投标文件所需的信息。勘察现场如有费用产生，由投标人自行承担。</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7.2、招标人向投标人提供有关现场的资料和数据，是招标人现有的并认为能使投标人可利用的资料。招标人对投标人由此而做出的推论、理解和结论概不负责。</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7.3、潜在投标人为投标而勘察项目现场，但不得因此使招标人承担有关的责任和蒙受损失。投标人须承担勘察现场而带来的一切责任及风险。</w:t>
      </w:r>
    </w:p>
    <w:p>
      <w:pPr>
        <w:snapToGrid w:val="0"/>
        <w:spacing w:line="420" w:lineRule="exact"/>
        <w:ind w:firstLine="480" w:firstLineChars="200"/>
        <w:rPr>
          <w:rFonts w:asciiTheme="minorEastAsia" w:hAnsiTheme="minorEastAsia" w:eastAsiaTheme="minorEastAsia"/>
        </w:rPr>
      </w:pPr>
      <w:r>
        <w:rPr>
          <w:rFonts w:hint="eastAsia" w:asciiTheme="minorEastAsia" w:hAnsiTheme="minorEastAsia" w:eastAsiaTheme="minorEastAsia"/>
          <w:sz w:val="24"/>
          <w:szCs w:val="24"/>
        </w:rPr>
        <w:t>7.4、投标人在现场勘察时，熟悉现场及周围交通道路等情况，以获得一切可能影响投标响应内容的直接资料。投标人中标后，不得以不完全了解现场情况为理由而向招标人提出任何索赔的要求，对此招标人不承担任何责任，且不作任何答复。</w:t>
      </w:r>
    </w:p>
    <w:p>
      <w:pPr>
        <w:snapToGrid w:val="0"/>
        <w:spacing w:line="360" w:lineRule="auto"/>
        <w:ind w:firstLine="472" w:firstLineChars="196"/>
        <w:outlineLvl w:val="1"/>
        <w:rPr>
          <w:rFonts w:hint="eastAsia" w:ascii="宋体" w:eastAsia="宋体" w:cs="宋体"/>
          <w:b/>
          <w:bCs/>
          <w:sz w:val="24"/>
          <w:szCs w:val="24"/>
        </w:rPr>
      </w:pPr>
      <w:r>
        <w:rPr>
          <w:rFonts w:hint="eastAsia" w:ascii="宋体" w:eastAsia="宋体" w:cs="宋体"/>
          <w:b/>
          <w:bCs/>
          <w:sz w:val="24"/>
          <w:szCs w:val="24"/>
          <w:lang w:val="en-US" w:eastAsia="zh-CN"/>
        </w:rPr>
        <w:t>三</w:t>
      </w:r>
      <w:r>
        <w:rPr>
          <w:rFonts w:hint="eastAsia" w:ascii="宋体" w:eastAsia="宋体" w:cs="宋体"/>
          <w:b/>
          <w:bCs/>
          <w:sz w:val="24"/>
          <w:szCs w:val="24"/>
        </w:rPr>
        <w:t>、招标项目涉及到的现场勘察</w:t>
      </w:r>
    </w:p>
    <w:p>
      <w:pPr>
        <w:snapToGrid w:val="0"/>
        <w:spacing w:line="360" w:lineRule="auto"/>
        <w:ind w:firstLine="480" w:firstLineChars="200"/>
        <w:rPr>
          <w:rFonts w:hint="eastAsia" w:ascii="宋体" w:eastAsia="宋体" w:cs="宋体"/>
          <w:sz w:val="24"/>
          <w:szCs w:val="24"/>
        </w:rPr>
      </w:pPr>
      <w:r>
        <w:rPr>
          <w:rFonts w:hint="eastAsia" w:ascii="宋体" w:eastAsia="宋体" w:cs="宋体"/>
          <w:sz w:val="24"/>
          <w:szCs w:val="24"/>
        </w:rPr>
        <w:t>1、招标文件所提供的项目相关数据仅做参考，根据自身需要，投标人可在投标文件递交日前自行对有关现场和周围环境进行勘察，以获取编制投标文件所需的信息。勘察现场如有费用产生，由投标人自行承担。</w:t>
      </w:r>
    </w:p>
    <w:p>
      <w:pPr>
        <w:snapToGrid w:val="0"/>
        <w:spacing w:line="360" w:lineRule="auto"/>
        <w:ind w:firstLine="480" w:firstLineChars="200"/>
        <w:rPr>
          <w:rFonts w:hint="eastAsia" w:ascii="宋体" w:eastAsia="宋体" w:cs="宋体"/>
          <w:sz w:val="24"/>
          <w:szCs w:val="24"/>
        </w:rPr>
      </w:pPr>
      <w:r>
        <w:rPr>
          <w:rFonts w:hint="eastAsia" w:ascii="宋体" w:eastAsia="宋体" w:cs="宋体"/>
          <w:sz w:val="24"/>
          <w:szCs w:val="24"/>
        </w:rPr>
        <w:t>2、招标人向投标人提供有关现场的资料和数据，是招标人现有的并认为能使投标人可利用的资料。招标人对投标人由此而做出的推论、理解和结论概不负责。</w:t>
      </w:r>
    </w:p>
    <w:p>
      <w:pPr>
        <w:snapToGrid w:val="0"/>
        <w:spacing w:line="360" w:lineRule="auto"/>
        <w:ind w:firstLine="480" w:firstLineChars="200"/>
        <w:rPr>
          <w:rFonts w:hint="eastAsia" w:ascii="宋体" w:eastAsia="宋体" w:cs="宋体"/>
          <w:sz w:val="24"/>
          <w:szCs w:val="24"/>
        </w:rPr>
      </w:pPr>
      <w:r>
        <w:rPr>
          <w:rFonts w:hint="eastAsia" w:ascii="宋体" w:eastAsia="宋体" w:cs="宋体"/>
          <w:sz w:val="24"/>
          <w:szCs w:val="24"/>
        </w:rPr>
        <w:t>3、潜在投标人为投标而勘察项目现场，但不得因此使招标人承担有关的责任和蒙受损失。投标人须承担勘察现场而带来的一切责任及风险。</w:t>
      </w:r>
    </w:p>
    <w:p>
      <w:pPr>
        <w:snapToGrid w:val="0"/>
        <w:spacing w:line="360" w:lineRule="auto"/>
        <w:ind w:firstLine="480" w:firstLineChars="200"/>
        <w:rPr>
          <w:rFonts w:hint="eastAsia" w:ascii="宋体" w:eastAsia="宋体" w:cs="宋体"/>
          <w:sz w:val="24"/>
          <w:szCs w:val="24"/>
        </w:rPr>
      </w:pPr>
      <w:r>
        <w:rPr>
          <w:rFonts w:hint="eastAsia" w:ascii="宋体" w:eastAsia="宋体" w:cs="宋体"/>
          <w:sz w:val="24"/>
          <w:szCs w:val="24"/>
        </w:rPr>
        <w:t>4、投标人应在现场勘察时，熟悉现场及周围交通道路等情况，以获得一切可能影响投标响应内容的直接资料。投标人中标后，不得以不完全了解现场情况为理由而向招标人提出任何索赔的要求，对此招标人不承担任何责任，且不作任何答复。</w:t>
      </w:r>
    </w:p>
    <w:p>
      <w:pPr>
        <w:snapToGrid w:val="0"/>
        <w:spacing w:line="360" w:lineRule="auto"/>
        <w:ind w:firstLine="480" w:firstLineChars="200"/>
        <w:rPr>
          <w:rFonts w:hint="eastAsia" w:ascii="宋体" w:eastAsia="宋体" w:cs="宋体"/>
          <w:bCs/>
          <w:color w:val="auto"/>
          <w:sz w:val="24"/>
          <w:szCs w:val="24"/>
        </w:rPr>
      </w:pPr>
      <w:r>
        <w:rPr>
          <w:rFonts w:hint="eastAsia" w:ascii="宋体" w:eastAsia="宋体" w:cs="宋体"/>
          <w:bCs/>
          <w:sz w:val="24"/>
          <w:szCs w:val="24"/>
        </w:rPr>
        <w:t>5、勘察现场：招标人不组织投标人踏勘现场,投标人可以自行对周围环境进行勘察，作出自己的判断和估价。中标后、签订合同时以及履行合同过程中，投标人均不得以不了解现场情况为由，提出任何形式增加其他费用的要求，因投标人勘察现场不仔细造成的成本费用增加，均由投标人自行承担，结算时不予调整。</w:t>
      </w:r>
    </w:p>
    <w:p>
      <w:pPr>
        <w:snapToGrid w:val="0"/>
        <w:spacing w:line="360" w:lineRule="auto"/>
        <w:ind w:firstLine="480" w:firstLineChars="200"/>
        <w:rPr>
          <w:rFonts w:hint="eastAsia" w:ascii="宋体" w:eastAsia="宋体" w:cs="宋体"/>
          <w:bCs/>
          <w:sz w:val="24"/>
          <w:szCs w:val="24"/>
        </w:rPr>
      </w:pPr>
      <w:r>
        <w:rPr>
          <w:rFonts w:hint="eastAsia" w:ascii="宋体" w:eastAsia="宋体" w:cs="宋体"/>
          <w:bCs/>
          <w:color w:val="auto"/>
          <w:sz w:val="24"/>
          <w:szCs w:val="24"/>
        </w:rPr>
        <w:t>投标人务必自行认真踏勘现场情况，如若对现场情况有疑问，</w:t>
      </w:r>
      <w:r>
        <w:rPr>
          <w:rFonts w:hint="eastAsia" w:ascii="宋体" w:eastAsia="宋体" w:cs="宋体"/>
          <w:bCs/>
          <w:color w:val="auto"/>
          <w:sz w:val="24"/>
          <w:szCs w:val="24"/>
        </w:rPr>
        <w:t>请在</w:t>
      </w:r>
      <w:r>
        <w:rPr>
          <w:rFonts w:hint="eastAsia" w:ascii="宋体" w:eastAsia="宋体" w:cs="宋体"/>
          <w:bCs/>
          <w:color w:val="auto"/>
          <w:sz w:val="24"/>
          <w:szCs w:val="24"/>
          <w:highlight w:val="none"/>
        </w:rPr>
        <w:t>202</w:t>
      </w:r>
      <w:r>
        <w:rPr>
          <w:rFonts w:hint="eastAsia" w:ascii="宋体" w:eastAsia="宋体" w:cs="宋体"/>
          <w:bCs/>
          <w:color w:val="auto"/>
          <w:sz w:val="24"/>
          <w:szCs w:val="24"/>
          <w:highlight w:val="none"/>
          <w:lang w:val="en-US" w:eastAsia="zh-CN"/>
        </w:rPr>
        <w:t>4</w:t>
      </w:r>
      <w:r>
        <w:rPr>
          <w:rFonts w:hint="eastAsia" w:ascii="宋体" w:eastAsia="宋体" w:cs="宋体"/>
          <w:bCs/>
          <w:color w:val="auto"/>
          <w:sz w:val="24"/>
          <w:szCs w:val="24"/>
          <w:highlight w:val="none"/>
        </w:rPr>
        <w:t>年</w:t>
      </w:r>
      <w:r>
        <w:rPr>
          <w:rFonts w:hint="eastAsia" w:ascii="宋体" w:eastAsia="宋体" w:cs="宋体"/>
          <w:bCs/>
          <w:color w:val="auto"/>
          <w:sz w:val="24"/>
          <w:szCs w:val="24"/>
          <w:highlight w:val="none"/>
          <w:lang w:val="en-US" w:eastAsia="zh-CN"/>
        </w:rPr>
        <w:t>7</w:t>
      </w:r>
      <w:r>
        <w:rPr>
          <w:rFonts w:hint="eastAsia" w:ascii="宋体" w:eastAsia="宋体" w:cs="宋体"/>
          <w:bCs/>
          <w:color w:val="auto"/>
          <w:sz w:val="24"/>
          <w:szCs w:val="24"/>
          <w:highlight w:val="none"/>
        </w:rPr>
        <w:t>月</w:t>
      </w:r>
      <w:r>
        <w:rPr>
          <w:rFonts w:hint="eastAsia" w:ascii="宋体" w:eastAsia="宋体" w:cs="宋体"/>
          <w:bCs/>
          <w:color w:val="auto"/>
          <w:sz w:val="24"/>
          <w:szCs w:val="24"/>
          <w:highlight w:val="none"/>
          <w:lang w:val="en-US" w:eastAsia="zh-CN"/>
        </w:rPr>
        <w:t>8</w:t>
      </w:r>
      <w:r>
        <w:rPr>
          <w:rFonts w:hint="eastAsia" w:ascii="宋体" w:eastAsia="宋体" w:cs="宋体"/>
          <w:bCs/>
          <w:color w:val="auto"/>
          <w:sz w:val="24"/>
          <w:szCs w:val="24"/>
          <w:highlight w:val="none"/>
        </w:rPr>
        <w:t>日17时前</w:t>
      </w:r>
      <w:r>
        <w:rPr>
          <w:rFonts w:hint="eastAsia" w:ascii="宋体" w:eastAsia="宋体" w:cs="宋体"/>
          <w:bCs/>
          <w:color w:val="auto"/>
          <w:sz w:val="24"/>
          <w:szCs w:val="24"/>
        </w:rPr>
        <w:t>提出，否则视同认可。一旦中标不得对现场条件提出额</w:t>
      </w:r>
      <w:r>
        <w:rPr>
          <w:rFonts w:hint="eastAsia" w:ascii="宋体" w:eastAsia="宋体" w:cs="宋体"/>
          <w:bCs/>
          <w:color w:val="auto"/>
          <w:sz w:val="24"/>
          <w:szCs w:val="24"/>
        </w:rPr>
        <w:t>外要</w:t>
      </w:r>
      <w:r>
        <w:rPr>
          <w:rFonts w:hint="eastAsia" w:ascii="宋体" w:eastAsia="宋体" w:cs="宋体"/>
          <w:bCs/>
          <w:sz w:val="24"/>
          <w:szCs w:val="24"/>
        </w:rPr>
        <w:t>求，且不得要求增加费用。</w:t>
      </w:r>
    </w:p>
    <w:p>
      <w:pPr>
        <w:snapToGrid w:val="0"/>
        <w:spacing w:line="420" w:lineRule="exact"/>
        <w:ind w:firstLine="472" w:firstLineChars="19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lang w:val="en-US" w:eastAsia="zh-CN"/>
        </w:rPr>
        <w:t>四</w:t>
      </w:r>
      <w:r>
        <w:rPr>
          <w:rFonts w:hint="eastAsia" w:asciiTheme="minorEastAsia" w:hAnsiTheme="minorEastAsia" w:eastAsiaTheme="minorEastAsia"/>
          <w:b/>
          <w:bCs/>
          <w:sz w:val="24"/>
          <w:szCs w:val="24"/>
        </w:rPr>
        <w:t>、投标文件内容</w:t>
      </w:r>
    </w:p>
    <w:p>
      <w:pPr>
        <w:snapToGrid w:val="0"/>
        <w:spacing w:line="420" w:lineRule="exact"/>
        <w:ind w:firstLine="487" w:firstLineChars="202"/>
        <w:outlineLvl w:val="2"/>
        <w:rPr>
          <w:rFonts w:asciiTheme="minorEastAsia" w:hAnsiTheme="minorEastAsia" w:eastAsiaTheme="minorEastAsia"/>
          <w:b/>
          <w:sz w:val="24"/>
          <w:szCs w:val="24"/>
        </w:rPr>
      </w:pPr>
      <w:r>
        <w:rPr>
          <w:rFonts w:asciiTheme="minorEastAsia" w:hAnsiTheme="minorEastAsia" w:eastAsiaTheme="minorEastAsia"/>
          <w:b/>
          <w:sz w:val="24"/>
          <w:szCs w:val="24"/>
        </w:rPr>
        <w:t>A</w:t>
      </w:r>
      <w:r>
        <w:rPr>
          <w:rFonts w:hint="eastAsia" w:asciiTheme="minorEastAsia" w:hAnsiTheme="minorEastAsia" w:eastAsiaTheme="minorEastAsia"/>
          <w:b/>
          <w:sz w:val="24"/>
          <w:szCs w:val="24"/>
        </w:rPr>
        <w:t>、资格后审材料文件</w:t>
      </w:r>
      <w:r>
        <w:rPr>
          <w:rFonts w:hint="eastAsia" w:asciiTheme="minorEastAsia" w:hAnsiTheme="minorEastAsia" w:eastAsiaTheme="minorEastAsia"/>
          <w:sz w:val="24"/>
          <w:szCs w:val="24"/>
        </w:rPr>
        <w:t>（格式参见第八章）</w:t>
      </w:r>
      <w:r>
        <w:rPr>
          <w:rFonts w:hint="eastAsia" w:asciiTheme="minorEastAsia" w:hAnsiTheme="minorEastAsia" w:eastAsiaTheme="minorEastAsia"/>
          <w:b/>
          <w:sz w:val="24"/>
          <w:szCs w:val="24"/>
        </w:rPr>
        <w:t>：</w:t>
      </w:r>
    </w:p>
    <w:p>
      <w:pPr>
        <w:snapToGrid w:val="0"/>
        <w:spacing w:line="420" w:lineRule="exact"/>
        <w:ind w:firstLine="491" w:firstLineChars="205"/>
        <w:rPr>
          <w:rFonts w:asciiTheme="minorEastAsia" w:hAnsiTheme="minorEastAsia" w:eastAsiaTheme="minorEastAsia"/>
          <w:sz w:val="24"/>
          <w:szCs w:val="24"/>
        </w:rPr>
      </w:pPr>
      <w:r>
        <w:rPr>
          <w:rFonts w:hint="eastAsia" w:asciiTheme="minorEastAsia" w:hAnsiTheme="minorEastAsia" w:eastAsiaTheme="minorEastAsia"/>
          <w:sz w:val="24"/>
          <w:szCs w:val="24"/>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招标人有权取消其中标资格，并由该投标人承担由此带来可能的一切责任和损失。</w:t>
      </w:r>
    </w:p>
    <w:p>
      <w:pPr>
        <w:spacing w:line="420" w:lineRule="exact"/>
        <w:ind w:firstLine="484" w:firstLineChars="202"/>
        <w:rPr>
          <w:rFonts w:asciiTheme="minorEastAsia" w:hAnsiTheme="minorEastAsia" w:eastAsiaTheme="minorEastAsia"/>
          <w:b/>
          <w:bCs/>
          <w:sz w:val="24"/>
          <w:szCs w:val="24"/>
        </w:rPr>
      </w:pPr>
      <w:bookmarkStart w:id="2" w:name="_Hlk10361781"/>
      <w:r>
        <w:rPr>
          <w:rFonts w:asciiTheme="minorEastAsia" w:hAnsiTheme="minorEastAsia" w:eastAsiaTheme="minorEastAsia"/>
          <w:sz w:val="24"/>
          <w:szCs w:val="24"/>
        </w:rPr>
        <w:t>1</w:t>
      </w:r>
      <w:r>
        <w:rPr>
          <w:rFonts w:hint="eastAsia" w:asciiTheme="minorEastAsia" w:hAnsiTheme="minorEastAsia" w:eastAsiaTheme="minorEastAsia"/>
          <w:sz w:val="24"/>
          <w:szCs w:val="24"/>
        </w:rPr>
        <w:t>、提供投标人的《企业法人营业执照》（副本）及《税务登记证》（副本）（提供新版“三证合一”企业法人营业执照的除外）原件的复印件（须加盖公章）。</w:t>
      </w:r>
      <w:r>
        <w:rPr>
          <w:rFonts w:hint="eastAsia" w:asciiTheme="minorEastAsia" w:hAnsiTheme="minorEastAsia" w:eastAsiaTheme="minorEastAsia"/>
          <w:b/>
          <w:bCs/>
          <w:sz w:val="24"/>
          <w:szCs w:val="24"/>
        </w:rPr>
        <w:t xml:space="preserve"> </w:t>
      </w:r>
    </w:p>
    <w:p>
      <w:pPr>
        <w:spacing w:line="420" w:lineRule="exact"/>
        <w:ind w:firstLine="484" w:firstLineChars="202"/>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法定代表人参加投标的，必须提供本人身份证原件的复印件（须加盖公章）；非法定代表人参加的，必须提供法定代表人身份证明及其签名或盖章的授权委托书及被委托受权人身份证这3项材料的原件的复印件（须加盖公章）。</w:t>
      </w:r>
    </w:p>
    <w:p>
      <w:pPr>
        <w:spacing w:line="420" w:lineRule="exact"/>
        <w:ind w:firstLine="484" w:firstLineChars="202"/>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3、投标人须为经南通市交通运输局备案的汽车整车维修企业，提供机动车维修企业备案公示截图（须加盖公章）</w:t>
      </w:r>
      <w:r>
        <w:rPr>
          <w:rFonts w:hint="eastAsia" w:asciiTheme="minorEastAsia" w:hAnsiTheme="minorEastAsia" w:eastAsiaTheme="minorEastAsia"/>
          <w:sz w:val="24"/>
          <w:szCs w:val="24"/>
          <w:lang w:eastAsia="zh-CN"/>
        </w:rPr>
        <w:t>。</w:t>
      </w:r>
    </w:p>
    <w:p>
      <w:pPr>
        <w:spacing w:line="420" w:lineRule="exact"/>
        <w:ind w:firstLine="484" w:firstLineChars="202"/>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rPr>
        <w:t>、中标承诺函（须加盖公章）。</w:t>
      </w:r>
    </w:p>
    <w:p>
      <w:pPr>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、投标人还须提供本招标文件第八章投标文件的组成及格式中的“资格后审材料相关格式文件”内的：关于资格文件的声明函、投标人一般情况表。</w:t>
      </w:r>
    </w:p>
    <w:bookmarkEnd w:id="2"/>
    <w:p>
      <w:pPr>
        <w:spacing w:line="420" w:lineRule="exact"/>
        <w:ind w:firstLine="487" w:firstLineChars="202"/>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B、技术标响应文件（格式参见第八章）：</w:t>
      </w:r>
    </w:p>
    <w:p>
      <w:pPr>
        <w:snapToGrid w:val="0"/>
        <w:spacing w:line="420" w:lineRule="exact"/>
        <w:ind w:firstLine="491" w:firstLineChars="205"/>
        <w:rPr>
          <w:rFonts w:asciiTheme="minorEastAsia" w:hAnsiTheme="minorEastAsia" w:eastAsiaTheme="minorEastAsia"/>
          <w:sz w:val="24"/>
          <w:szCs w:val="24"/>
          <w:u w:val="thick" w:color="FF0000"/>
        </w:rPr>
      </w:pPr>
      <w:r>
        <w:rPr>
          <w:rFonts w:hint="eastAsia" w:asciiTheme="minorEastAsia" w:hAnsiTheme="minorEastAsia" w:eastAsiaTheme="minorEastAsia"/>
          <w:sz w:val="24"/>
          <w:szCs w:val="24"/>
        </w:rPr>
        <w:t>【特别提醒】投标人应根据本招标文件第三章“项目需求”提供的主要技术规范，服务要求标准等，仔细阅读并在理解的基础上结合现场踏勘的资料与第四章“评审程序和方法”内的评审细则，编写编制技术标文件。以下技术标文件的内容，不得有缺项或漏项。否则将有可能被视为未实质性响应招标文件要求而作无效投标处理，亦可能直接影响技术标评审的得分。</w:t>
      </w:r>
    </w:p>
    <w:p>
      <w:pPr>
        <w:spacing w:line="420" w:lineRule="exact"/>
        <w:ind w:firstLine="487" w:firstLineChars="202"/>
        <w:outlineLvl w:val="3"/>
        <w:rPr>
          <w:rFonts w:ascii="宋体" w:hAnsi="宋体" w:eastAsia="宋体" w:cs="宋体"/>
          <w:bCs/>
          <w:kern w:val="0"/>
          <w:sz w:val="24"/>
          <w:szCs w:val="24"/>
        </w:rPr>
      </w:pPr>
      <w:r>
        <w:rPr>
          <w:rFonts w:hint="eastAsia" w:asciiTheme="minorEastAsia" w:hAnsiTheme="minorEastAsia" w:eastAsiaTheme="minorEastAsia"/>
          <w:b/>
          <w:sz w:val="24"/>
          <w:szCs w:val="24"/>
        </w:rPr>
        <w:t>1、投标响应函；</w:t>
      </w:r>
    </w:p>
    <w:p>
      <w:pPr>
        <w:spacing w:line="420" w:lineRule="exact"/>
        <w:ind w:firstLine="487" w:firstLineChars="202"/>
        <w:rPr>
          <w:rFonts w:asciiTheme="minorEastAsia" w:hAnsiTheme="minorEastAsia" w:eastAsiaTheme="minorEastAsia"/>
          <w:b/>
          <w:sz w:val="24"/>
          <w:szCs w:val="24"/>
        </w:rPr>
      </w:pPr>
      <w:r>
        <w:rPr>
          <w:rFonts w:hint="eastAsia" w:asciiTheme="minorEastAsia" w:hAnsiTheme="minorEastAsia" w:eastAsiaTheme="minorEastAsia"/>
          <w:b/>
          <w:sz w:val="24"/>
          <w:szCs w:val="24"/>
        </w:rPr>
        <w:t>2、招标文件第四章评审程序和方法要求提交的其它材料</w:t>
      </w:r>
    </w:p>
    <w:p>
      <w:pPr>
        <w:spacing w:line="420" w:lineRule="exact"/>
        <w:ind w:firstLine="487" w:firstLineChars="202"/>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C、价格标响应文件（格式参见第八章）：</w:t>
      </w:r>
    </w:p>
    <w:p>
      <w:pPr>
        <w:spacing w:line="44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特别提醒】价格标响应文件中的报价，包括本招标文件规定涵盖的所有招标范围及相应说明的全部内容及费用。本次招标项目的商务付款方式要求，必须完全响应不得有任何负偏离，且不接受任何意在更改的说明，否则作无效投标处理。投标人中标后如据此提出疑义，不履行签订合同等下一步工作，招标人有权没收其全额投标保证金并取消其中标资格。</w:t>
      </w:r>
    </w:p>
    <w:p>
      <w:pPr>
        <w:numPr>
          <w:ilvl w:val="0"/>
          <w:numId w:val="2"/>
        </w:numPr>
        <w:spacing w:line="420" w:lineRule="exact"/>
        <w:outlineLvl w:val="3"/>
        <w:rPr>
          <w:rFonts w:asciiTheme="minorEastAsia" w:hAnsiTheme="minorEastAsia" w:eastAsiaTheme="minorEastAsia"/>
          <w:sz w:val="24"/>
          <w:szCs w:val="24"/>
        </w:rPr>
      </w:pPr>
      <w:r>
        <w:rPr>
          <w:rFonts w:asciiTheme="minorEastAsia" w:hAnsiTheme="minorEastAsia" w:eastAsiaTheme="minorEastAsia"/>
          <w:sz w:val="24"/>
          <w:szCs w:val="24"/>
        </w:rPr>
        <w:t>投标响应报价总表</w:t>
      </w:r>
      <w:r>
        <w:rPr>
          <w:rFonts w:hint="eastAsia" w:asciiTheme="minorEastAsia" w:hAnsiTheme="minorEastAsia" w:eastAsiaTheme="minorEastAsia"/>
          <w:sz w:val="24"/>
          <w:szCs w:val="24"/>
        </w:rPr>
        <w:t>；</w:t>
      </w:r>
    </w:p>
    <w:p>
      <w:pPr>
        <w:pStyle w:val="76"/>
        <w:rPr>
          <w:rFonts w:eastAsiaTheme="minorEastAsia"/>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投标</w:t>
      </w:r>
      <w:r>
        <w:rPr>
          <w:rFonts w:hint="eastAsia" w:asciiTheme="minorEastAsia" w:hAnsiTheme="minorEastAsia" w:eastAsiaTheme="minorEastAsia"/>
          <w:bCs/>
          <w:sz w:val="24"/>
          <w:szCs w:val="24"/>
        </w:rPr>
        <w:t>报价明细表。</w:t>
      </w:r>
    </w:p>
    <w:p>
      <w:pPr>
        <w:snapToGrid w:val="0"/>
        <w:spacing w:line="420" w:lineRule="exact"/>
        <w:ind w:firstLine="496" w:firstLineChars="20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lang w:val="en-US" w:eastAsia="zh-CN"/>
        </w:rPr>
        <w:t>五</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联合投标：</w:t>
      </w:r>
    </w:p>
    <w:p>
      <w:pPr>
        <w:spacing w:line="420" w:lineRule="exact"/>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本项目不接受联合体投标。</w:t>
      </w:r>
    </w:p>
    <w:p>
      <w:pPr>
        <w:snapToGrid w:val="0"/>
        <w:spacing w:line="420" w:lineRule="exact"/>
        <w:ind w:firstLine="496" w:firstLineChars="206"/>
        <w:outlineLvl w:val="1"/>
        <w:rPr>
          <w:rFonts w:asciiTheme="minorEastAsia" w:hAnsiTheme="minorEastAsia" w:eastAsiaTheme="minorEastAsia"/>
          <w:sz w:val="24"/>
          <w:szCs w:val="24"/>
        </w:rPr>
      </w:pPr>
      <w:r>
        <w:rPr>
          <w:rFonts w:hint="eastAsia" w:asciiTheme="minorEastAsia" w:hAnsiTheme="minorEastAsia" w:eastAsiaTheme="minorEastAsia"/>
          <w:b/>
          <w:bCs/>
          <w:sz w:val="24"/>
          <w:szCs w:val="24"/>
          <w:lang w:val="en-US" w:eastAsia="zh-CN"/>
        </w:rPr>
        <w:t>六</w:t>
      </w:r>
      <w:r>
        <w:rPr>
          <w:rFonts w:hint="eastAsia" w:asciiTheme="minorEastAsia" w:hAnsiTheme="minorEastAsia" w:eastAsiaTheme="minorEastAsia"/>
          <w:b/>
          <w:bCs/>
          <w:sz w:val="24"/>
          <w:szCs w:val="24"/>
        </w:rPr>
        <w:t>、</w:t>
      </w:r>
      <w:r>
        <w:rPr>
          <w:rFonts w:asciiTheme="minorEastAsia" w:hAnsiTheme="minorEastAsia" w:eastAsiaTheme="minorEastAsia"/>
          <w:b/>
          <w:bCs/>
          <w:sz w:val="24"/>
          <w:szCs w:val="24"/>
        </w:rPr>
        <w:t>投标文件的有效期</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1、从投标文件接收截止之日算起，</w:t>
      </w:r>
      <w:r>
        <w:rPr>
          <w:rFonts w:asciiTheme="minorEastAsia" w:hAnsiTheme="minorEastAsia" w:eastAsiaTheme="minorEastAsia"/>
          <w:sz w:val="24"/>
          <w:szCs w:val="24"/>
        </w:rPr>
        <w:t>45个</w:t>
      </w:r>
      <w:r>
        <w:rPr>
          <w:rFonts w:hint="eastAsia" w:asciiTheme="minorEastAsia" w:hAnsiTheme="minorEastAsia" w:eastAsiaTheme="minorEastAsia"/>
          <w:sz w:val="24"/>
          <w:szCs w:val="24"/>
        </w:rPr>
        <w:t>日历天内投标书应保持有效。有效期短于这个规定期限的投标，将被拒绝。</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特殊情况下，招标代理机构可与投标人协商延长投标书的有效期。这种要求和答复都应以书面、传真、或电报的形式进行。同意延长有效期的投标人不能修改投标文件，按本招标文件规定的投标保证金的有效期也相应延长。拒绝接受延期要求的投标人的投标将被拒绝，但投标保证金可退还。</w:t>
      </w:r>
    </w:p>
    <w:p>
      <w:pPr>
        <w:snapToGrid w:val="0"/>
        <w:spacing w:line="420" w:lineRule="exact"/>
        <w:ind w:firstLine="496" w:firstLineChars="206"/>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七</w:t>
      </w:r>
      <w:r>
        <w:rPr>
          <w:rFonts w:hint="eastAsia" w:asciiTheme="minorEastAsia" w:hAnsiTheme="minorEastAsia" w:eastAsiaTheme="minorEastAsia"/>
          <w:b/>
          <w:sz w:val="24"/>
          <w:szCs w:val="24"/>
        </w:rPr>
        <w:t>、投标费用</w:t>
      </w:r>
    </w:p>
    <w:p>
      <w:pPr>
        <w:snapToGrid w:val="0"/>
        <w:spacing w:line="390" w:lineRule="exact"/>
        <w:ind w:firstLine="535" w:firstLineChars="206"/>
        <w:rPr>
          <w:rFonts w:asciiTheme="minorEastAsia" w:hAnsiTheme="minorEastAsia" w:eastAsiaTheme="minorEastAsia"/>
        </w:rPr>
      </w:pPr>
      <w:r>
        <w:rPr>
          <w:rFonts w:hint="eastAsia" w:asciiTheme="minorEastAsia" w:hAnsiTheme="minorEastAsia" w:eastAsiaTheme="minorEastAsia"/>
        </w:rPr>
        <w:t>1、投标人应承担其报名投标项目、编制投标文件以及递交投标文件所涉及的一切费用。无论投标结果如何，招标人对上述费用不负任何责任。</w:t>
      </w:r>
    </w:p>
    <w:p>
      <w:pPr>
        <w:snapToGrid w:val="0"/>
        <w:spacing w:line="420" w:lineRule="exact"/>
        <w:ind w:firstLine="496" w:firstLineChars="206"/>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lang w:val="en-US" w:eastAsia="zh-CN"/>
        </w:rPr>
        <w:t>八</w:t>
      </w:r>
      <w:r>
        <w:rPr>
          <w:rFonts w:hint="eastAsia" w:asciiTheme="minorEastAsia" w:hAnsiTheme="minorEastAsia" w:eastAsiaTheme="minorEastAsia"/>
          <w:b/>
          <w:bCs/>
          <w:sz w:val="24"/>
          <w:szCs w:val="24"/>
        </w:rPr>
        <w:t>、投标报价</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1、本项目不接受任何有选择的报价。</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2、投标报价均以人民币为报价的货币单位。</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、报价表必须加盖投标人公章且必须经法定代表人或被委托受权人签署。</w:t>
      </w:r>
    </w:p>
    <w:p>
      <w:pPr>
        <w:snapToGrid w:val="0"/>
        <w:spacing w:line="420" w:lineRule="exact"/>
        <w:ind w:firstLine="494" w:firstLineChars="206"/>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、报价出现前后不一致的，按照下列规定修正：</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（1）投标文件中报价表（开标一览表）内容与投标文件技术响应中内容明细不一致的，以报价表（开标一览表）为准；</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（2）投标文件中涉及大写金额和小写金额不一致的，以大写金额为准；</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（3）单价金额小数点或者百分比有明显错位的，以报价表（开标一览表）的总价为准，并修改单价；</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（4）总价金额与按单价汇总金额不一致的，以单价金额计算结果为准。</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同时出现两种以上不一致的，按照前款规定的顺序修正。修正后的报价应当由投标人的法定代表人或其授权的代表签字确认后产生约束力，投标人不确认的，其投标无效。</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投标</w:t>
      </w:r>
      <w:r>
        <w:rPr>
          <w:rFonts w:hint="eastAsia" w:asciiTheme="minorEastAsia" w:hAnsiTheme="minorEastAsia" w:eastAsiaTheme="minorEastAsia"/>
          <w:sz w:val="24"/>
          <w:szCs w:val="24"/>
        </w:rPr>
        <w:t>报价总价包括：</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（1）常用配件材料价格必须报全，报价清单详见附件。</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（2）投标报价包含招标文件规定的货物及其配套服务、劳务、运输、仓储、管理、保险、售后服务、利润、税金、政策性文件规定、招标代理费及合同包含的所有风险、责任等各项应有费用。</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、本次公开招标项目仅为一次商务报价，一旦中标即为中标价。</w:t>
      </w:r>
      <w:r>
        <w:rPr>
          <w:rFonts w:hint="eastAsia" w:asciiTheme="minorEastAsia" w:hAnsiTheme="minorEastAsia" w:eastAsiaTheme="minorEastAsia"/>
          <w:sz w:val="24"/>
          <w:szCs w:val="24"/>
        </w:rPr>
        <w:t>除非因特殊原因并经买卖双方协商同意，中标的投标人（以下称中标人）不得再要求追加任何费用。同时，除非合同条款中另有规定，否则，中标人的中标价在合同实施期间不得因市场变化因素而变动。</w:t>
      </w:r>
    </w:p>
    <w:p>
      <w:pPr>
        <w:snapToGrid w:val="0"/>
        <w:spacing w:line="420" w:lineRule="exact"/>
        <w:ind w:firstLine="482" w:firstLineChars="200"/>
        <w:outlineLvl w:val="1"/>
        <w:rPr>
          <w:rFonts w:asciiTheme="minorEastAsia" w:hAnsiTheme="minorEastAsia" w:eastAsiaTheme="minorEastAsia"/>
          <w:b/>
          <w:bCs/>
          <w:sz w:val="24"/>
          <w:szCs w:val="24"/>
          <w:lang w:val="zh-CN"/>
        </w:rPr>
      </w:pPr>
      <w:r>
        <w:rPr>
          <w:rFonts w:hint="eastAsia" w:asciiTheme="minorEastAsia" w:hAnsiTheme="minorEastAsia" w:eastAsiaTheme="minorEastAsia"/>
          <w:b/>
          <w:bCs/>
          <w:sz w:val="24"/>
          <w:szCs w:val="24"/>
          <w:lang w:val="en-US" w:eastAsia="zh-CN"/>
        </w:rPr>
        <w:t>九</w:t>
      </w:r>
      <w:r>
        <w:rPr>
          <w:rFonts w:hint="eastAsia" w:asciiTheme="minorEastAsia" w:hAnsiTheme="minorEastAsia" w:eastAsiaTheme="minorEastAsia"/>
          <w:b/>
          <w:bCs/>
          <w:sz w:val="24"/>
          <w:szCs w:val="24"/>
          <w:lang w:val="zh-CN"/>
        </w:rPr>
        <w:t>、</w:t>
      </w:r>
      <w:r>
        <w:rPr>
          <w:rFonts w:hint="eastAsia" w:asciiTheme="minorEastAsia" w:hAnsiTheme="minorEastAsia" w:eastAsiaTheme="minorEastAsia"/>
          <w:b/>
          <w:bCs/>
          <w:sz w:val="24"/>
          <w:szCs w:val="24"/>
        </w:rPr>
        <w:t>投标</w:t>
      </w:r>
      <w:r>
        <w:rPr>
          <w:rFonts w:hint="eastAsia" w:asciiTheme="minorEastAsia" w:hAnsiTheme="minorEastAsia" w:eastAsiaTheme="minorEastAsia"/>
          <w:b/>
          <w:bCs/>
          <w:sz w:val="24"/>
          <w:szCs w:val="24"/>
          <w:lang w:val="zh-CN"/>
        </w:rPr>
        <w:t>保证金</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1、本项目</w:t>
      </w:r>
      <w:r>
        <w:rPr>
          <w:rFonts w:asciiTheme="minorEastAsia" w:hAnsiTheme="minorEastAsia" w:eastAsiaTheme="minorEastAsia"/>
          <w:sz w:val="24"/>
          <w:szCs w:val="24"/>
        </w:rPr>
        <w:t>投标人须交纳投标保证金</w:t>
      </w:r>
      <w:r>
        <w:rPr>
          <w:rFonts w:hint="eastAsia" w:asciiTheme="minorEastAsia" w:hAnsiTheme="minorEastAsia" w:eastAsiaTheme="minorEastAsia"/>
          <w:sz w:val="24"/>
          <w:szCs w:val="24"/>
          <w:highlight w:val="none"/>
        </w:rPr>
        <w:t>人民币</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0000元整。</w:t>
      </w:r>
    </w:p>
    <w:p>
      <w:pPr>
        <w:pStyle w:val="21"/>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账户名称：中诚智信工程咨询集团股份有限公司</w:t>
      </w:r>
    </w:p>
    <w:p>
      <w:pPr>
        <w:pStyle w:val="21"/>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开户银行：上海浦东发展银行苏州高新技术产业开发区支行</w:t>
      </w:r>
    </w:p>
    <w:p>
      <w:pPr>
        <w:pStyle w:val="21"/>
        <w:ind w:firstLine="482" w:firstLineChars="200"/>
        <w:rPr>
          <w:rFonts w:asciiTheme="minorEastAsia" w:hAnsiTheme="minorEastAsia" w:eastAsiaTheme="minorEastAsia"/>
          <w:sz w:val="24"/>
          <w:szCs w:val="24"/>
        </w:rPr>
      </w:pPr>
      <w:r>
        <w:rPr>
          <w:rFonts w:hint="eastAsia" w:asciiTheme="minorEastAsia" w:hAnsiTheme="minorEastAsia" w:eastAsiaTheme="minorEastAsia"/>
          <w:b/>
          <w:bCs/>
          <w:sz w:val="24"/>
          <w:szCs w:val="24"/>
        </w:rPr>
        <w:t xml:space="preserve">银行账号：89030154740003067    </w:t>
      </w:r>
    </w:p>
    <w:p>
      <w:pPr>
        <w:pStyle w:val="2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注：投标保证金的形式：转账、电汇、网银，银行电子保函、保险电子保函、现金、本票</w:t>
      </w:r>
      <w:r>
        <w:rPr>
          <w:rFonts w:hint="eastAsia" w:asciiTheme="minorEastAsia" w:hAnsiTheme="minorEastAsia" w:eastAsiaTheme="minorEastAsia"/>
          <w:b/>
          <w:bCs/>
          <w:sz w:val="24"/>
          <w:szCs w:val="24"/>
          <w:lang w:eastAsia="zh-CN"/>
        </w:rPr>
        <w:t>、</w:t>
      </w:r>
      <w:r>
        <w:rPr>
          <w:rFonts w:hint="eastAsia" w:ascii="宋体" w:hAnsi="宋体"/>
          <w:b/>
          <w:bCs/>
          <w:sz w:val="24"/>
          <w:lang w:eastAsia="zh-CN"/>
        </w:rPr>
        <w:t>数字人民币</w:t>
      </w:r>
      <w:r>
        <w:rPr>
          <w:rFonts w:hint="eastAsia" w:asciiTheme="minorEastAsia" w:hAnsiTheme="minorEastAsia" w:eastAsiaTheme="minorEastAsia"/>
          <w:b/>
          <w:bCs/>
          <w:sz w:val="24"/>
          <w:szCs w:val="24"/>
        </w:rPr>
        <w:t>等形式。各投标人根据企业实际情况合理选择投标保证金的缴纳形式，各类缴纳形式具有同等法律效力。各投标人必须以企业法人基本存款帐户办理保证金缴纳手续</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lang w:val="en-US" w:eastAsia="zh-CN"/>
        </w:rPr>
        <w:t>现金除外</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rPr>
        <w:t>，否则不予接受。</w:t>
      </w:r>
    </w:p>
    <w:p>
      <w:pPr>
        <w:pStyle w:val="21"/>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别提醒：投标人应当按照规定的时间和方式，及时、足额汇入投标保证金，以保证金到达指定账户的时刻作为有效保证金时限的依据，各投标人应当充分预判因各种因素导致保证金到账的滞后情况，提前做好相关准备。</w:t>
      </w:r>
      <w:r>
        <w:rPr>
          <w:rFonts w:hint="eastAsia" w:ascii="宋体" w:hAnsi="宋体"/>
          <w:b/>
          <w:bCs/>
          <w:sz w:val="24"/>
        </w:rPr>
        <w:t xml:space="preserve"> </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2、不按招标文件要求递交本项目投标保证金的，其投标文件将被招标代理机构将拒绝。</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3、招标人最迟将在与中标人签订合同后5日内，向未中标的投标人和中标人退还投标保证金。</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4、发生下列情况之一，投标保证金将不予退还：</w:t>
      </w:r>
    </w:p>
    <w:p>
      <w:pPr>
        <w:snapToGrid w:val="0"/>
        <w:spacing w:line="420" w:lineRule="exact"/>
        <w:ind w:firstLine="324" w:firstLineChars="135"/>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（1）投标人在提交投标文件截止时间后撤回投标文件的； </w:t>
      </w:r>
    </w:p>
    <w:p>
      <w:pPr>
        <w:snapToGrid w:val="0"/>
        <w:spacing w:line="420" w:lineRule="exact"/>
        <w:ind w:firstLine="324" w:firstLineChars="135"/>
        <w:rPr>
          <w:rFonts w:asciiTheme="minorEastAsia" w:hAnsiTheme="minorEastAsia" w:eastAsiaTheme="minorEastAsia"/>
          <w:sz w:val="24"/>
          <w:szCs w:val="24"/>
        </w:rPr>
      </w:pPr>
      <w:r>
        <w:rPr>
          <w:rFonts w:hint="eastAsia" w:asciiTheme="minorEastAsia" w:hAnsiTheme="minorEastAsia" w:eastAsiaTheme="minorEastAsia"/>
          <w:sz w:val="24"/>
          <w:szCs w:val="24"/>
        </w:rPr>
        <w:t>（2）投标人在投标文件中提供虚假材料的；</w:t>
      </w:r>
    </w:p>
    <w:p>
      <w:pPr>
        <w:snapToGrid w:val="0"/>
        <w:spacing w:line="420" w:lineRule="exact"/>
        <w:ind w:firstLine="324" w:firstLineChars="13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 xml:space="preserve">）投标人与招标人、其他投标人或者招标代理机构恶意串通的； </w:t>
      </w:r>
    </w:p>
    <w:p>
      <w:pPr>
        <w:snapToGrid w:val="0"/>
        <w:spacing w:line="420" w:lineRule="exact"/>
        <w:ind w:firstLine="324" w:firstLineChars="13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 xml:space="preserve">）除因不可抗力或招标文件认可的情形以外，中标人不与招标人签订合同的； </w:t>
      </w:r>
    </w:p>
    <w:p>
      <w:pPr>
        <w:snapToGrid w:val="0"/>
        <w:spacing w:line="420" w:lineRule="exact"/>
        <w:ind w:firstLine="324" w:firstLineChars="135"/>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）投标人在投标过程中有违反有关法律法规的行为；</w:t>
      </w:r>
    </w:p>
    <w:p>
      <w:pPr>
        <w:snapToGrid w:val="0"/>
        <w:spacing w:line="420" w:lineRule="exact"/>
        <w:ind w:firstLine="324" w:firstLineChars="13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）投标人有招标文件规定的其他不予退还投标保证金的情形。</w:t>
      </w:r>
    </w:p>
    <w:p>
      <w:pPr>
        <w:snapToGrid w:val="0"/>
        <w:spacing w:line="420" w:lineRule="exact"/>
        <w:ind w:firstLine="496" w:firstLineChars="206"/>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十、履约保证金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1</w:t>
      </w:r>
      <w:r>
        <w:rPr>
          <w:rFonts w:hint="eastAsia" w:cs="宋体" w:asciiTheme="minorEastAsia" w:hAnsiTheme="minorEastAsia" w:eastAsiaTheme="minorEastAsia"/>
          <w:sz w:val="24"/>
          <w:szCs w:val="24"/>
        </w:rPr>
        <w:t>、本项目的履约保证金为</w:t>
      </w:r>
      <w:r>
        <w:rPr>
          <w:rFonts w:hint="eastAsia" w:cs="宋体" w:asciiTheme="minorEastAsia" w:hAnsiTheme="minorEastAsia" w:eastAsiaTheme="minorEastAsia"/>
          <w:sz w:val="24"/>
          <w:szCs w:val="24"/>
          <w:lang w:val="en-US" w:eastAsia="zh-CN"/>
        </w:rPr>
        <w:t>合同价的10%</w:t>
      </w:r>
      <w:r>
        <w:rPr>
          <w:rFonts w:hint="eastAsia" w:cs="宋体"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、中标供应商的履约保证金须在招标代理通知发中标通知书之日起</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个工作日内汇入招标人账户，中标供应商凭“中标通知书”和已经汇至招标人账上的“履约保证金”凭证，并在招标代理通知发中标通知书之日起</w:t>
      </w:r>
      <w:r>
        <w:rPr>
          <w:rFonts w:hint="eastAsia" w:cs="宋体" w:asciiTheme="minorEastAsia" w:hAnsiTheme="minorEastAsia" w:eastAsiaTheme="minorEastAsia"/>
          <w:sz w:val="24"/>
          <w:szCs w:val="24"/>
          <w:lang w:val="en-US" w:eastAsia="zh-CN"/>
        </w:rPr>
        <w:t>30</w:t>
      </w:r>
      <w:r>
        <w:rPr>
          <w:rFonts w:hint="eastAsia" w:cs="宋体" w:asciiTheme="minorEastAsia" w:hAnsiTheme="minorEastAsia" w:eastAsiaTheme="minorEastAsia"/>
          <w:sz w:val="24"/>
          <w:szCs w:val="24"/>
        </w:rPr>
        <w:t>日内与招标人签订合同。超期则视为自动放弃中标资格，没收投标保证金。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、中标供应商在按要求保质保量的完成该项目合同并通过验收后，招标人凭中标供应商提交的申请，一次性退还该合同项目的履约保证金。</w:t>
      </w:r>
    </w:p>
    <w:p>
      <w:pPr>
        <w:spacing w:line="360" w:lineRule="auto"/>
        <w:ind w:firstLine="480" w:firstLineChars="200"/>
        <w:rPr>
          <w:rFonts w:asciiTheme="minorEastAsia" w:hAnsiTheme="minorEastAsia" w:eastAsiaTheme="minorEastAsia"/>
          <w:sz w:val="24"/>
          <w:szCs w:val="24"/>
        </w:rPr>
      </w:pP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、由于中标供应商原因，在签订合同后出现不按合同履行的情况，招标人有权将履约保证金作为违约金，全额不予退还，同时招标人亦有权终止合同，中标供应商还须承担相应的法律赔偿责任。</w:t>
      </w:r>
    </w:p>
    <w:p>
      <w:pPr>
        <w:snapToGrid w:val="0"/>
        <w:spacing w:line="420" w:lineRule="exact"/>
        <w:ind w:firstLine="496" w:firstLineChars="206"/>
        <w:outlineLvl w:val="1"/>
        <w:rPr>
          <w:rFonts w:asciiTheme="minorEastAsia" w:hAnsiTheme="minorEastAsia" w:eastAsiaTheme="minorEastAsia"/>
          <w:bCs/>
          <w:sz w:val="24"/>
          <w:szCs w:val="24"/>
          <w:lang w:val="zh-CN"/>
        </w:rPr>
      </w:pPr>
      <w:r>
        <w:rPr>
          <w:rFonts w:hint="eastAsia" w:asciiTheme="minorEastAsia" w:hAnsiTheme="minorEastAsia" w:eastAsiaTheme="minorEastAsia"/>
          <w:b/>
          <w:sz w:val="24"/>
          <w:szCs w:val="24"/>
        </w:rPr>
        <w:t>十</w:t>
      </w:r>
      <w:r>
        <w:rPr>
          <w:rFonts w:hint="eastAsia" w:asciiTheme="minorEastAsia" w:hAnsiTheme="minorEastAsia" w:eastAsiaTheme="minorEastAsia"/>
          <w:b/>
          <w:sz w:val="24"/>
          <w:szCs w:val="24"/>
          <w:lang w:val="en-US" w:eastAsia="zh-CN"/>
        </w:rPr>
        <w:t>一</w:t>
      </w:r>
      <w:r>
        <w:rPr>
          <w:rFonts w:hint="eastAsia" w:asciiTheme="minorEastAsia" w:hAnsiTheme="minorEastAsia" w:eastAsiaTheme="minorEastAsia"/>
          <w:b/>
          <w:sz w:val="24"/>
          <w:szCs w:val="24"/>
        </w:rPr>
        <w:t>、付款方式</w:t>
      </w:r>
    </w:p>
    <w:p>
      <w:pPr>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【特别提醒】付款方式不接受负偏离及任何意图改变付款方式的意图表达，否则作无效投标处理。</w:t>
      </w:r>
    </w:p>
    <w:p>
      <w:pPr>
        <w:snapToGrid w:val="0"/>
        <w:spacing w:line="420" w:lineRule="exact"/>
        <w:ind w:firstLine="480" w:firstLineChars="200"/>
        <w:rPr>
          <w:rFonts w:asciiTheme="minorEastAsia" w:hAnsiTheme="minorEastAsia" w:eastAsiaTheme="minorEastAsia"/>
          <w:bCs/>
          <w:sz w:val="24"/>
          <w:szCs w:val="24"/>
          <w:highlight w:val="none"/>
          <w:lang w:val="zh-CN"/>
        </w:rPr>
      </w:pPr>
      <w:r>
        <w:rPr>
          <w:rFonts w:hint="eastAsia" w:asciiTheme="minorEastAsia" w:hAnsiTheme="minorEastAsia" w:eastAsiaTheme="minorEastAsia"/>
          <w:sz w:val="24"/>
          <w:szCs w:val="24"/>
          <w:highlight w:val="none"/>
        </w:rPr>
        <w:t>1、付款方</w:t>
      </w:r>
      <w:r>
        <w:rPr>
          <w:rFonts w:hint="eastAsia" w:asciiTheme="minorEastAsia" w:hAnsiTheme="minorEastAsia" w:eastAsiaTheme="minorEastAsia"/>
          <w:bCs/>
          <w:sz w:val="24"/>
          <w:szCs w:val="24"/>
          <w:highlight w:val="none"/>
          <w:lang w:val="zh-CN"/>
        </w:rPr>
        <w:t>式：</w:t>
      </w:r>
      <w:r>
        <w:rPr>
          <w:rFonts w:hint="eastAsia" w:asciiTheme="minorEastAsia" w:hAnsiTheme="minorEastAsia" w:eastAsiaTheme="minorEastAsia"/>
          <w:kern w:val="0"/>
          <w:sz w:val="24"/>
          <w:szCs w:val="24"/>
          <w:highlight w:val="none"/>
        </w:rPr>
        <w:t>双方按每两个月进行阶段性结算付款，每两个月结束后，该阶段完成的项目内容经甲方验收合格并达到付款条件的</w:t>
      </w:r>
      <w:r>
        <w:rPr>
          <w:rFonts w:asciiTheme="minorEastAsia" w:hAnsiTheme="minorEastAsia" w:eastAsiaTheme="minorEastAsia"/>
          <w:kern w:val="0"/>
          <w:sz w:val="24"/>
          <w:szCs w:val="24"/>
          <w:highlight w:val="none"/>
        </w:rPr>
        <w:t>10</w:t>
      </w:r>
      <w:r>
        <w:rPr>
          <w:rFonts w:hint="eastAsia" w:asciiTheme="minorEastAsia" w:hAnsiTheme="minorEastAsia" w:eastAsiaTheme="minorEastAsia"/>
          <w:kern w:val="0"/>
          <w:sz w:val="24"/>
          <w:szCs w:val="24"/>
          <w:highlight w:val="none"/>
        </w:rPr>
        <w:t>天内，甲方向乙方支付该阶段100%的结算价款，每笔付款之前，乙方应开具合法有效发票；实际收款单位应与合同签订单位一致。</w:t>
      </w:r>
    </w:p>
    <w:p>
      <w:pPr>
        <w:snapToGrid w:val="0"/>
        <w:spacing w:line="420" w:lineRule="exact"/>
        <w:ind w:firstLine="480" w:firstLineChars="200"/>
        <w:rPr>
          <w:rFonts w:asciiTheme="minorEastAsia" w:hAnsiTheme="minorEastAsia" w:eastAsiaTheme="minorEastAsia"/>
          <w:bCs/>
          <w:sz w:val="24"/>
          <w:szCs w:val="24"/>
          <w:lang w:val="zh-CN"/>
        </w:rPr>
      </w:pPr>
      <w:r>
        <w:rPr>
          <w:rFonts w:hint="eastAsia" w:asciiTheme="minorEastAsia" w:hAnsiTheme="minorEastAsia" w:eastAsiaTheme="minorEastAsia"/>
          <w:bCs/>
          <w:sz w:val="24"/>
          <w:szCs w:val="24"/>
          <w:lang w:val="zh-CN"/>
        </w:rPr>
        <w:t>2、最终以双方签订的采购合同内确定的付款结算条款为准。</w:t>
      </w:r>
    </w:p>
    <w:p>
      <w:pPr>
        <w:snapToGrid w:val="0"/>
        <w:spacing w:line="420" w:lineRule="exact"/>
        <w:ind w:firstLine="482" w:firstLineChars="200"/>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十</w:t>
      </w:r>
      <w:r>
        <w:rPr>
          <w:rFonts w:hint="eastAsia" w:asciiTheme="minorEastAsia" w:hAnsiTheme="minorEastAsia" w:eastAsiaTheme="minorEastAsia"/>
          <w:b/>
          <w:sz w:val="24"/>
          <w:szCs w:val="24"/>
          <w:lang w:val="en-US" w:eastAsia="zh-CN"/>
        </w:rPr>
        <w:t>二</w:t>
      </w:r>
      <w:r>
        <w:rPr>
          <w:rFonts w:hint="eastAsia" w:asciiTheme="minorEastAsia" w:hAnsiTheme="minorEastAsia" w:eastAsiaTheme="minorEastAsia"/>
          <w:b/>
          <w:sz w:val="24"/>
          <w:szCs w:val="24"/>
          <w:lang w:val="zh-CN"/>
        </w:rPr>
        <w:t>、服务量的调整及结算方式</w:t>
      </w:r>
    </w:p>
    <w:p>
      <w:pPr>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如因招标人实际需求，采购的服务数量发生变化，中标人须无条件满足招标人要求，确保服务质量；结算时按招标人确认的实际服务量进行结算，项目综合单价不变。</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w:t>
      </w:r>
      <w:r>
        <w:rPr>
          <w:rFonts w:hint="eastAsia" w:asciiTheme="minorEastAsia" w:hAnsiTheme="minorEastAsia" w:eastAsiaTheme="minorEastAsia"/>
          <w:b/>
          <w:sz w:val="24"/>
          <w:szCs w:val="24"/>
          <w:lang w:val="en-US" w:eastAsia="zh-CN"/>
        </w:rPr>
        <w:t>三</w:t>
      </w:r>
      <w:r>
        <w:rPr>
          <w:rFonts w:hint="eastAsia" w:asciiTheme="minorEastAsia" w:hAnsiTheme="minorEastAsia" w:eastAsiaTheme="minorEastAsia"/>
          <w:b/>
          <w:sz w:val="24"/>
          <w:szCs w:val="24"/>
        </w:rPr>
        <w:t>、代理服务费</w:t>
      </w:r>
    </w:p>
    <w:p>
      <w:pPr>
        <w:snapToGrid w:val="0"/>
        <w:spacing w:line="44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1、中标单位中标后向代理公司支付招标代理服务费，招标代理服务费为</w:t>
      </w:r>
      <w:r>
        <w:rPr>
          <w:rFonts w:hint="eastAsia" w:asciiTheme="minorEastAsia" w:hAnsiTheme="minorEastAsia" w:eastAsiaTheme="minorEastAsia"/>
          <w:sz w:val="24"/>
          <w:szCs w:val="24"/>
          <w:highlight w:val="none"/>
          <w:lang w:val="en-US" w:eastAsia="zh-CN"/>
        </w:rPr>
        <w:t>7800</w:t>
      </w:r>
      <w:r>
        <w:rPr>
          <w:rFonts w:hint="eastAsia" w:asciiTheme="minorEastAsia" w:hAnsiTheme="minorEastAsia" w:eastAsiaTheme="minorEastAsia"/>
          <w:sz w:val="24"/>
          <w:szCs w:val="24"/>
          <w:highlight w:val="none"/>
        </w:rPr>
        <w:t>元</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val="en-US" w:eastAsia="zh-CN"/>
        </w:rPr>
        <w:t>评审费按时结算</w:t>
      </w:r>
      <w:r>
        <w:rPr>
          <w:rFonts w:hint="eastAsia" w:asciiTheme="minorEastAsia" w:hAnsiTheme="minorEastAsia" w:eastAsiaTheme="minorEastAsia"/>
          <w:sz w:val="24"/>
          <w:szCs w:val="24"/>
          <w:highlight w:val="none"/>
        </w:rPr>
        <w:t>。</w:t>
      </w:r>
    </w:p>
    <w:p>
      <w:pPr>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2、投标人自行考虑包含在投标总价内的该项费用及风险并将其综合在单价内，不得单列。</w:t>
      </w:r>
    </w:p>
    <w:p>
      <w:pPr>
        <w:snapToGrid w:val="0"/>
        <w:spacing w:line="440" w:lineRule="exact"/>
        <w:ind w:firstLine="480" w:firstLineChars="200"/>
        <w:rPr>
          <w:rFonts w:asciiTheme="minorEastAsia" w:hAnsiTheme="minorEastAsia" w:eastAsiaTheme="minorEastAsia"/>
          <w:sz w:val="21"/>
          <w:szCs w:val="21"/>
        </w:rPr>
      </w:pPr>
      <w:r>
        <w:rPr>
          <w:rFonts w:hint="eastAsia" w:asciiTheme="minorEastAsia" w:hAnsiTheme="minorEastAsia" w:eastAsiaTheme="minorEastAsia"/>
          <w:sz w:val="24"/>
          <w:szCs w:val="24"/>
        </w:rPr>
        <w:t>3、代理服务费应在中标通知书发出时一次性付清。</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十</w:t>
      </w:r>
      <w:r>
        <w:rPr>
          <w:rFonts w:hint="eastAsia" w:asciiTheme="minorEastAsia" w:hAnsiTheme="minorEastAsia" w:eastAsiaTheme="minorEastAsia"/>
          <w:b/>
          <w:sz w:val="24"/>
          <w:szCs w:val="24"/>
          <w:lang w:val="en-US" w:eastAsia="zh-CN"/>
        </w:rPr>
        <w:t>四</w:t>
      </w:r>
      <w:r>
        <w:rPr>
          <w:rFonts w:hint="eastAsia" w:asciiTheme="minorEastAsia" w:hAnsiTheme="minorEastAsia" w:eastAsiaTheme="minorEastAsia"/>
          <w:b/>
          <w:sz w:val="24"/>
          <w:szCs w:val="24"/>
        </w:rPr>
        <w:t>、未尽事宜</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按相关的法律法规执行。</w:t>
      </w:r>
    </w:p>
    <w:p>
      <w:pPr>
        <w:tabs>
          <w:tab w:val="left" w:pos="1050"/>
          <w:tab w:val="right" w:leader="dot" w:pos="9402"/>
        </w:tabs>
        <w:spacing w:before="240" w:beforeLines="100" w:line="600" w:lineRule="exact"/>
        <w:jc w:val="center"/>
        <w:outlineLvl w:val="0"/>
        <w:rPr>
          <w:rFonts w:asciiTheme="minorEastAsia" w:hAnsiTheme="minorEastAsia" w:eastAsiaTheme="minorEastAsia"/>
        </w:rPr>
      </w:pPr>
      <w:bookmarkStart w:id="3" w:name="_Toc363573855"/>
      <w:r>
        <w:rPr>
          <w:rFonts w:asciiTheme="minorEastAsia" w:hAnsiTheme="minorEastAsia" w:eastAsiaTheme="minorEastAsia"/>
          <w:b/>
          <w:w w:val="80"/>
          <w:sz w:val="32"/>
          <w:szCs w:val="32"/>
        </w:rPr>
        <w:br w:type="page"/>
      </w:r>
      <w:r>
        <w:rPr>
          <w:rFonts w:hint="eastAsia" w:asciiTheme="minorEastAsia" w:hAnsiTheme="minorEastAsia" w:eastAsiaTheme="minorEastAsia"/>
          <w:b/>
          <w:w w:val="80"/>
          <w:sz w:val="32"/>
          <w:szCs w:val="32"/>
        </w:rPr>
        <w:t>第三章项目需求</w:t>
      </w:r>
      <w:bookmarkEnd w:id="3"/>
      <w:bookmarkStart w:id="4" w:name="_Toc100273215"/>
      <w:bookmarkStart w:id="5" w:name="_Toc13543213"/>
    </w:p>
    <w:bookmarkEnd w:id="4"/>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一、服务标准及相关要求</w:t>
      </w:r>
    </w:p>
    <w:p>
      <w:pPr>
        <w:spacing w:line="360" w:lineRule="auto"/>
        <w:ind w:firstLine="480" w:firstLineChars="200"/>
        <w:contextualSpacing/>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（一）维修方面的需求</w:t>
      </w:r>
    </w:p>
    <w:p>
      <w:pPr>
        <w:spacing w:line="360" w:lineRule="auto"/>
        <w:ind w:firstLine="480" w:firstLineChars="200"/>
        <w:contextualSpacing/>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1、送修车辆时，汽修厂必须凭我方车辆维修审批表方可修车。</w:t>
      </w:r>
    </w:p>
    <w:p>
      <w:pPr>
        <w:spacing w:line="360" w:lineRule="auto"/>
        <w:ind w:firstLine="480" w:firstLineChars="200"/>
        <w:contextualSpacing/>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2、根据车辆维修审批表的维修要求，对其车辆进行认真检查、维修。如在维修过程中发现其他(维修计划以外的故障，必须及时将情况反映给我方，在取得我方同意后方可继续修理。</w:t>
      </w:r>
    </w:p>
    <w:p>
      <w:pPr>
        <w:spacing w:line="360" w:lineRule="auto"/>
        <w:ind w:firstLine="480" w:firstLineChars="200"/>
        <w:contextualSpacing/>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3、对我方定修车辆对方应以修复为主，能修复的零部件尽量予以修复，确实不能修复或修复不经济的零部件，在征得我方同意后方可更换。</w:t>
      </w:r>
    </w:p>
    <w:p>
      <w:pPr>
        <w:spacing w:line="360" w:lineRule="auto"/>
        <w:ind w:firstLine="480" w:firstLineChars="200"/>
        <w:contextualSpacing/>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4、我方车辆在途中出现故障或由于工作任务的时间性要求，汽修厂应积极组织救援、抢修。</w:t>
      </w:r>
    </w:p>
    <w:p>
      <w:pPr>
        <w:spacing w:line="360" w:lineRule="auto"/>
        <w:ind w:firstLine="480" w:firstLineChars="200"/>
        <w:contextualSpacing/>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车辆出厂前，汽修厂应对车辆进行全面的日常例行检查，并即时修复发现的问题，确保车辆无安全隐患出厂。汽修厂在车辆维修中所领用的材料、辅料及维修工时费，必须经我方驾驶员认可并签名。汽修厂交车时应将车辆维修项目、工时费，所更换的零部件及价格的明细，在我方车辆维修审批表上填写清楚，并签名。然后由我方驾驶员带回，修车更换下来的旧件应退还我方。</w:t>
      </w:r>
    </w:p>
    <w:p>
      <w:pPr>
        <w:spacing w:line="360" w:lineRule="auto"/>
        <w:ind w:firstLine="480" w:firstLineChars="200"/>
        <w:contextualSpacing/>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6、我方驾驶员接车时，应仔细检查竣工车辆，如维修结果符合送修要求、维修费计算合理，方可接车。</w:t>
      </w:r>
    </w:p>
    <w:p>
      <w:pPr>
        <w:spacing w:line="360" w:lineRule="auto"/>
        <w:ind w:firstLine="511" w:firstLineChars="21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7、汽修厂应对其维修质量和更换的零部件质量负责(小修质保期限 1个月或5000公里,二级维护质保期限 4个月或 10000 公里,大修质保期限1 年或 20000 公里)车辆在使用过程中，如因维修中的失误或因更换的零部件的质量问题而造成的责任事故及经济损失，由汽修厂负责承担。</w:t>
      </w:r>
    </w:p>
    <w:p>
      <w:pPr>
        <w:spacing w:line="360" w:lineRule="auto"/>
        <w:ind w:firstLine="511" w:firstLineChars="21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二</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服务方面的需求</w:t>
      </w:r>
    </w:p>
    <w:p>
      <w:pPr>
        <w:spacing w:line="360" w:lineRule="auto"/>
        <w:ind w:firstLine="511" w:firstLineChars="21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1、必须提供 24 小时汽修救援服务，包括省内救援</w:t>
      </w:r>
    </w:p>
    <w:p>
      <w:pPr>
        <w:spacing w:line="360" w:lineRule="auto"/>
        <w:ind w:firstLine="511" w:firstLineChars="21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2、免费提供冬季的出车保障服务</w:t>
      </w:r>
    </w:p>
    <w:p>
      <w:pPr>
        <w:spacing w:line="360" w:lineRule="auto"/>
        <w:ind w:firstLine="511" w:firstLineChars="21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3、由于押运车辆属于特种车辆，为保证车辆准时发车，必须优先安排维修，且保证维修质量，确保行车安全。</w:t>
      </w:r>
    </w:p>
    <w:p>
      <w:pPr>
        <w:spacing w:line="360" w:lineRule="auto"/>
        <w:ind w:firstLine="511" w:firstLineChars="21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4、如车辆在行驶途中遇到故障，必须立即根据故障现象作出响应，安排人员及时维修。</w:t>
      </w:r>
    </w:p>
    <w:p>
      <w:pPr>
        <w:spacing w:line="360" w:lineRule="auto"/>
        <w:ind w:firstLine="511" w:firstLineChars="21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5、免费且提前两个月对需要年检的车辆进行上线检测</w:t>
      </w:r>
    </w:p>
    <w:p>
      <w:pPr>
        <w:spacing w:line="360" w:lineRule="auto"/>
        <w:ind w:firstLine="511" w:firstLineChars="213"/>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免费提供前轮侧滑和四轮定位每年1次；</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themeColor="text1"/>
          <w:sz w:val="24"/>
          <w:lang w:val="en-US" w:eastAsia="zh-CN"/>
        </w:rPr>
        <w:t>7、</w:t>
      </w:r>
      <w:r>
        <w:rPr>
          <w:rFonts w:hint="eastAsia" w:asciiTheme="minorEastAsia" w:hAnsiTheme="minorEastAsia" w:eastAsiaTheme="minorEastAsia" w:cstheme="minorEastAsia"/>
          <w:color w:val="000000" w:themeColor="text1"/>
          <w:sz w:val="24"/>
        </w:rPr>
        <w:t>免费定期检测调整制动、灯光、空调等系统；</w:t>
      </w:r>
    </w:p>
    <w:p>
      <w:pPr>
        <w:spacing w:line="360" w:lineRule="auto"/>
        <w:ind w:firstLine="511" w:firstLineChars="213"/>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免费代理保险索赔及有关事项；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免费提供救援（</w:t>
      </w:r>
      <w:r>
        <w:rPr>
          <w:rFonts w:hint="eastAsia" w:asciiTheme="minorEastAsia" w:hAnsiTheme="minorEastAsia" w:eastAsiaTheme="minorEastAsia" w:cstheme="minorEastAsia"/>
          <w:sz w:val="24"/>
          <w:lang w:val="en-US" w:eastAsia="zh-CN"/>
        </w:rPr>
        <w:t>南通市</w:t>
      </w:r>
      <w:r>
        <w:rPr>
          <w:rFonts w:hint="eastAsia" w:asciiTheme="minorEastAsia" w:hAnsiTheme="minorEastAsia" w:eastAsiaTheme="minorEastAsia" w:cstheme="minorEastAsia"/>
          <w:sz w:val="24"/>
        </w:rPr>
        <w:t>范围免费救援）及上门取送车服务；</w:t>
      </w:r>
    </w:p>
    <w:p>
      <w:pPr>
        <w:spacing w:line="360" w:lineRule="auto"/>
        <w:ind w:firstLine="511" w:firstLineChars="213"/>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免费代办车辆年检（特检）、行驶证变更等服务（费用实报实销）。</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四</w:t>
      </w:r>
      <w:r>
        <w:rPr>
          <w:rFonts w:hint="eastAsia" w:asciiTheme="minorEastAsia" w:hAnsiTheme="minorEastAsia" w:eastAsiaTheme="minorEastAsia" w:cstheme="minorEastAsia"/>
          <w:sz w:val="24"/>
        </w:rPr>
        <w:t>）服务响应：</w:t>
      </w:r>
    </w:p>
    <w:p>
      <w:pPr>
        <w:snapToGrid w:val="0"/>
        <w:spacing w:line="360" w:lineRule="auto"/>
        <w:ind w:firstLine="561"/>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中</w:t>
      </w:r>
      <w:r>
        <w:rPr>
          <w:rFonts w:hint="eastAsia" w:asciiTheme="minorEastAsia" w:hAnsiTheme="minorEastAsia" w:eastAsiaTheme="minorEastAsia" w:cstheme="minorEastAsia"/>
          <w:color w:val="000000" w:themeColor="text1"/>
          <w:sz w:val="24"/>
          <w:lang w:val="en-US" w:eastAsia="zh-CN"/>
        </w:rPr>
        <w:t>标</w:t>
      </w:r>
      <w:r>
        <w:rPr>
          <w:rFonts w:hint="eastAsia" w:asciiTheme="minorEastAsia" w:hAnsiTheme="minorEastAsia" w:eastAsiaTheme="minorEastAsia" w:cstheme="minorEastAsia"/>
          <w:color w:val="000000" w:themeColor="text1"/>
          <w:sz w:val="24"/>
        </w:rPr>
        <w:t>单位须提供上门服务，随叫随到。</w:t>
      </w:r>
    </w:p>
    <w:p>
      <w:pPr>
        <w:snapToGrid w:val="0"/>
        <w:spacing w:line="360" w:lineRule="auto"/>
        <w:ind w:firstLine="561"/>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w:t>
      </w:r>
      <w:r>
        <w:rPr>
          <w:rFonts w:hint="eastAsia" w:asciiTheme="minorEastAsia" w:hAnsiTheme="minorEastAsia" w:eastAsiaTheme="minorEastAsia" w:cstheme="minorEastAsia"/>
          <w:color w:val="000000" w:themeColor="text1"/>
          <w:sz w:val="24"/>
          <w:lang w:val="en-US" w:eastAsia="zh-CN"/>
        </w:rPr>
        <w:t>五</w:t>
      </w:r>
      <w:r>
        <w:rPr>
          <w:rFonts w:hint="eastAsia" w:asciiTheme="minorEastAsia" w:hAnsiTheme="minorEastAsia" w:eastAsiaTheme="minorEastAsia" w:cstheme="minorEastAsia"/>
          <w:color w:val="000000" w:themeColor="text1"/>
          <w:sz w:val="24"/>
        </w:rPr>
        <w:t>）质保承诺：</w:t>
      </w:r>
    </w:p>
    <w:p>
      <w:pPr>
        <w:snapToGrid w:val="0"/>
        <w:spacing w:line="360" w:lineRule="auto"/>
        <w:ind w:firstLine="561"/>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合同有效期内，维修合格出厂车辆的质量保证里程或日期内，因维修质量造成的机械事故和经济损失，由中选单位承担全部责任：大修质保达1年（或50000公里）、二级维护达半年（或20000公里）、小修质保达3个月（或5000公里）。</w:t>
      </w:r>
    </w:p>
    <w:p>
      <w:pPr>
        <w:rPr>
          <w:rFonts w:hAnsi="宋体"/>
          <w:b/>
          <w:bCs/>
          <w:color w:val="0D0D0D"/>
          <w:szCs w:val="21"/>
          <w:highlight w:val="none"/>
        </w:rPr>
      </w:pPr>
    </w:p>
    <w:p>
      <w:pPr>
        <w:rPr>
          <w:rFonts w:asciiTheme="minorEastAsia" w:hAnsiTheme="minorEastAsia" w:eastAsiaTheme="minorEastAsia"/>
          <w:b/>
          <w:bCs/>
          <w:color w:val="0D0D0D"/>
          <w:szCs w:val="21"/>
          <w:highlight w:val="none"/>
        </w:rPr>
      </w:pPr>
      <w:r>
        <w:rPr>
          <w:rFonts w:asciiTheme="minorEastAsia" w:hAnsiTheme="minorEastAsia" w:eastAsiaTheme="minorEastAsia"/>
          <w:b/>
          <w:bCs/>
          <w:color w:val="0D0D0D"/>
          <w:szCs w:val="21"/>
          <w:highlight w:val="none"/>
        </w:rPr>
        <w:t>附：</w:t>
      </w:r>
      <w:r>
        <w:rPr>
          <w:rFonts w:hint="eastAsia" w:asciiTheme="minorEastAsia" w:hAnsiTheme="minorEastAsia" w:eastAsiaTheme="minorEastAsia"/>
          <w:b/>
          <w:bCs/>
          <w:color w:val="0D0D0D"/>
          <w:szCs w:val="21"/>
          <w:highlight w:val="none"/>
          <w:lang w:val="en-US" w:eastAsia="zh-CN"/>
        </w:rPr>
        <w:t>1、</w:t>
      </w:r>
      <w:r>
        <w:rPr>
          <w:rFonts w:asciiTheme="minorEastAsia" w:hAnsiTheme="minorEastAsia" w:eastAsiaTheme="minorEastAsia"/>
          <w:b/>
          <w:bCs/>
          <w:color w:val="0D0D0D"/>
          <w:szCs w:val="21"/>
          <w:highlight w:val="none"/>
        </w:rPr>
        <w:t>汽</w:t>
      </w:r>
      <w:r>
        <w:rPr>
          <w:rFonts w:hint="eastAsia" w:asciiTheme="minorEastAsia" w:hAnsiTheme="minorEastAsia" w:eastAsiaTheme="minorEastAsia"/>
          <w:b/>
          <w:bCs/>
          <w:color w:val="0D0D0D"/>
          <w:szCs w:val="21"/>
          <w:highlight w:val="none"/>
        </w:rPr>
        <w:t>车</w:t>
      </w:r>
      <w:r>
        <w:rPr>
          <w:rFonts w:asciiTheme="minorEastAsia" w:hAnsiTheme="minorEastAsia" w:eastAsiaTheme="minorEastAsia"/>
          <w:b/>
          <w:bCs/>
          <w:color w:val="0D0D0D"/>
          <w:szCs w:val="21"/>
          <w:highlight w:val="none"/>
        </w:rPr>
        <w:t>配件品牌一览表</w:t>
      </w:r>
    </w:p>
    <w:tbl>
      <w:tblPr>
        <w:tblStyle w:val="56"/>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2610"/>
        <w:gridCol w:w="915"/>
        <w:gridCol w:w="1080"/>
        <w:gridCol w:w="2016"/>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常用零配件</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大力士CK-4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嘉实多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机油滤清器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JMC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空气滤芯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JMC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JMC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6PK1700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4PK1000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底置冷凝器总成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CN9C15 19710AB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CN9C15 3N503AB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传动轴（长轴）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CNHC15-4K357-AD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高压共轨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1129700ABYB1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压差传感器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LC19-5H295-AA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高压燃油轨道电磁阀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1129761CATB1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喷油嘴总成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HC1-9K546-AB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尿素泵总成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HN3-5N693-AB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尿素泵底盘线束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CNHC15 14412 SC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江铃原装</w:t>
            </w:r>
          </w:p>
        </w:tc>
      </w:tr>
    </w:tbl>
    <w:p>
      <w:pPr>
        <w:pStyle w:val="76"/>
        <w:ind w:firstLine="0" w:firstLineChars="0"/>
        <w:rPr>
          <w:rFonts w:hint="eastAsia" w:cs="Times New Roman" w:asciiTheme="minorEastAsia" w:hAnsiTheme="minorEastAsia" w:eastAsiaTheme="minorEastAsia"/>
          <w:b/>
          <w:bCs/>
          <w:color w:val="0D0D0D"/>
          <w:kern w:val="2"/>
          <w:sz w:val="26"/>
          <w:szCs w:val="21"/>
          <w:lang w:val="en-US" w:eastAsia="zh-CN" w:bidi="ar-SA"/>
        </w:rPr>
      </w:pPr>
    </w:p>
    <w:p>
      <w:pPr>
        <w:pStyle w:val="76"/>
        <w:numPr>
          <w:ilvl w:val="0"/>
          <w:numId w:val="2"/>
        </w:numPr>
        <w:ind w:left="1182" w:leftChars="0" w:hanging="720" w:firstLineChars="0"/>
        <w:rPr>
          <w:rFonts w:hint="eastAsia" w:cs="Times New Roman" w:asciiTheme="minorEastAsia" w:hAnsiTheme="minorEastAsia" w:eastAsiaTheme="minorEastAsia"/>
          <w:b/>
          <w:bCs/>
          <w:color w:val="0D0D0D"/>
          <w:kern w:val="2"/>
          <w:sz w:val="26"/>
          <w:szCs w:val="21"/>
          <w:lang w:val="en-US" w:eastAsia="zh-CN" w:bidi="ar-SA"/>
        </w:rPr>
      </w:pPr>
      <w:r>
        <w:rPr>
          <w:rFonts w:hint="eastAsia" w:cs="Times New Roman" w:asciiTheme="minorEastAsia" w:hAnsiTheme="minorEastAsia" w:eastAsiaTheme="minorEastAsia"/>
          <w:b/>
          <w:bCs/>
          <w:color w:val="0D0D0D"/>
          <w:kern w:val="2"/>
          <w:sz w:val="26"/>
          <w:szCs w:val="21"/>
          <w:lang w:val="en-US" w:eastAsia="zh-CN" w:bidi="ar-SA"/>
        </w:rPr>
        <w:t>南通市保安服务有限公司车辆统计表</w:t>
      </w:r>
    </w:p>
    <w:p>
      <w:pPr>
        <w:pStyle w:val="76"/>
        <w:numPr>
          <w:ilvl w:val="0"/>
          <w:numId w:val="0"/>
        </w:numPr>
        <w:rPr>
          <w:rFonts w:hint="eastAsia" w:cs="Times New Roman" w:asciiTheme="minorEastAsia" w:hAnsiTheme="minorEastAsia" w:eastAsiaTheme="minorEastAsia"/>
          <w:b/>
          <w:bCs/>
          <w:color w:val="0D0D0D"/>
          <w:kern w:val="2"/>
          <w:sz w:val="26"/>
          <w:szCs w:val="21"/>
          <w:lang w:val="en-US" w:eastAsia="zh-CN" w:bidi="ar-SA"/>
        </w:rPr>
      </w:pPr>
      <w:r>
        <w:rPr>
          <w:rFonts w:hint="eastAsia" w:cs="Times New Roman" w:asciiTheme="minorEastAsia" w:hAnsiTheme="minorEastAsia" w:eastAsiaTheme="minorEastAsia"/>
          <w:b/>
          <w:bCs/>
          <w:color w:val="0D0D0D"/>
          <w:kern w:val="2"/>
          <w:sz w:val="26"/>
          <w:szCs w:val="21"/>
          <w:lang w:val="en-US" w:eastAsia="zh-CN" w:bidi="ar-SA"/>
        </w:rPr>
        <w:t>（1）公务用车</w:t>
      </w:r>
    </w:p>
    <w:tbl>
      <w:tblPr>
        <w:tblStyle w:val="56"/>
        <w:tblpPr w:leftFromText="180" w:rightFromText="180" w:vertAnchor="text" w:horzAnchor="page" w:tblpX="1777" w:tblpY="420"/>
        <w:tblOverlap w:val="never"/>
        <w:tblW w:w="9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5"/>
        <w:gridCol w:w="2545"/>
        <w:gridCol w:w="2363"/>
        <w:gridCol w:w="2147"/>
        <w:gridCol w:w="1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87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shd w:val="clear" w:color="auto" w:fill="auto"/>
              </w:rPr>
            </w:pPr>
            <w:r>
              <w:rPr>
                <w:rFonts w:hint="eastAsia" w:asciiTheme="minorEastAsia" w:hAnsiTheme="minorEastAsia" w:eastAsiaTheme="minorEastAsia" w:cstheme="minorEastAsia"/>
                <w:b/>
                <w:bCs/>
                <w:i w:val="0"/>
                <w:iCs w:val="0"/>
                <w:color w:val="000000"/>
                <w:kern w:val="0"/>
                <w:sz w:val="24"/>
                <w:szCs w:val="24"/>
                <w:u w:val="none"/>
                <w:shd w:val="clear" w:color="auto" w:fill="auto"/>
                <w:lang w:val="en-US" w:eastAsia="zh-CN" w:bidi="ar"/>
              </w:rPr>
              <w:t>编号</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shd w:val="clear" w:color="auto" w:fill="auto"/>
              </w:rPr>
            </w:pPr>
            <w:r>
              <w:rPr>
                <w:rFonts w:hint="eastAsia" w:asciiTheme="minorEastAsia" w:hAnsiTheme="minorEastAsia" w:eastAsiaTheme="minorEastAsia" w:cstheme="minorEastAsia"/>
                <w:b/>
                <w:bCs/>
                <w:i w:val="0"/>
                <w:iCs w:val="0"/>
                <w:color w:val="000000"/>
                <w:kern w:val="0"/>
                <w:sz w:val="24"/>
                <w:szCs w:val="24"/>
                <w:u w:val="none"/>
                <w:shd w:val="clear" w:color="auto" w:fill="auto"/>
                <w:lang w:val="en-US" w:eastAsia="zh-CN" w:bidi="ar"/>
              </w:rPr>
              <w:t>品牌型号</w:t>
            </w:r>
          </w:p>
        </w:tc>
        <w:tc>
          <w:tcPr>
            <w:tcW w:w="2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shd w:val="clear" w:color="auto" w:fill="auto"/>
              </w:rPr>
            </w:pPr>
            <w:r>
              <w:rPr>
                <w:rFonts w:hint="eastAsia" w:asciiTheme="minorEastAsia" w:hAnsiTheme="minorEastAsia" w:eastAsiaTheme="minorEastAsia" w:cstheme="minorEastAsia"/>
                <w:b/>
                <w:bCs/>
                <w:i w:val="0"/>
                <w:iCs w:val="0"/>
                <w:color w:val="000000"/>
                <w:kern w:val="0"/>
                <w:sz w:val="24"/>
                <w:szCs w:val="24"/>
                <w:u w:val="none"/>
                <w:shd w:val="clear" w:color="auto" w:fill="auto"/>
                <w:lang w:val="en-US" w:eastAsia="zh-CN" w:bidi="ar"/>
              </w:rPr>
              <w:t>车辆类型</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shd w:val="clear" w:color="auto" w:fill="auto"/>
              </w:rPr>
            </w:pPr>
            <w:r>
              <w:rPr>
                <w:rFonts w:hint="eastAsia" w:asciiTheme="minorEastAsia" w:hAnsiTheme="minorEastAsia" w:eastAsiaTheme="minorEastAsia" w:cstheme="minorEastAsia"/>
                <w:b/>
                <w:bCs/>
                <w:i w:val="0"/>
                <w:iCs w:val="0"/>
                <w:color w:val="000000"/>
                <w:kern w:val="0"/>
                <w:sz w:val="24"/>
                <w:szCs w:val="24"/>
                <w:u w:val="none"/>
                <w:shd w:val="clear" w:color="auto" w:fill="auto"/>
                <w:lang w:val="en-US" w:eastAsia="zh-CN" w:bidi="ar"/>
              </w:rPr>
              <w:t>注册登记日期</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shd w:val="clear" w:color="auto" w:fill="auto"/>
              </w:rPr>
            </w:pPr>
            <w:r>
              <w:rPr>
                <w:rFonts w:hint="eastAsia" w:asciiTheme="minorEastAsia" w:hAnsiTheme="minorEastAsia" w:eastAsiaTheme="minorEastAsia" w:cstheme="minorEastAsia"/>
                <w:b/>
                <w:bCs/>
                <w:i w:val="0"/>
                <w:iCs w:val="0"/>
                <w:color w:val="000000"/>
                <w:kern w:val="0"/>
                <w:sz w:val="24"/>
                <w:szCs w:val="24"/>
                <w:u w:val="none"/>
                <w:shd w:val="clear" w:color="auto" w:fill="auto"/>
                <w:lang w:val="en-US" w:eastAsia="zh-CN" w:bidi="ar"/>
              </w:rPr>
              <w:t>排气量（升）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875" w:type="dxa"/>
            <w:tcBorders>
              <w:top w:val="single" w:color="000000" w:sz="4" w:space="0"/>
              <w:left w:val="single" w:color="000000" w:sz="8"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54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丰田牌</w:t>
            </w:r>
            <w:r>
              <w:rPr>
                <w:rStyle w:val="379"/>
                <w:rFonts w:hint="eastAsia" w:asciiTheme="minorEastAsia" w:hAnsiTheme="minorEastAsia" w:eastAsiaTheme="minorEastAsia" w:cstheme="minorEastAsia"/>
                <w:sz w:val="24"/>
                <w:szCs w:val="24"/>
                <w:lang w:val="en-US" w:eastAsia="zh-CN" w:bidi="ar"/>
              </w:rPr>
              <w:t>GTM7200EB</w:t>
            </w:r>
          </w:p>
        </w:tc>
        <w:tc>
          <w:tcPr>
            <w:tcW w:w="23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小型轿车</w:t>
            </w:r>
          </w:p>
        </w:tc>
        <w:tc>
          <w:tcPr>
            <w:tcW w:w="21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2011.12.28</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1988ml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875" w:type="dxa"/>
            <w:tcBorders>
              <w:top w:val="single" w:color="000000" w:sz="4" w:space="0"/>
              <w:left w:val="single" w:color="000000" w:sz="8"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54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丰田牌</w:t>
            </w:r>
            <w:r>
              <w:rPr>
                <w:rStyle w:val="379"/>
                <w:rFonts w:hint="eastAsia" w:asciiTheme="minorEastAsia" w:hAnsiTheme="minorEastAsia" w:eastAsiaTheme="minorEastAsia" w:cstheme="minorEastAsia"/>
                <w:sz w:val="24"/>
                <w:szCs w:val="24"/>
                <w:lang w:val="en-US" w:eastAsia="zh-CN" w:bidi="ar"/>
              </w:rPr>
              <w:t>GTM7200EB</w:t>
            </w:r>
          </w:p>
        </w:tc>
        <w:tc>
          <w:tcPr>
            <w:tcW w:w="23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小型轿车</w:t>
            </w:r>
          </w:p>
        </w:tc>
        <w:tc>
          <w:tcPr>
            <w:tcW w:w="21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2011.12.23</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1998ml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875" w:type="dxa"/>
            <w:tcBorders>
              <w:top w:val="single" w:color="000000" w:sz="4" w:space="0"/>
              <w:left w:val="single" w:color="000000" w:sz="8"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54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丰田牌</w:t>
            </w:r>
            <w:r>
              <w:rPr>
                <w:rStyle w:val="379"/>
                <w:rFonts w:hint="eastAsia" w:asciiTheme="minorEastAsia" w:hAnsiTheme="minorEastAsia" w:eastAsiaTheme="minorEastAsia" w:cstheme="minorEastAsia"/>
                <w:sz w:val="24"/>
                <w:szCs w:val="24"/>
                <w:lang w:val="en-US" w:eastAsia="zh-CN" w:bidi="ar"/>
              </w:rPr>
              <w:t>GTM7200EB</w:t>
            </w:r>
          </w:p>
        </w:tc>
        <w:tc>
          <w:tcPr>
            <w:tcW w:w="23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小型轿车</w:t>
            </w:r>
          </w:p>
        </w:tc>
        <w:tc>
          <w:tcPr>
            <w:tcW w:w="21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2011.12.23</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1998ml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875" w:type="dxa"/>
            <w:tcBorders>
              <w:top w:val="single" w:color="000000" w:sz="4" w:space="0"/>
              <w:left w:val="single" w:color="000000" w:sz="8"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54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思域牌</w:t>
            </w:r>
            <w:r>
              <w:rPr>
                <w:rStyle w:val="379"/>
                <w:rFonts w:hint="eastAsia" w:asciiTheme="minorEastAsia" w:hAnsiTheme="minorEastAsia" w:eastAsiaTheme="minorEastAsia" w:cstheme="minorEastAsia"/>
                <w:sz w:val="24"/>
                <w:szCs w:val="24"/>
                <w:lang w:val="en-US" w:eastAsia="zh-CN" w:bidi="ar"/>
              </w:rPr>
              <w:t>DHW7181B</w:t>
            </w:r>
          </w:p>
        </w:tc>
        <w:tc>
          <w:tcPr>
            <w:tcW w:w="23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小型轿车</w:t>
            </w:r>
          </w:p>
        </w:tc>
        <w:tc>
          <w:tcPr>
            <w:tcW w:w="21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2010.04.28</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1799ml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875" w:type="dxa"/>
            <w:tcBorders>
              <w:top w:val="single" w:color="000000" w:sz="4" w:space="0"/>
              <w:left w:val="single" w:color="000000" w:sz="8"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54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思域牌</w:t>
            </w:r>
            <w:r>
              <w:rPr>
                <w:rStyle w:val="379"/>
                <w:rFonts w:hint="eastAsia" w:asciiTheme="minorEastAsia" w:hAnsiTheme="minorEastAsia" w:eastAsiaTheme="minorEastAsia" w:cstheme="minorEastAsia"/>
                <w:sz w:val="24"/>
                <w:szCs w:val="24"/>
                <w:lang w:val="en-US" w:eastAsia="zh-CN" w:bidi="ar"/>
              </w:rPr>
              <w:t>DHW7181B</w:t>
            </w:r>
          </w:p>
        </w:tc>
        <w:tc>
          <w:tcPr>
            <w:tcW w:w="23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小型轿车</w:t>
            </w:r>
          </w:p>
        </w:tc>
        <w:tc>
          <w:tcPr>
            <w:tcW w:w="21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2010.04.29</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1799ml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875" w:type="dxa"/>
            <w:tcBorders>
              <w:top w:val="single" w:color="000000" w:sz="4" w:space="0"/>
              <w:left w:val="single" w:color="000000" w:sz="8"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54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别克牌</w:t>
            </w:r>
            <w:r>
              <w:rPr>
                <w:rStyle w:val="379"/>
                <w:rFonts w:hint="eastAsia" w:asciiTheme="minorEastAsia" w:hAnsiTheme="minorEastAsia" w:eastAsiaTheme="minorEastAsia" w:cstheme="minorEastAsia"/>
                <w:sz w:val="24"/>
                <w:szCs w:val="24"/>
                <w:lang w:val="en-US" w:eastAsia="zh-CN" w:bidi="ar"/>
              </w:rPr>
              <w:t>SGM6531ATA</w:t>
            </w:r>
          </w:p>
        </w:tc>
        <w:tc>
          <w:tcPr>
            <w:tcW w:w="23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小型普通客车</w:t>
            </w:r>
          </w:p>
        </w:tc>
        <w:tc>
          <w:tcPr>
            <w:tcW w:w="21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2014.08.29</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2997ml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875" w:type="dxa"/>
            <w:tcBorders>
              <w:top w:val="single" w:color="000000" w:sz="4" w:space="0"/>
              <w:left w:val="single" w:color="000000" w:sz="8"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54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江铃全顺牌</w:t>
            </w:r>
            <w:r>
              <w:rPr>
                <w:rStyle w:val="379"/>
                <w:rFonts w:hint="eastAsia" w:asciiTheme="minorEastAsia" w:hAnsiTheme="minorEastAsia" w:eastAsiaTheme="minorEastAsia" w:cstheme="minorEastAsia"/>
                <w:sz w:val="24"/>
                <w:szCs w:val="24"/>
                <w:lang w:val="en-US" w:eastAsia="zh-CN" w:bidi="ar"/>
              </w:rPr>
              <w:t>JX6477DA-M</w:t>
            </w:r>
          </w:p>
        </w:tc>
        <w:tc>
          <w:tcPr>
            <w:tcW w:w="23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小型普通客车</w:t>
            </w:r>
          </w:p>
        </w:tc>
        <w:tc>
          <w:tcPr>
            <w:tcW w:w="21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2014.06.30</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2771ml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875" w:type="dxa"/>
            <w:tcBorders>
              <w:top w:val="single" w:color="000000" w:sz="4" w:space="0"/>
              <w:left w:val="single" w:color="000000" w:sz="8"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254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江铃全顺牌</w:t>
            </w:r>
            <w:r>
              <w:rPr>
                <w:rStyle w:val="379"/>
                <w:rFonts w:hint="eastAsia" w:asciiTheme="minorEastAsia" w:hAnsiTheme="minorEastAsia" w:eastAsiaTheme="minorEastAsia" w:cstheme="minorEastAsia"/>
                <w:sz w:val="24"/>
                <w:szCs w:val="24"/>
                <w:lang w:val="en-US" w:eastAsia="zh-CN" w:bidi="ar"/>
              </w:rPr>
              <w:t>JX6477DA-M</w:t>
            </w:r>
          </w:p>
        </w:tc>
        <w:tc>
          <w:tcPr>
            <w:tcW w:w="236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小型普通客车</w:t>
            </w:r>
          </w:p>
        </w:tc>
        <w:tc>
          <w:tcPr>
            <w:tcW w:w="21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2014.06.30</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2711ml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875" w:type="dxa"/>
            <w:tcBorders>
              <w:top w:val="single" w:color="000000" w:sz="4" w:space="0"/>
              <w:left w:val="single" w:color="000000" w:sz="8" w:space="0"/>
              <w:bottom w:val="single" w:color="000000" w:sz="8"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545" w:type="dxa"/>
            <w:tcBorders>
              <w:top w:val="single" w:color="000000" w:sz="4" w:space="0"/>
              <w:left w:val="single" w:color="000000" w:sz="4" w:space="0"/>
              <w:bottom w:val="single" w:color="000000" w:sz="8"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三菱牌</w:t>
            </w:r>
            <w:r>
              <w:rPr>
                <w:rStyle w:val="379"/>
                <w:rFonts w:hint="eastAsia" w:asciiTheme="minorEastAsia" w:hAnsiTheme="minorEastAsia" w:eastAsiaTheme="minorEastAsia" w:cstheme="minorEastAsia"/>
                <w:sz w:val="24"/>
                <w:szCs w:val="24"/>
                <w:lang w:val="en-US" w:eastAsia="zh-CN" w:bidi="ar"/>
              </w:rPr>
              <w:t>DN6460H</w:t>
            </w:r>
          </w:p>
        </w:tc>
        <w:tc>
          <w:tcPr>
            <w:tcW w:w="2363" w:type="dxa"/>
            <w:tcBorders>
              <w:top w:val="single" w:color="000000" w:sz="4" w:space="0"/>
              <w:left w:val="single" w:color="000000" w:sz="4" w:space="0"/>
              <w:bottom w:val="single" w:color="000000" w:sz="8"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小型普通客车</w:t>
            </w:r>
          </w:p>
        </w:tc>
        <w:tc>
          <w:tcPr>
            <w:tcW w:w="2147" w:type="dxa"/>
            <w:tcBorders>
              <w:top w:val="single" w:color="000000" w:sz="4" w:space="0"/>
              <w:left w:val="single" w:color="000000" w:sz="4" w:space="0"/>
              <w:bottom w:val="single" w:color="000000" w:sz="8"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2011.03.11</w:t>
            </w:r>
          </w:p>
        </w:tc>
        <w:tc>
          <w:tcPr>
            <w:tcW w:w="1268" w:type="dxa"/>
            <w:tcBorders>
              <w:top w:val="single" w:color="000000" w:sz="4" w:space="0"/>
              <w:left w:val="single" w:color="000000" w:sz="4" w:space="0"/>
              <w:bottom w:val="single" w:color="000000" w:sz="8"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1977ml</w:t>
            </w:r>
          </w:p>
        </w:tc>
      </w:tr>
    </w:tbl>
    <w:p>
      <w:pPr>
        <w:spacing w:line="590" w:lineRule="exact"/>
        <w:jc w:val="both"/>
        <w:outlineLvl w:val="0"/>
        <w:rPr>
          <w:rFonts w:hint="eastAsia" w:cs="Times New Roman" w:asciiTheme="minorEastAsia" w:hAnsiTheme="minorEastAsia" w:eastAsiaTheme="minorEastAsia"/>
          <w:b/>
          <w:bCs/>
          <w:color w:val="0D0D0D"/>
          <w:kern w:val="2"/>
          <w:sz w:val="26"/>
          <w:szCs w:val="21"/>
          <w:lang w:val="en-US" w:eastAsia="zh-CN" w:bidi="ar-SA"/>
        </w:rPr>
      </w:pPr>
      <w:r>
        <w:rPr>
          <w:rFonts w:hint="eastAsia" w:cs="Times New Roman" w:asciiTheme="minorEastAsia" w:hAnsiTheme="minorEastAsia" w:eastAsiaTheme="minorEastAsia"/>
          <w:b/>
          <w:bCs/>
          <w:color w:val="0D0D0D"/>
          <w:kern w:val="2"/>
          <w:sz w:val="26"/>
          <w:szCs w:val="21"/>
          <w:lang w:val="en-US" w:eastAsia="zh-CN" w:bidi="ar-SA"/>
        </w:rPr>
        <w:t>（2）押运车</w:t>
      </w:r>
    </w:p>
    <w:tbl>
      <w:tblPr>
        <w:tblStyle w:val="56"/>
        <w:tblW w:w="9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2837"/>
        <w:gridCol w:w="2529"/>
        <w:gridCol w:w="2049"/>
        <w:gridCol w:w="1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6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2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品牌型号</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车型</w:t>
            </w: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注册登记日期</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4"/>
                <w:szCs w:val="24"/>
                <w:u w:val="no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排气量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迪马DMT5047XYCAV6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2020.08.11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宝龙牌TBL5048XYCFT3</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2020.07.06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华东CSZ5041XYCB5</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2020.07.21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宝龙牌TBL5048XYCFT3</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2020.07.06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380"/>
                <w:rFonts w:hint="eastAsia" w:asciiTheme="minorEastAsia" w:hAnsiTheme="minorEastAsia" w:eastAsiaTheme="minorEastAsia" w:cstheme="minorEastAsia"/>
                <w:sz w:val="24"/>
                <w:szCs w:val="24"/>
                <w:lang w:val="en-US" w:eastAsia="zh-CN" w:bidi="ar"/>
              </w:rPr>
              <w:t>迪马</w:t>
            </w:r>
            <w:r>
              <w:rPr>
                <w:rFonts w:hint="eastAsia" w:asciiTheme="minorEastAsia" w:hAnsiTheme="minorEastAsia" w:eastAsiaTheme="minorEastAsia" w:cstheme="minorEastAsia"/>
                <w:i w:val="0"/>
                <w:iCs w:val="0"/>
                <w:color w:val="000000"/>
                <w:kern w:val="0"/>
                <w:sz w:val="24"/>
                <w:szCs w:val="24"/>
                <w:u w:val="none"/>
                <w:lang w:val="en-US" w:eastAsia="zh-CN" w:bidi="ar"/>
              </w:rPr>
              <w:t>DMT5047XYCAV6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2020.06.16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华东CSZ5041XYCFB2</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2014.07.31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2014.08.27</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华东CSZ5041XYCFB2</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2014.07.31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迪马DMT5047XYCAV6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2017.11.30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迪马DMT5047XYCAV6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2017.11.30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华东CSZ5041XYCB5</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2019.11.01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迪马DMT5047XYCAV6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2020.08.11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迪马DMT5047XYCAV6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2020.08.10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华东CSZ5041XYCFB2</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2014.07.31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2014.08.21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2014.08.21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华东CSZ5041XYCF2L</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2014.01.16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华东CSZ5041XYCF2L</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2013.11.07</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2014.07.31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2014.07.31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迪马DMT5047XYCAV6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2020.01.06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迪马DMT5047XYCAV6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2020.01.06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宝龙牌TBL5048XYCFT3</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2020.05.13</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Style w:val="380"/>
                <w:rFonts w:hint="eastAsia" w:asciiTheme="minorEastAsia" w:hAnsiTheme="minorEastAsia" w:eastAsiaTheme="minorEastAsia" w:cstheme="minorEastAsia"/>
                <w:sz w:val="24"/>
                <w:szCs w:val="24"/>
                <w:lang w:val="en-US" w:eastAsia="zh-CN" w:bidi="ar"/>
              </w:rPr>
              <w:t>迪马</w:t>
            </w:r>
            <w:r>
              <w:rPr>
                <w:rFonts w:hint="eastAsia" w:asciiTheme="minorEastAsia" w:hAnsiTheme="minorEastAsia" w:eastAsiaTheme="minorEastAsia" w:cstheme="minorEastAsia"/>
                <w:i w:val="0"/>
                <w:iCs w:val="0"/>
                <w:color w:val="000000"/>
                <w:kern w:val="0"/>
                <w:sz w:val="24"/>
                <w:szCs w:val="24"/>
                <w:u w:val="none"/>
                <w:lang w:val="en-US" w:eastAsia="zh-CN" w:bidi="ar"/>
              </w:rPr>
              <w:t>DMT5047XYCAV6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2020.06.16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宝龙牌TBL5048XYCFT3</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2020.05.13</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宝龙牌TBL5048XYCFT3</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2020.05.13</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2015.09.17</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2014.08.21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2014.08.21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华东CSZ5041XYCB5</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2020.07.21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华东CSZ5041XYCB5</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2019.10.30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华东CSZ5041XYCB5</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2019.10.30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华东CSZ5041XYCB5</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2019.10.30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华东CSZ5041XYCB5</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2020.07.21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华东CSZ5041XYCB5</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2020.07.21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迪马DMT5047XYCAV6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2020.08.10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迪马DMT5047XYCAV6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2020.01.07</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迪马DMT5047XYCAV6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2020.01.06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迪马DMT5047XYCAV6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2020.01.07</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华东CSZ5041XYCFB2</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2014.07.31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华东CSZ5041XYCFB2</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2014.07.31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华东CSZ5041XYCB5</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2020.07.21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华东CSZ5041XYCB5</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2020.07.21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2014.08.24</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华东CSZ5041XYCFB2</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2014.07.31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迪马DMT5047XYCAV6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2020.08.10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迪马DMT5047XYCAV6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2020.08.11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迪马DMT5047XYCAV6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2020.08.10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华东CSZ5041XYCF2L</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2014.01.16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迪马DMT5047XYCA6</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2014.08.27</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华东CSZ5041XYCFB2</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2015.09.17</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华东CSZ5041XYCFB2</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2021.02.26</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华东CSZ5041XYCFB2</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2021.03.01</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华东CSZ5041XYCFB2</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2021.03.01</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华东CSZ5041XYCFB2</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2021.03.02</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华东CSZ5041XYCFB2</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2021.03.02</w:t>
            </w:r>
          </w:p>
        </w:tc>
        <w:tc>
          <w:tcPr>
            <w:tcW w:w="12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华东CSZ5041XYCFB2</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2021.02.26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华东CSZ5041XYCFB2</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2021.03.01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华东CSZ5041XYCFB2</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2021.02.26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2021.10.28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2021.10.28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2021.10.28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63</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2021.10.28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64</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2021.10.28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2021.10.28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66</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2021.10.28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67</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2021.10.28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68</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2021.10.28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69</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2021.10.28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宝龙牌TBL5048XYC-AM3</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2022.01.20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71</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宝龙牌TBL5048XYC-AM3</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2022.01.20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72</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宝龙牌TBL5048XYC-AM3</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2022.01.20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73</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宝龙牌TBL5048XYC-AM3</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2022.01.20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74</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宝龙牌TBL5048XYC-AM3</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2022.01.20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迪马牌DMT5047XYCL6-AM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2022.03.21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76</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迪马牌DMT5047XYCL6-AM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2022.03.21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77</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迪马牌DMT5047XYCL6-AM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2022.03.21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78</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迪马牌DMT5047XYCL6-AM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2022.03.21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79</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迪马牌DMT5047XYCL6-AM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2022.03.21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迪马牌DMT5047XYCL6-AM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2022.03.21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81</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迪马牌DMT5047XYCL6-AM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2022.03.21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82</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迪马牌DMT5047XYCL6-AM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2022.03.21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83</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迪马牌DMT5047XYCL6-AM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2022.03.21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84</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迪马牌DMT5047XYCL6-AM</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轻型封闭货车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2022.03.21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85</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宝龙牌TBL5048XYC-AMT6</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小型专用客车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2022.12.20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86</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宝龙牌TBL5048XYC-AMT6</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小型专用客车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2022.12.20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87</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宝龙牌TBL5048XYC-AMT6</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小型专用客车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2022.12.20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88</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华东牌CSZ5040XYC-AMLB6</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小型专用客车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2023.03.14</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89</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华东牌CSZ5040XYC-AMLB6</w:t>
            </w:r>
          </w:p>
        </w:tc>
        <w:tc>
          <w:tcPr>
            <w:tcW w:w="2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小型专用客车</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2023.03.14</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r>
    </w:tbl>
    <w:p>
      <w:pPr>
        <w:pStyle w:val="55"/>
        <w:ind w:left="0" w:leftChars="0" w:firstLine="0" w:firstLineChars="0"/>
        <w:rPr>
          <w:rFonts w:hint="default" w:asciiTheme="minorEastAsia" w:hAnsiTheme="minorEastAsia" w:eastAsiaTheme="minorEastAsia" w:cstheme="minorEastAsia"/>
          <w:b/>
          <w:bCs/>
          <w:kern w:val="2"/>
          <w:sz w:val="24"/>
          <w:lang w:val="en-US" w:eastAsia="zh-CN" w:bidi="ar-SA"/>
        </w:rPr>
      </w:pPr>
      <w:r>
        <w:rPr>
          <w:rFonts w:hint="eastAsia" w:asciiTheme="minorEastAsia" w:hAnsiTheme="minorEastAsia" w:eastAsiaTheme="minorEastAsia" w:cstheme="minorEastAsia"/>
          <w:b/>
          <w:bCs/>
          <w:kern w:val="2"/>
          <w:sz w:val="24"/>
          <w:lang w:val="en-US" w:eastAsia="zh-CN" w:bidi="ar-SA"/>
        </w:rPr>
        <w:t>二、结算方式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在一定范围内，工时按固定总价报价(超出一定幅度后按调价原则进行调整)</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修理、维保更换零部件等按实结算。</w:t>
      </w:r>
    </w:p>
    <w:p>
      <w:pPr>
        <w:pStyle w:val="76"/>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报价时，每年度维修车辆工时按100辆为基数进行报价，年度工时总费用最高限价为人民币35万元，投标报价超过最高限价的为无效投标</w:t>
      </w:r>
      <w:r>
        <w:rPr>
          <w:rFonts w:hint="eastAsia" w:asciiTheme="minorEastAsia" w:hAnsiTheme="minorEastAsia" w:eastAsiaTheme="minorEastAsia" w:cstheme="minorEastAsia"/>
          <w:sz w:val="24"/>
          <w:lang w:eastAsia="zh-CN"/>
        </w:rPr>
        <w:t>。</w:t>
      </w:r>
    </w:p>
    <w:p>
      <w:pPr>
        <w:pStyle w:val="76"/>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实际结算时，年度实际维修数量与报价时约定维修基数</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100辆</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相比较</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超过一定幅度时(该幅度用百分数表示，且由投标单位自报)，年度工时费总</w:t>
      </w:r>
      <w:r>
        <w:rPr>
          <w:rFonts w:hint="eastAsia" w:asciiTheme="minorEastAsia" w:hAnsiTheme="minorEastAsia" w:eastAsiaTheme="minorEastAsia" w:cstheme="minorEastAsia"/>
          <w:sz w:val="24"/>
          <w:lang w:val="en-US" w:eastAsia="zh-CN"/>
        </w:rPr>
        <w:t>价根据实际按比例进行增加或减少。若增加或减少数量在该幅度范围内的，年度工时费总价不予调整。</w:t>
      </w:r>
    </w:p>
    <w:p>
      <w:pPr>
        <w:pStyle w:val="76"/>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例:若2024年度实际维修数量为120辆，工时费中标价为34万元，调幅度值为士5%，则2024年度工时实际收费为:</w:t>
      </w:r>
    </w:p>
    <w:p>
      <w:pPr>
        <w:pStyle w:val="76"/>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100*(1+5%)=105辆，则维修105辆车辆的工时费用为34万元</w:t>
      </w:r>
    </w:p>
    <w:p>
      <w:pPr>
        <w:pStyle w:val="76"/>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超出部分收费:(120-105)*(340000/100)=5.1万元</w:t>
      </w:r>
    </w:p>
    <w:p>
      <w:pPr>
        <w:pStyle w:val="76"/>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则2024年度工时实际收费=34+5.1=39.1万元</w:t>
      </w:r>
    </w:p>
    <w:p>
      <w:pPr>
        <w:pStyle w:val="76"/>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本项目每年前三季度工时费按月结算，支付费用为年度工时总费用/12个月。第4季度待对全年费用进行统算后予以支付(含费用核增、核减部分)修理、维保更换零部件等费用按月按实结算。</w:t>
      </w:r>
    </w:p>
    <w:p>
      <w:pPr>
        <w:pStyle w:val="55"/>
        <w:rPr>
          <w:rFonts w:hint="default"/>
          <w:lang w:val="en-US" w:eastAsia="zh-CN"/>
        </w:rPr>
      </w:pPr>
    </w:p>
    <w:p>
      <w:pPr>
        <w:spacing w:line="420" w:lineRule="exact"/>
        <w:rPr>
          <w:rFonts w:ascii="宋体" w:hAnsi="宋体" w:cs="宋体"/>
          <w:b/>
          <w:bCs/>
          <w:color w:val="000000"/>
          <w:w w:val="80"/>
          <w:sz w:val="44"/>
          <w:szCs w:val="44"/>
        </w:rPr>
      </w:pPr>
      <w:r>
        <w:rPr>
          <w:rFonts w:ascii="宋体" w:hAnsi="宋体" w:cs="宋体"/>
          <w:b/>
          <w:bCs/>
          <w:color w:val="000000"/>
          <w:w w:val="80"/>
          <w:sz w:val="44"/>
          <w:szCs w:val="44"/>
        </w:rPr>
        <w:br w:type="page"/>
      </w: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 xml:space="preserve">第四章  </w:t>
      </w:r>
      <w:bookmarkStart w:id="6" w:name="_Toc182848996"/>
      <w:r>
        <w:rPr>
          <w:rFonts w:hint="eastAsia" w:asciiTheme="minorEastAsia" w:hAnsiTheme="minorEastAsia" w:eastAsiaTheme="minorEastAsia"/>
          <w:b/>
          <w:w w:val="80"/>
          <w:sz w:val="32"/>
          <w:szCs w:val="32"/>
        </w:rPr>
        <w:t>评审程序和方法</w:t>
      </w:r>
    </w:p>
    <w:bookmarkEnd w:id="6"/>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一、评标小组组成</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1、依法成立评标委员会，成员人数为</w:t>
      </w:r>
      <w:r>
        <w:rPr>
          <w:rFonts w:hint="eastAsia" w:asciiTheme="minorEastAsia" w:hAnsiTheme="minorEastAsia" w:eastAsiaTheme="minorEastAsia"/>
          <w:b/>
          <w:sz w:val="24"/>
          <w:szCs w:val="24"/>
          <w:lang w:val="en-US" w:eastAsia="zh-CN"/>
        </w:rPr>
        <w:t>5</w:t>
      </w:r>
      <w:r>
        <w:rPr>
          <w:rFonts w:hint="eastAsia" w:asciiTheme="minorEastAsia" w:hAnsiTheme="minorEastAsia" w:eastAsiaTheme="minorEastAsia"/>
          <w:sz w:val="24"/>
          <w:szCs w:val="24"/>
        </w:rPr>
        <w:t>人或以上单数。</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二、评标小组的职责</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评标小组负责具体的评审事务，并履行以下职责：</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1、审查投标文件是否符合招标文件的要求，并做出评价；</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2、可以要求投标人对投标文件内的有关事项做出解释或澄清；</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3、推荐中标候选人或按次序排列的中标候选人名单；</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4、评标小组成员应当履行下列义务：</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（1）遵纪守法，客观、公正、廉洁地履行职责；</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（2）评标小组成员应当按照客观、公正、审慎的原则，根据招标文件规定的评审程序、评审方法和评审标准进行独立评审。</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（3）评标小组成员应当遵守评审工作纪律，不得泄露评审情况和评审中获悉的商业秘密，对个人的评审意见承担法律责任；</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（4）评审程序中的有关记录由评标小组成员签名，存档备查。</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（5）评标小组成员在评审过程中发现投标人有行贿、提供虚假材料或者串通等违法行为的，应当及时向财政部门报告。</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（6）评标小组成员在评审过程中受到非法干涉的，应当及时向财政、监察等部门举报。</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（7）评标小组成员有义务及责任配合招标人答复投标人提出的质疑，配合财政部门的投诉处理和监督检查工作。</w:t>
      </w:r>
    </w:p>
    <w:p>
      <w:pPr>
        <w:adjustRightInd w:val="0"/>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5、在投标文件的评审、澄清、评价和比较以及授予合同的过程中，投标人对招标人和评标小组成员有施加影响的任何行为，都将取消其中标资格。</w:t>
      </w:r>
    </w:p>
    <w:p>
      <w:pPr>
        <w:adjustRightInd w:val="0"/>
        <w:snapToGrid w:val="0"/>
        <w:spacing w:line="420" w:lineRule="exact"/>
        <w:ind w:firstLine="487" w:firstLineChars="202"/>
        <w:rPr>
          <w:rFonts w:asciiTheme="minorEastAsia" w:hAnsiTheme="minorEastAsia" w:eastAsiaTheme="minorEastAsia"/>
          <w:b/>
          <w:sz w:val="24"/>
          <w:szCs w:val="24"/>
        </w:rPr>
      </w:pPr>
      <w:r>
        <w:rPr>
          <w:rFonts w:hint="eastAsia" w:asciiTheme="minorEastAsia" w:hAnsiTheme="minorEastAsia" w:eastAsiaTheme="minorEastAsia"/>
          <w:b/>
          <w:sz w:val="24"/>
          <w:szCs w:val="24"/>
        </w:rPr>
        <w:t>三、开标</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1、招标代理机构主持开标并记录，及时处理投标人代表提出的询问或者回避申请。</w:t>
      </w:r>
    </w:p>
    <w:p>
      <w:pPr>
        <w:spacing w:line="420" w:lineRule="exact"/>
        <w:ind w:firstLine="480" w:firstLineChars="200"/>
        <w:rPr>
          <w:rFonts w:asciiTheme="minorEastAsia" w:hAnsiTheme="minorEastAsia" w:eastAsiaTheme="minorEastAsia"/>
        </w:rPr>
      </w:pPr>
      <w:r>
        <w:rPr>
          <w:rFonts w:hint="eastAsia" w:asciiTheme="minorEastAsia" w:hAnsiTheme="minorEastAsia" w:eastAsiaTheme="minorEastAsia"/>
          <w:sz w:val="24"/>
          <w:szCs w:val="24"/>
        </w:rPr>
        <w:t>2、投标人不足3家的不得开标。</w:t>
      </w:r>
    </w:p>
    <w:p>
      <w:pPr>
        <w:snapToGrid w:val="0"/>
        <w:spacing w:line="420" w:lineRule="exact"/>
        <w:ind w:firstLine="482" w:firstLineChars="200"/>
        <w:outlineLvl w:val="1"/>
        <w:rPr>
          <w:rFonts w:asciiTheme="minorEastAsia" w:hAnsiTheme="minorEastAsia" w:eastAsiaTheme="minorEastAsia"/>
          <w:b/>
          <w:bCs/>
          <w:sz w:val="24"/>
          <w:szCs w:val="24"/>
        </w:rPr>
      </w:pPr>
      <w:r>
        <w:rPr>
          <w:rFonts w:hint="eastAsia" w:asciiTheme="minorEastAsia" w:hAnsiTheme="minorEastAsia" w:eastAsiaTheme="minorEastAsia"/>
          <w:b/>
          <w:sz w:val="24"/>
          <w:szCs w:val="24"/>
        </w:rPr>
        <w:t>四、评审原则及方法</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、评审程序：资格符合性评审→技术标评审→商务标评审→确定中标候选人</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、本项目采用</w:t>
      </w:r>
      <w:r>
        <w:rPr>
          <w:rFonts w:hint="eastAsia" w:asciiTheme="minorEastAsia" w:hAnsiTheme="minorEastAsia" w:eastAsiaTheme="minorEastAsia"/>
          <w:sz w:val="24"/>
          <w:szCs w:val="24"/>
          <w:u w:val="single"/>
        </w:rPr>
        <w:t xml:space="preserve">  综合评分法  </w:t>
      </w:r>
      <w:r>
        <w:rPr>
          <w:rFonts w:hint="eastAsia" w:asciiTheme="minorEastAsia" w:hAnsiTheme="minorEastAsia" w:eastAsiaTheme="minorEastAsia"/>
          <w:sz w:val="24"/>
          <w:szCs w:val="24"/>
        </w:rPr>
        <w:t>，即指投标文件满足本项目招标文件全部实质性要求，且按照评审因素的量化指标，经评审后得分最高的投标人推荐为中标人的评标方法。</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评标委员会成员：对符合资格的投标人的投标文件进行符合性审查，以确定其是否满足招标文件的实质性要求；按照招标文件中规定的评标方法和标准，对符合性审查合格的投标文件进行技术和商务评估，综合比较与评价。</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、对投标文件的评审判定，只依据投标文件内容本身，不依靠开标后任何外来证明文件。</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、本次项目技术标和价格标评审总分值为100分。评审因素比重如下：</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（1）“技术标分值”占总分值的比重为</w:t>
      </w:r>
      <w:r>
        <w:rPr>
          <w:rFonts w:hint="eastAsia" w:asciiTheme="minorEastAsia" w:hAnsiTheme="minorEastAsia" w:eastAsiaTheme="minorEastAsia"/>
          <w:sz w:val="24"/>
          <w:szCs w:val="24"/>
          <w:u w:val="single"/>
          <w:lang w:val="en-US" w:eastAsia="zh-CN"/>
        </w:rPr>
        <w:t>70</w:t>
      </w:r>
      <w:r>
        <w:rPr>
          <w:rFonts w:hint="eastAsia" w:asciiTheme="minorEastAsia" w:hAnsiTheme="minorEastAsia" w:eastAsiaTheme="minorEastAsia"/>
          <w:sz w:val="24"/>
          <w:szCs w:val="24"/>
          <w:u w:val="single"/>
        </w:rPr>
        <w:t>%（权重）</w:t>
      </w:r>
      <w:r>
        <w:rPr>
          <w:rFonts w:hint="eastAsia" w:asciiTheme="minorEastAsia" w:hAnsiTheme="minorEastAsia" w:eastAsiaTheme="minorEastAsia"/>
          <w:sz w:val="24"/>
          <w:szCs w:val="24"/>
        </w:rPr>
        <w:t>（取小数点后二位）；</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（2）“价格标分值”占总分值的比重为</w:t>
      </w:r>
      <w:r>
        <w:rPr>
          <w:rFonts w:hint="eastAsia" w:asciiTheme="minorEastAsia" w:hAnsiTheme="minorEastAsia" w:eastAsiaTheme="minorEastAsia"/>
          <w:sz w:val="24"/>
          <w:szCs w:val="24"/>
          <w:u w:val="single"/>
          <w:lang w:val="en-US" w:eastAsia="zh-CN"/>
        </w:rPr>
        <w:t>3</w:t>
      </w:r>
      <w:r>
        <w:rPr>
          <w:rFonts w:hint="eastAsia" w:asciiTheme="minorEastAsia" w:hAnsiTheme="minorEastAsia" w:eastAsiaTheme="minorEastAsia"/>
          <w:sz w:val="24"/>
          <w:szCs w:val="24"/>
          <w:u w:val="single"/>
        </w:rPr>
        <w:t>0%（权重）</w:t>
      </w:r>
      <w:r>
        <w:rPr>
          <w:rFonts w:hint="eastAsia" w:asciiTheme="minorEastAsia" w:hAnsiTheme="minorEastAsia" w:eastAsiaTheme="minorEastAsia"/>
          <w:sz w:val="24"/>
          <w:szCs w:val="24"/>
        </w:rPr>
        <w:t>（取小数点后二位）；</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、评标委员会评委独立对每个进入打分程序的有效投标人的投标文件技术部分以打分的形式进行评审和评价（计算结果均四舍五入保留两位小数）。</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、当评标委员会评委为5人以上的，技术分是在去掉一个最高分和一个最低分后均算而成，当评委少于5人（含5人）时，技术分按算术平均值计算，分值小数点后保留两位。</w:t>
      </w:r>
    </w:p>
    <w:p>
      <w:pPr>
        <w:snapToGrid w:val="0"/>
        <w:spacing w:line="420" w:lineRule="exact"/>
        <w:ind w:firstLine="484" w:firstLineChars="202"/>
        <w:rPr>
          <w:rFonts w:asciiTheme="minorEastAsia" w:hAnsiTheme="minorEastAsia" w:eastAsiaTheme="minorEastAsia"/>
          <w:sz w:val="24"/>
          <w:szCs w:val="24"/>
          <w:u w:val="thick" w:color="FF0000"/>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、开启投标人的商务报价标。</w:t>
      </w:r>
    </w:p>
    <w:p>
      <w:pPr>
        <w:snapToGrid w:val="0"/>
        <w:spacing w:line="420" w:lineRule="exact"/>
        <w:ind w:firstLine="484" w:firstLineChars="202"/>
        <w:rPr>
          <w:rFonts w:ascii="宋体" w:hAnsi="宋体" w:eastAsia="宋体" w:cs="宋体"/>
          <w:bCs/>
          <w:kern w:val="0"/>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w:t>
      </w:r>
      <w:r>
        <w:rPr>
          <w:rFonts w:hint="eastAsia" w:ascii="宋体" w:hAnsi="宋体" w:eastAsia="宋体" w:cs="宋体"/>
          <w:bCs/>
          <w:kern w:val="0"/>
          <w:sz w:val="24"/>
          <w:szCs w:val="24"/>
        </w:rPr>
        <w:t>取综合得分（综合得分为技术标得分、商务标得分的总和）第一名的作为第一中标候选人，中标价为其投标报价，如有异议则增补排名靠后的中标候选人替补。综合得分相同，以投标报价低的优先；投标报价也相同的，则由招标人采取现场抽签的方式确定中标候选人。</w:t>
      </w:r>
    </w:p>
    <w:p>
      <w:pPr>
        <w:snapToGrid w:val="0"/>
        <w:spacing w:line="420" w:lineRule="exact"/>
        <w:ind w:firstLine="484" w:firstLineChars="202"/>
        <w:rPr>
          <w:rFonts w:ascii="宋体" w:hAnsi="宋体" w:eastAsia="宋体" w:cs="宋体"/>
          <w:bCs/>
          <w:kern w:val="0"/>
          <w:sz w:val="24"/>
          <w:szCs w:val="24"/>
        </w:rPr>
      </w:pPr>
      <w:r>
        <w:rPr>
          <w:rFonts w:hint="eastAsia" w:ascii="宋体" w:hAnsi="宋体" w:eastAsia="宋体" w:cs="宋体"/>
          <w:bCs/>
          <w:kern w:val="0"/>
          <w:sz w:val="24"/>
          <w:szCs w:val="24"/>
          <w:lang w:val="en-US" w:eastAsia="zh-CN"/>
        </w:rPr>
        <w:t>10</w:t>
      </w:r>
      <w:r>
        <w:rPr>
          <w:rFonts w:hint="eastAsia" w:ascii="宋体" w:hAnsi="宋体" w:eastAsia="宋体" w:cs="宋体"/>
          <w:bCs/>
          <w:kern w:val="0"/>
          <w:sz w:val="24"/>
          <w:szCs w:val="24"/>
        </w:rPr>
        <w:t>、本项目第一名中标候选人原则上为中标人。当标候选人放弃中标、因不可抗力等原因不能履行合同或者被查实存在影响中标结果的违法行为等情形，不符合中标条件的，招标人可以按照评标委员会提出的中标候选人名单排序依次确定其他中标候选人为中标人，也可以重新招标。</w:t>
      </w:r>
    </w:p>
    <w:p>
      <w:pPr>
        <w:pStyle w:val="21"/>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五、评审因素</w:t>
      </w:r>
    </w:p>
    <w:p>
      <w:pPr>
        <w:adjustRightInd w:val="0"/>
        <w:snapToGrid w:val="0"/>
        <w:spacing w:line="440" w:lineRule="exact"/>
        <w:outlineLvl w:val="4"/>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（一）技术标评审：（</w:t>
      </w:r>
      <w:r>
        <w:rPr>
          <w:rFonts w:hint="eastAsia" w:asciiTheme="minorEastAsia" w:hAnsiTheme="minorEastAsia" w:eastAsiaTheme="minorEastAsia"/>
          <w:b/>
          <w:sz w:val="24"/>
          <w:szCs w:val="24"/>
          <w:lang w:val="en-US" w:eastAsia="zh-CN"/>
        </w:rPr>
        <w:t>70</w:t>
      </w:r>
      <w:r>
        <w:rPr>
          <w:rFonts w:hint="eastAsia" w:asciiTheme="minorEastAsia" w:hAnsiTheme="minorEastAsia" w:eastAsiaTheme="minorEastAsia"/>
          <w:b/>
          <w:sz w:val="24"/>
          <w:szCs w:val="24"/>
        </w:rPr>
        <w:t>分）</w:t>
      </w:r>
    </w:p>
    <w:tbl>
      <w:tblPr>
        <w:tblStyle w:val="56"/>
        <w:tblW w:w="87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
        <w:gridCol w:w="1921"/>
        <w:gridCol w:w="1242"/>
        <w:gridCol w:w="4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序号 </w:t>
            </w:r>
          </w:p>
        </w:tc>
        <w:tc>
          <w:tcPr>
            <w:tcW w:w="1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评分点名称 </w:t>
            </w:r>
          </w:p>
        </w:tc>
        <w:tc>
          <w:tcPr>
            <w:tcW w:w="12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分值</w:t>
            </w:r>
          </w:p>
        </w:tc>
        <w:tc>
          <w:tcPr>
            <w:tcW w:w="49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企业现有维修技术人员配置情况</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6</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color w:val="000000"/>
                <w:kern w:val="0"/>
                <w:sz w:val="24"/>
                <w:szCs w:val="24"/>
                <w:highlight w:val="none"/>
              </w:rPr>
              <w:t>（</w:t>
            </w:r>
            <w:r>
              <w:rPr>
                <w:rFonts w:hint="eastAsia" w:asciiTheme="minorEastAsia" w:hAnsiTheme="minorEastAsia" w:eastAsiaTheme="minorEastAsia" w:cstheme="minorEastAsia"/>
                <w:color w:val="000000"/>
                <w:kern w:val="0"/>
                <w:sz w:val="24"/>
                <w:szCs w:val="24"/>
                <w:highlight w:val="none"/>
                <w:lang w:val="en-US" w:eastAsia="zh-CN"/>
              </w:rPr>
              <w:t>1</w:t>
            </w:r>
            <w:r>
              <w:rPr>
                <w:rFonts w:hint="eastAsia" w:asciiTheme="minorEastAsia" w:hAnsiTheme="minorEastAsia" w:eastAsiaTheme="minorEastAsia" w:cstheme="minorEastAsia"/>
                <w:color w:val="000000"/>
                <w:kern w:val="0"/>
                <w:sz w:val="24"/>
                <w:szCs w:val="24"/>
                <w:highlight w:val="none"/>
              </w:rPr>
              <w:t>）汽修技术人员具有中级或以上职称的每有一人得1分，最高得3分；</w:t>
            </w:r>
            <w:r>
              <w:rPr>
                <w:rFonts w:hint="eastAsia" w:asciiTheme="minorEastAsia" w:hAnsiTheme="minorEastAsia" w:eastAsiaTheme="minorEastAsia" w:cstheme="minorEastAsia"/>
                <w:color w:val="000000"/>
                <w:kern w:val="0"/>
                <w:sz w:val="24"/>
                <w:szCs w:val="24"/>
                <w:highlight w:val="none"/>
              </w:rPr>
              <w:br w:type="textWrapping"/>
            </w:r>
            <w:r>
              <w:rPr>
                <w:rFonts w:hint="eastAsia" w:asciiTheme="minorEastAsia" w:hAnsiTheme="minorEastAsia" w:eastAsiaTheme="minorEastAsia" w:cstheme="minorEastAsia"/>
                <w:color w:val="000000"/>
                <w:kern w:val="0"/>
                <w:sz w:val="24"/>
                <w:szCs w:val="24"/>
                <w:highlight w:val="none"/>
              </w:rPr>
              <w:t>（2）</w:t>
            </w:r>
            <w:r>
              <w:rPr>
                <w:rFonts w:hint="eastAsia" w:ascii="宋体" w:hAnsi="宋体" w:eastAsia="宋体" w:cs="宋体"/>
                <w:color w:val="000000"/>
                <w:kern w:val="0"/>
                <w:sz w:val="24"/>
                <w:szCs w:val="24"/>
                <w:highlight w:val="none"/>
              </w:rPr>
              <w:t>维修人员具备由劳动和社会保障部门颁发的技能证书，每提供一个技能证书得1</w:t>
            </w:r>
            <w:r>
              <w:rPr>
                <w:rFonts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rPr>
              <w:t>分</w:t>
            </w:r>
            <w:r>
              <w:rPr>
                <w:rFonts w:hint="eastAsia" w:asciiTheme="minorEastAsia" w:hAnsiTheme="minorEastAsia" w:eastAsiaTheme="minorEastAsia" w:cstheme="minorEastAsia"/>
                <w:color w:val="000000"/>
                <w:kern w:val="0"/>
                <w:sz w:val="24"/>
                <w:szCs w:val="24"/>
                <w:highlight w:val="none"/>
              </w:rPr>
              <w:t>，最高得3分。</w:t>
            </w:r>
            <w:r>
              <w:rPr>
                <w:rFonts w:hint="eastAsia" w:asciiTheme="minorEastAsia" w:hAnsiTheme="minorEastAsia" w:eastAsiaTheme="minorEastAsia" w:cstheme="minorEastAsia"/>
                <w:color w:val="000000"/>
                <w:kern w:val="0"/>
                <w:sz w:val="24"/>
                <w:szCs w:val="24"/>
                <w:highlight w:val="none"/>
              </w:rPr>
              <w:br w:type="textWrapping"/>
            </w:r>
            <w:r>
              <w:rPr>
                <w:rFonts w:hint="eastAsia" w:asciiTheme="minorEastAsia" w:hAnsiTheme="minorEastAsia" w:eastAsiaTheme="minorEastAsia" w:cstheme="minorEastAsia"/>
                <w:color w:val="000000"/>
                <w:kern w:val="0"/>
                <w:sz w:val="24"/>
                <w:szCs w:val="24"/>
                <w:highlight w:val="none"/>
              </w:rPr>
              <w:t>本项最高6分。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汽车维修设备</w:t>
            </w:r>
          </w:p>
        </w:tc>
        <w:tc>
          <w:tcPr>
            <w:tcW w:w="12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color w:val="000000"/>
                <w:kern w:val="0"/>
                <w:sz w:val="24"/>
                <w:szCs w:val="24"/>
                <w:highlight w:val="none"/>
              </w:rPr>
              <w:t>13</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color w:val="000000"/>
                <w:kern w:val="0"/>
                <w:sz w:val="24"/>
                <w:szCs w:val="24"/>
                <w:highlight w:val="none"/>
              </w:rPr>
              <w:t>具有</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）举升机</w:t>
            </w:r>
            <w:r>
              <w:rPr>
                <w:rFonts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rPr>
              <w:t>台（其中四柱举升机≧</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台）；（</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）总成吊装设备；（</w:t>
            </w:r>
            <w:r>
              <w:rPr>
                <w:rFonts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rPr>
              <w:t>）喷燃油系统清洗设备；（</w:t>
            </w:r>
            <w:r>
              <w:rPr>
                <w:rFonts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rPr>
              <w:t>）发动机检测诊断设备；（</w:t>
            </w:r>
            <w:r>
              <w:rPr>
                <w:rFonts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rPr>
              <w:t>）轮胎动平衡设备；（</w:t>
            </w:r>
            <w:r>
              <w:rPr>
                <w:rFonts w:ascii="宋体" w:hAnsi="宋体" w:eastAsia="宋体" w:cs="宋体"/>
                <w:color w:val="000000"/>
                <w:kern w:val="0"/>
                <w:sz w:val="24"/>
                <w:szCs w:val="24"/>
                <w:highlight w:val="none"/>
              </w:rPr>
              <w:t>6</w:t>
            </w:r>
            <w:r>
              <w:rPr>
                <w:rFonts w:hint="eastAsia" w:ascii="宋体" w:hAnsi="宋体" w:eastAsia="宋体" w:cs="宋体"/>
                <w:color w:val="000000"/>
                <w:kern w:val="0"/>
                <w:sz w:val="24"/>
                <w:szCs w:val="24"/>
                <w:highlight w:val="none"/>
              </w:rPr>
              <w:t>）轮胎拆装设备；（</w:t>
            </w:r>
            <w:r>
              <w:rPr>
                <w:rFonts w:ascii="宋体" w:hAnsi="宋体" w:eastAsia="宋体" w:cs="宋体"/>
                <w:color w:val="000000"/>
                <w:kern w:val="0"/>
                <w:sz w:val="24"/>
                <w:szCs w:val="24"/>
                <w:highlight w:val="none"/>
              </w:rPr>
              <w:t>7</w:t>
            </w:r>
            <w:r>
              <w:rPr>
                <w:rFonts w:hint="eastAsia" w:ascii="宋体" w:hAnsi="宋体" w:eastAsia="宋体" w:cs="宋体"/>
                <w:color w:val="000000"/>
                <w:kern w:val="0"/>
                <w:sz w:val="24"/>
                <w:szCs w:val="24"/>
                <w:highlight w:val="none"/>
              </w:rPr>
              <w:t>）制动检测台；（</w:t>
            </w:r>
            <w:r>
              <w:rPr>
                <w:rFonts w:ascii="宋体" w:hAnsi="宋体" w:eastAsia="宋体" w:cs="宋体"/>
                <w:color w:val="000000"/>
                <w:kern w:val="0"/>
                <w:sz w:val="24"/>
                <w:szCs w:val="24"/>
                <w:highlight w:val="none"/>
              </w:rPr>
              <w:t>8</w:t>
            </w:r>
            <w:r>
              <w:rPr>
                <w:rFonts w:hint="eastAsia" w:ascii="宋体" w:hAnsi="宋体" w:eastAsia="宋体" w:cs="宋体"/>
                <w:color w:val="000000"/>
                <w:kern w:val="0"/>
                <w:sz w:val="24"/>
                <w:szCs w:val="24"/>
                <w:highlight w:val="none"/>
              </w:rPr>
              <w:t>）测滑试验台；（</w:t>
            </w:r>
            <w:r>
              <w:rPr>
                <w:rFonts w:ascii="宋体" w:hAnsi="宋体" w:eastAsia="宋体" w:cs="宋体"/>
                <w:color w:val="000000"/>
                <w:kern w:val="0"/>
                <w:sz w:val="24"/>
                <w:szCs w:val="24"/>
                <w:highlight w:val="none"/>
              </w:rPr>
              <w:t>9</w:t>
            </w:r>
            <w:r>
              <w:rPr>
                <w:rFonts w:hint="eastAsia" w:ascii="宋体" w:hAnsi="宋体" w:eastAsia="宋体" w:cs="宋体"/>
                <w:color w:val="000000"/>
                <w:kern w:val="0"/>
                <w:sz w:val="24"/>
                <w:szCs w:val="24"/>
                <w:highlight w:val="none"/>
              </w:rPr>
              <w:t>）环保喷烤漆房和喷漆设备；；（10）前照灯检测仪；（</w:t>
            </w: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1）排气分析仪（</w:t>
            </w: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2）车身校正设备；（</w:t>
            </w:r>
            <w:r>
              <w:rPr>
                <w:rFonts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rPr>
              <w:t>3）抢修服务车</w:t>
            </w:r>
            <w:r>
              <w:rPr>
                <w:rFonts w:hint="eastAsia" w:asciiTheme="minorEastAsia" w:hAnsiTheme="minorEastAsia" w:eastAsiaTheme="minorEastAsia" w:cstheme="minorEastAsia"/>
                <w:color w:val="000000"/>
                <w:kern w:val="0"/>
                <w:sz w:val="24"/>
                <w:szCs w:val="24"/>
                <w:highlight w:val="none"/>
              </w:rPr>
              <w:t>，以上每有一个得1分，本项最高得13分。（设备须填列在《维修设备一览表》（格式见附件）中均需提供维修设备的清单或实物照片），同时现有设备均需提供设备采购的发票，提供复印件加盖公章；满足要求按得分点给分，如未按要求提供，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质量保证措施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rPr>
              <w:t>6</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rPr>
              <w:t>投标单位的质量保障期限，大修质保达1年（或50000公里）、二级维护达半年（或20000公里）、小修质保达3个月（或5000公里），符合一项得2分，最多得6分。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服务方案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rPr>
              <w:t>30</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0"/>
                <w:sz w:val="24"/>
                <w:szCs w:val="24"/>
                <w:highlight w:val="none"/>
              </w:rPr>
              <w:t>（1）基本服务方案（15分）：根据投标人的业务流程管理、修理场所管理、各项规章制度、专项管理的内容经横向比较后综合给分；优11-15分，良6-10分，一般0-5分。</w:t>
            </w:r>
            <w:r>
              <w:rPr>
                <w:rFonts w:hint="eastAsia" w:asciiTheme="minorEastAsia" w:hAnsiTheme="minorEastAsia" w:eastAsiaTheme="minorEastAsia" w:cstheme="minorEastAsia"/>
                <w:color w:val="000000"/>
                <w:kern w:val="0"/>
                <w:sz w:val="24"/>
                <w:szCs w:val="24"/>
                <w:highlight w:val="none"/>
              </w:rPr>
              <w:br w:type="textWrapping"/>
            </w:r>
            <w:r>
              <w:rPr>
                <w:rFonts w:hint="eastAsia" w:asciiTheme="minorEastAsia" w:hAnsiTheme="minorEastAsia" w:eastAsiaTheme="minorEastAsia" w:cstheme="minorEastAsia"/>
                <w:color w:val="000000"/>
                <w:kern w:val="0"/>
                <w:sz w:val="24"/>
                <w:szCs w:val="24"/>
                <w:highlight w:val="none"/>
              </w:rPr>
              <w:t>（2）特色服务方案（15分）：根据投标人提供的其它特色服务（含服务范围、紧急救援时间、措施、清障车等情况）方案内容经横向比较后酌情给分；优11-15分，良6-10分，一般0-5分。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企业经营面积、环境及位置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49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企业经营面积、环境：以投标人提供的单位产权证复印件或租赁协议书复印件以及投标人企业环境照片或图文简介为准，未提供不得分。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a.面积以500平米为基准得3分，每多100平米加1分，最高得5分。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b.根据投标人提供的企业环境进行横向比较；设施齐全，干净整洁，停车位多为优得8-10分，设施较为齐全、环境较干净整洁、停车位较多为良得5-7分，设施不够齐全，环境整洁度一般，停车位不足为一般得0-4分。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8799"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注：若投标人为连锁企业，则本项目商务技术标内容中，涉及到企业现有维修技术人员配置情况、汽车维修设备、企业资质、企业信誉等分享内容，均必须是所在地为南通市区（崇川区、开发区）的投标企业所具备。</w:t>
            </w:r>
          </w:p>
        </w:tc>
      </w:tr>
    </w:tbl>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482" w:leftChars="0" w:firstLine="482" w:firstLineChars="0"/>
        <w:textAlignment w:val="auto"/>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价格标评分：（</w:t>
      </w:r>
      <w:r>
        <w:rPr>
          <w:rFonts w:hint="eastAsia" w:asciiTheme="minorEastAsia" w:hAnsiTheme="minorEastAsia" w:eastAsiaTheme="minorEastAsia"/>
          <w:b/>
          <w:sz w:val="24"/>
          <w:szCs w:val="24"/>
          <w:lang w:val="en-US" w:eastAsia="zh-CN"/>
        </w:rPr>
        <w:t>30</w:t>
      </w:r>
      <w:r>
        <w:rPr>
          <w:rFonts w:hint="eastAsia" w:asciiTheme="minorEastAsia" w:hAnsiTheme="minorEastAsia" w:eastAsiaTheme="minorEastAsia"/>
          <w:b/>
          <w:sz w:val="24"/>
          <w:szCs w:val="24"/>
        </w:rPr>
        <w:t>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b/>
          <w:bCs/>
          <w:sz w:val="24"/>
          <w:lang w:val="en-US" w:eastAsia="zh-CN"/>
        </w:rPr>
        <w:t>工时费报价（15分）</w:t>
      </w:r>
    </w:p>
    <w:p>
      <w:pPr>
        <w:pStyle w:val="76"/>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(1)年度工时费报价评审(</w:t>
      </w:r>
      <w:r>
        <w:rPr>
          <w:rFonts w:hint="eastAsia" w:asciiTheme="minorEastAsia" w:hAnsiTheme="minorEastAsia" w:eastAsiaTheme="minorEastAsia" w:cstheme="minorEastAsia"/>
          <w:b/>
          <w:bCs/>
          <w:sz w:val="24"/>
          <w:lang w:val="en-US" w:eastAsia="zh-CN"/>
        </w:rPr>
        <w:t>10</w:t>
      </w:r>
      <w:r>
        <w:rPr>
          <w:rFonts w:hint="eastAsia" w:asciiTheme="minorEastAsia" w:hAnsiTheme="minorEastAsia" w:eastAsiaTheme="minorEastAsia" w:cstheme="minorEastAsia"/>
          <w:b/>
          <w:bCs/>
          <w:sz w:val="24"/>
        </w:rPr>
        <w:t>分)</w:t>
      </w:r>
    </w:p>
    <w:p>
      <w:pPr>
        <w:pStyle w:val="76"/>
        <w:spacing w:line="360" w:lineRule="auto"/>
        <w:ind w:left="0" w:leftChars="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年度工时总费用最高限价为人民币 35 万元，投标报价超过最高限价的为无效投标。</w:t>
      </w:r>
    </w:p>
    <w:p>
      <w:pPr>
        <w:pStyle w:val="76"/>
        <w:spacing w:line="360" w:lineRule="auto"/>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有效报价的平均价为评标基准价。</w:t>
      </w:r>
    </w:p>
    <w:p>
      <w:pPr>
        <w:pStyle w:val="76"/>
        <w:spacing w:line="360" w:lineRule="auto"/>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投标人的有效报价等于评标基准价的得</w:t>
      </w:r>
      <w:r>
        <w:rPr>
          <w:rFonts w:hint="eastAsia" w:asciiTheme="minorEastAsia" w:hAnsiTheme="minorEastAsia" w:eastAsiaTheme="minorEastAsia" w:cstheme="minorEastAsia"/>
          <w:sz w:val="24"/>
          <w:lang w:val="en-US" w:eastAsia="zh-CN"/>
        </w:rPr>
        <w:t>10</w:t>
      </w:r>
      <w:r>
        <w:rPr>
          <w:rFonts w:hint="default" w:asciiTheme="minorEastAsia" w:hAnsiTheme="minorEastAsia" w:eastAsiaTheme="minorEastAsia" w:cstheme="minorEastAsia"/>
          <w:sz w:val="24"/>
          <w:lang w:val="en-US" w:eastAsia="zh-CN"/>
        </w:rPr>
        <w:t>分，有效报价相对评标基准价每低 1%扣0.6分，每高 1%扣0.9分；偏离不足 1% 的，按照插入法计算得分。分值计算结果 均保留两位小数，第三位四舍五入。</w:t>
      </w:r>
    </w:p>
    <w:p>
      <w:pPr>
        <w:pStyle w:val="76"/>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(2)幅度值报价(5分)</w:t>
      </w:r>
    </w:p>
    <w:p>
      <w:pPr>
        <w:pStyle w:val="76"/>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实际结算时，年度实际维修数量与报价时约定维修基数(100 辆)相比超过一定幅度时，该幅度用百分数表示(</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sz w:val="24"/>
        </w:rPr>
        <w:t>**%》，由投标单位自报，年度</w:t>
      </w:r>
      <w:r>
        <w:rPr>
          <w:rFonts w:hint="eastAsia" w:asciiTheme="minorEastAsia" w:hAnsiTheme="minorEastAsia" w:eastAsiaTheme="minorEastAsia" w:cstheme="minorEastAsia"/>
          <w:sz w:val="24"/>
          <w:lang w:val="en-US" w:eastAsia="zh-CN"/>
        </w:rPr>
        <w:t>工时</w:t>
      </w:r>
      <w:r>
        <w:rPr>
          <w:rFonts w:hint="eastAsia" w:asciiTheme="minorEastAsia" w:hAnsiTheme="minorEastAsia" w:eastAsiaTheme="minorEastAsia" w:cstheme="minorEastAsia"/>
          <w:sz w:val="24"/>
        </w:rPr>
        <w:t>费总价根据实际按比例进行增加或减少。若增加或减少数量在该幅度范围之的，年度工时费总价不予调整。</w:t>
      </w:r>
    </w:p>
    <w:p>
      <w:pPr>
        <w:pStyle w:val="76"/>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①</w:t>
      </w:r>
      <w:r>
        <w:rPr>
          <w:rFonts w:hint="eastAsia" w:asciiTheme="minorEastAsia" w:hAnsiTheme="minorEastAsia" w:eastAsiaTheme="minorEastAsia" w:cstheme="minorEastAsia"/>
          <w:sz w:val="24"/>
        </w:rPr>
        <w:t>该幅度值绝对值报价的区间为</w:t>
      </w:r>
      <w:r>
        <w:rPr>
          <w:rFonts w:hint="eastAsia" w:asciiTheme="minorEastAsia" w:hAnsiTheme="minorEastAsia" w:eastAsiaTheme="minorEastAsia" w:cstheme="minorEastAsia"/>
          <w:color w:val="auto"/>
          <w:sz w:val="24"/>
          <w:szCs w:val="24"/>
          <w:lang w:val="en-US" w:eastAsia="zh-CN"/>
        </w:rPr>
        <w:t>|±5%|（含）-|±10%|（含）</w:t>
      </w:r>
      <w:r>
        <w:rPr>
          <w:rFonts w:hint="eastAsia" w:asciiTheme="minorEastAsia" w:hAnsiTheme="minorEastAsia" w:eastAsiaTheme="minorEastAsia" w:cstheme="minorEastAsia"/>
          <w:sz w:val="24"/>
        </w:rPr>
        <w:t>，不在此区内的报价按无效投标处理。</w:t>
      </w:r>
    </w:p>
    <w:p>
      <w:pPr>
        <w:pStyle w:val="76"/>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②</w:t>
      </w:r>
      <w:r>
        <w:rPr>
          <w:rFonts w:hint="eastAsia" w:asciiTheme="minorEastAsia" w:hAnsiTheme="minorEastAsia" w:eastAsiaTheme="minorEastAsia" w:cstheme="minorEastAsia"/>
          <w:sz w:val="24"/>
        </w:rPr>
        <w:t>按幅度值绝对值由大到小进行排序，排名第一的得 5 分，第二的得4分依次类推。</w:t>
      </w:r>
    </w:p>
    <w:p>
      <w:pPr>
        <w:pStyle w:val="76"/>
        <w:spacing w:line="360" w:lineRule="auto"/>
        <w:ind w:left="0" w:leftChars="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预估配件材料费</w:t>
      </w:r>
      <w:r>
        <w:rPr>
          <w:rFonts w:hint="eastAsia" w:asciiTheme="minorEastAsia" w:hAnsiTheme="minorEastAsia" w:eastAsiaTheme="minorEastAsia" w:cstheme="minorEastAsia"/>
          <w:b/>
          <w:bCs/>
          <w:sz w:val="24"/>
          <w:lang w:val="en-US" w:eastAsia="zh-CN"/>
        </w:rPr>
        <w:t>报价（15分）</w:t>
      </w:r>
    </w:p>
    <w:p>
      <w:pPr>
        <w:pStyle w:val="76"/>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维修材料费用应基于维修材料实际进价加上合理的进销差价率结算，不得高于在南通道路交通管理部门备案的进销差价率，</w:t>
      </w:r>
      <w:r>
        <w:rPr>
          <w:rFonts w:hint="eastAsia" w:asciiTheme="minorEastAsia" w:hAnsiTheme="minorEastAsia" w:eastAsiaTheme="minorEastAsia" w:cstheme="minorEastAsia"/>
          <w:b/>
          <w:bCs/>
          <w:sz w:val="24"/>
        </w:rPr>
        <w:t>且不得高于市场价</w:t>
      </w:r>
      <w:r>
        <w:rPr>
          <w:rFonts w:hint="eastAsia" w:asciiTheme="minorEastAsia" w:hAnsiTheme="minorEastAsia" w:eastAsiaTheme="minorEastAsia" w:cstheme="minorEastAsia"/>
          <w:sz w:val="24"/>
        </w:rPr>
        <w:t>。</w:t>
      </w:r>
    </w:p>
    <w:p>
      <w:pPr>
        <w:pStyle w:val="76"/>
        <w:spacing w:line="360" w:lineRule="auto"/>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   预估配件材料费＝常用配件合计金额（含材料进销差价率</w:t>
      </w:r>
      <w:r>
        <w:rPr>
          <w:rFonts w:hint="eastAsia" w:asciiTheme="minorEastAsia" w:hAnsiTheme="minorEastAsia" w:eastAsiaTheme="minorEastAsia" w:cstheme="minorEastAsia"/>
          <w:b/>
          <w:bCs/>
          <w:sz w:val="24"/>
          <w:u w:val="single"/>
        </w:rPr>
        <w:t xml:space="preserve">     </w:t>
      </w:r>
      <w:r>
        <w:rPr>
          <w:rFonts w:hint="eastAsia" w:asciiTheme="minorEastAsia" w:hAnsiTheme="minorEastAsia" w:eastAsiaTheme="minorEastAsia" w:cstheme="minorEastAsia"/>
          <w:b/>
          <w:bCs/>
          <w:sz w:val="24"/>
        </w:rPr>
        <w:t>）</w:t>
      </w:r>
    </w:p>
    <w:p>
      <w:pPr>
        <w:pStyle w:val="76"/>
        <w:spacing w:line="360" w:lineRule="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b/>
          <w:bCs/>
          <w:sz w:val="24"/>
        </w:rPr>
        <w:t>预估配件材料费</w:t>
      </w:r>
      <w:r>
        <w:rPr>
          <w:rFonts w:hint="eastAsia" w:asciiTheme="minorEastAsia" w:hAnsiTheme="minorEastAsia" w:eastAsiaTheme="minorEastAsia" w:cstheme="minorEastAsia"/>
          <w:sz w:val="24"/>
        </w:rPr>
        <w:t>报价</w:t>
      </w:r>
      <w:r>
        <w:rPr>
          <w:rFonts w:hint="default" w:asciiTheme="minorEastAsia" w:hAnsiTheme="minorEastAsia" w:eastAsiaTheme="minorEastAsia" w:cstheme="minorEastAsia"/>
          <w:sz w:val="24"/>
          <w:lang w:val="en-US" w:eastAsia="zh-CN"/>
        </w:rPr>
        <w:t>有效报价的平均价为评标基准价。</w:t>
      </w:r>
    </w:p>
    <w:p>
      <w:pPr>
        <w:pStyle w:val="76"/>
        <w:spacing w:line="360" w:lineRule="auto"/>
        <w:rPr>
          <w:rFonts w:asciiTheme="minorEastAsia" w:hAnsiTheme="minorEastAsia" w:eastAsiaTheme="minorEastAsia" w:cstheme="minorEastAsia"/>
          <w:sz w:val="24"/>
        </w:rPr>
      </w:pPr>
      <w:r>
        <w:rPr>
          <w:rFonts w:hint="default" w:asciiTheme="minorEastAsia" w:hAnsiTheme="minorEastAsia" w:eastAsiaTheme="minorEastAsia" w:cstheme="minorEastAsia"/>
          <w:sz w:val="24"/>
          <w:lang w:val="en-US" w:eastAsia="zh-CN"/>
        </w:rPr>
        <w:t>投标人的有效报价等于评标基准价的得</w:t>
      </w:r>
      <w:r>
        <w:rPr>
          <w:rFonts w:hint="eastAsia" w:asciiTheme="minorEastAsia" w:hAnsiTheme="minorEastAsia" w:eastAsiaTheme="minorEastAsia" w:cstheme="minorEastAsia"/>
          <w:sz w:val="24"/>
          <w:lang w:val="en-US" w:eastAsia="zh-CN"/>
        </w:rPr>
        <w:t>15</w:t>
      </w:r>
      <w:r>
        <w:rPr>
          <w:rFonts w:hint="default" w:asciiTheme="minorEastAsia" w:hAnsiTheme="minorEastAsia" w:eastAsiaTheme="minorEastAsia" w:cstheme="minorEastAsia"/>
          <w:sz w:val="24"/>
          <w:lang w:val="en-US" w:eastAsia="zh-CN"/>
        </w:rPr>
        <w:t>分，有效报价相对评标基准价每低 1%扣0.6分，每高 1%扣0.9分；偏离不足 1% 的，按照插入法计算得分。分值计算结果 均保留两位小数，第三位四舍五入。</w:t>
      </w:r>
    </w:p>
    <w:p>
      <w:pPr>
        <w:snapToGrid w:val="0"/>
        <w:spacing w:line="420" w:lineRule="exact"/>
        <w:ind w:firstLine="487" w:firstLineChars="202"/>
        <w:rPr>
          <w:rFonts w:hint="eastAsia" w:asciiTheme="minorEastAsia" w:hAnsiTheme="minorEastAsia" w:eastAsiaTheme="minorEastAsia"/>
          <w:b/>
          <w:bCs w:val="0"/>
          <w:sz w:val="24"/>
          <w:szCs w:val="24"/>
          <w:lang w:val="en-US" w:eastAsia="zh-CN"/>
        </w:rPr>
      </w:pPr>
      <w:r>
        <w:rPr>
          <w:rFonts w:hint="eastAsia" w:asciiTheme="minorEastAsia" w:hAnsiTheme="minorEastAsia" w:eastAsiaTheme="minorEastAsia"/>
          <w:b/>
          <w:bCs w:val="0"/>
          <w:sz w:val="24"/>
          <w:szCs w:val="24"/>
          <w:lang w:val="en-US" w:eastAsia="zh-CN"/>
        </w:rPr>
        <w:t>1.3、计算总得分</w:t>
      </w:r>
    </w:p>
    <w:p>
      <w:pPr>
        <w:snapToGrid w:val="0"/>
        <w:spacing w:line="420" w:lineRule="exact"/>
        <w:ind w:firstLine="487" w:firstLineChars="202"/>
        <w:rPr>
          <w:rFonts w:hint="default" w:asciiTheme="minorEastAsia" w:hAnsiTheme="minorEastAsia" w:eastAsiaTheme="minorEastAsia"/>
          <w:bCs/>
          <w:sz w:val="24"/>
          <w:szCs w:val="24"/>
          <w:lang w:val="en-US" w:eastAsia="zh-CN"/>
        </w:rPr>
      </w:pPr>
      <w:r>
        <w:rPr>
          <w:rFonts w:hint="eastAsia" w:asciiTheme="minorEastAsia" w:hAnsiTheme="minorEastAsia" w:eastAsiaTheme="minorEastAsia"/>
          <w:b/>
          <w:bCs w:val="0"/>
          <w:sz w:val="24"/>
          <w:szCs w:val="24"/>
          <w:lang w:val="en-US" w:eastAsia="zh-CN"/>
        </w:rPr>
        <w:t>总得分=年度工时费报价分+幅度值报价分+预估配件材料费得分</w:t>
      </w:r>
    </w:p>
    <w:p>
      <w:pPr>
        <w:snapToGrid w:val="0"/>
        <w:spacing w:line="420" w:lineRule="exact"/>
        <w:ind w:firstLine="484" w:firstLineChars="202"/>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总得分最高的为</w:t>
      </w:r>
      <w:r>
        <w:rPr>
          <w:rFonts w:hint="eastAsia" w:asciiTheme="minorEastAsia" w:hAnsiTheme="minorEastAsia" w:eastAsiaTheme="minorEastAsia"/>
          <w:bCs/>
          <w:sz w:val="24"/>
          <w:szCs w:val="24"/>
          <w:lang w:val="en-US" w:eastAsia="zh-CN"/>
        </w:rPr>
        <w:t>中标</w:t>
      </w:r>
      <w:r>
        <w:rPr>
          <w:rFonts w:hint="eastAsia" w:asciiTheme="minorEastAsia" w:hAnsiTheme="minorEastAsia" w:eastAsiaTheme="minorEastAsia"/>
          <w:bCs/>
          <w:sz w:val="24"/>
          <w:szCs w:val="24"/>
        </w:rPr>
        <w:t>单位，若遇总得分相同，则年度工时费报价得分高者优先，若该得分也相同的，则由采购人代表抽签确定</w:t>
      </w:r>
      <w:r>
        <w:rPr>
          <w:rFonts w:hint="eastAsia" w:asciiTheme="minorEastAsia" w:hAnsiTheme="minorEastAsia" w:eastAsiaTheme="minorEastAsia"/>
          <w:bCs/>
          <w:sz w:val="24"/>
          <w:szCs w:val="24"/>
          <w:lang w:eastAsia="zh-CN"/>
        </w:rPr>
        <w:t>。</w:t>
      </w:r>
    </w:p>
    <w:p>
      <w:pPr>
        <w:snapToGrid w:val="0"/>
        <w:spacing w:line="420" w:lineRule="exact"/>
        <w:ind w:firstLine="484" w:firstLineChars="202"/>
        <w:rPr>
          <w:rFonts w:asciiTheme="minorEastAsia" w:hAnsiTheme="minorEastAsia" w:eastAsiaTheme="minorEastAsia"/>
          <w:bCs/>
          <w:sz w:val="24"/>
          <w:szCs w:val="24"/>
        </w:rPr>
      </w:pPr>
      <w:r>
        <w:rPr>
          <w:rFonts w:hint="eastAsia" w:asciiTheme="minorEastAsia" w:hAnsiTheme="minorEastAsia" w:eastAsiaTheme="minorEastAsia"/>
          <w:bCs/>
          <w:sz w:val="24"/>
          <w:szCs w:val="24"/>
        </w:rPr>
        <w:t>（三）评标时评委对评标细则若有争议，由评标委员会评委集体讨论确定，并对未尽情况有最终解释权。</w:t>
      </w:r>
    </w:p>
    <w:p>
      <w:pPr>
        <w:adjustRightInd w:val="0"/>
        <w:snapToGrid w:val="0"/>
        <w:spacing w:line="420" w:lineRule="exact"/>
        <w:ind w:firstLine="480" w:firstLineChars="200"/>
        <w:outlineLvl w:val="2"/>
        <w:rPr>
          <w:rFonts w:asciiTheme="minorEastAsia" w:hAnsiTheme="minorEastAsia" w:eastAsiaTheme="minorEastAsia"/>
          <w:bCs/>
          <w:sz w:val="24"/>
          <w:szCs w:val="24"/>
        </w:rPr>
      </w:pPr>
      <w:r>
        <w:rPr>
          <w:rFonts w:hint="eastAsia" w:asciiTheme="minorEastAsia" w:hAnsiTheme="minorEastAsia" w:eastAsiaTheme="minorEastAsia"/>
          <w:bCs/>
          <w:sz w:val="24"/>
          <w:szCs w:val="24"/>
        </w:rPr>
        <w:t>（四）对落标的投标人不做落标原因的解释。</w:t>
      </w:r>
    </w:p>
    <w:p>
      <w:pPr>
        <w:snapToGrid w:val="0"/>
        <w:spacing w:line="420" w:lineRule="exact"/>
        <w:ind w:firstLine="482" w:firstLineChars="200"/>
        <w:outlineLvl w:val="1"/>
        <w:rPr>
          <w:rFonts w:asciiTheme="minorEastAsia" w:hAnsiTheme="minorEastAsia" w:eastAsiaTheme="minorEastAsia"/>
          <w:sz w:val="24"/>
          <w:szCs w:val="24"/>
        </w:rPr>
      </w:pPr>
      <w:r>
        <w:rPr>
          <w:rFonts w:hint="eastAsia" w:asciiTheme="minorEastAsia" w:hAnsiTheme="minorEastAsia" w:eastAsiaTheme="minorEastAsia"/>
          <w:b/>
          <w:bCs w:val="0"/>
          <w:sz w:val="24"/>
          <w:szCs w:val="24"/>
        </w:rPr>
        <w:t>六、出现下列情形之一的，作无效投标处理：</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、同一投标人提交两个（含两个）以上不同的投标报价的</w:t>
      </w:r>
      <w:r>
        <w:rPr>
          <w:rFonts w:asciiTheme="minorEastAsia" w:hAnsiTheme="minorEastAsia" w:eastAsiaTheme="minorEastAsia"/>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、投标人不具备招标文件中规定资格要求的；</w:t>
      </w:r>
    </w:p>
    <w:p>
      <w:pPr>
        <w:snapToGrid w:val="0"/>
        <w:spacing w:line="42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、投标人的报价超过了采购预算或最高限价的</w:t>
      </w:r>
      <w:r>
        <w:rPr>
          <w:rFonts w:hint="eastAsia" w:asciiTheme="minorEastAsia" w:hAnsiTheme="minorEastAsia" w:eastAsiaTheme="minorEastAsia"/>
          <w:sz w:val="24"/>
          <w:szCs w:val="24"/>
          <w:lang w:eastAsia="zh-CN"/>
        </w:rPr>
        <w:t>；</w:t>
      </w:r>
    </w:p>
    <w:p>
      <w:pPr>
        <w:snapToGrid w:val="0"/>
        <w:spacing w:line="42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4、未通过符合性检查的；</w:t>
      </w:r>
    </w:p>
    <w:p>
      <w:pPr>
        <w:snapToGrid w:val="0"/>
        <w:spacing w:line="42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5、不符合招标文件中规定的其他实质性要求和条件的；</w:t>
      </w:r>
    </w:p>
    <w:p>
      <w:pPr>
        <w:snapToGrid w:val="0"/>
        <w:spacing w:line="42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6、投标文件含有采购人不能接受的附加条件的；</w:t>
      </w:r>
    </w:p>
    <w:p>
      <w:pPr>
        <w:snapToGrid w:val="0"/>
        <w:spacing w:line="42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pPr>
        <w:snapToGrid w:val="0"/>
        <w:spacing w:line="42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本项目采购产品被财政部、国家发改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pPr>
        <w:snapToGrid w:val="0"/>
        <w:spacing w:line="42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9、投标人的商务技术部分得分相差悬殊，评标委员会认为得分畸低者没有实质性响应的；</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asciiTheme="minorEastAsia" w:hAnsiTheme="minorEastAsia" w:eastAsiaTheme="minorEastAsia"/>
          <w:sz w:val="24"/>
          <w:szCs w:val="24"/>
        </w:rPr>
        <w:t>未按照招标文件的规定提交投标保证金的；</w:t>
      </w:r>
    </w:p>
    <w:p>
      <w:pPr>
        <w:snapToGrid w:val="0"/>
        <w:spacing w:line="420" w:lineRule="exact"/>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11、其他法律、法规及本招标文件规定的属无效投标的情形。</w:t>
      </w:r>
    </w:p>
    <w:p>
      <w:pPr>
        <w:snapToGrid w:val="0"/>
        <w:spacing w:line="420" w:lineRule="exact"/>
        <w:ind w:firstLine="482" w:firstLineChars="200"/>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七、有下列情形之一的，视为投标人串通投标，其投标无效</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1、不同投标人的投标文件由同一单位或者个人编制；</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2、不同投标人委托同一单位或者个人办理投标事宜；</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3、不同投标人的投标文件载明的项目管理成员或者联系人员为同一人；</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4、不同投标人的投标文件异常一致或者投标报价呈规律性差异；</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5、不同投标人的投标文件相互混装；</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6、不同投标人的投标保证金从同一单位或者个人的账户转出。</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八、出现下列情形之一的，作废标处理：</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、出现影响采购公正的违法违规行为的；</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、所有投标人报价超出采购预算价的；</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、因重大变故，采购任务被取消的；</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、评标委员会依据法律法规可以认定为废标的其他情况。</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九、中标通知</w:t>
      </w:r>
    </w:p>
    <w:p>
      <w:pPr>
        <w:spacing w:line="420" w:lineRule="exact"/>
        <w:ind w:firstLine="484" w:firstLineChars="202"/>
        <w:rPr>
          <w:rFonts w:asciiTheme="minorEastAsia" w:hAnsiTheme="minorEastAsia" w:eastAsiaTheme="minorEastAsia"/>
          <w:kern w:val="0"/>
          <w:sz w:val="24"/>
          <w:szCs w:val="24"/>
        </w:rPr>
      </w:pPr>
      <w:r>
        <w:rPr>
          <w:rFonts w:asciiTheme="minorEastAsia" w:hAnsiTheme="minorEastAsia" w:eastAsiaTheme="minorEastAsia"/>
          <w:kern w:val="0"/>
          <w:sz w:val="24"/>
          <w:szCs w:val="24"/>
        </w:rPr>
        <w:t>1、开标结束后，招标</w:t>
      </w:r>
      <w:r>
        <w:rPr>
          <w:rFonts w:hint="eastAsia" w:asciiTheme="minorEastAsia" w:hAnsiTheme="minorEastAsia" w:eastAsiaTheme="minorEastAsia"/>
          <w:kern w:val="0"/>
          <w:sz w:val="24"/>
          <w:szCs w:val="24"/>
        </w:rPr>
        <w:t>采购单位自中标人确定之日起2个工作日内</w:t>
      </w:r>
      <w:r>
        <w:rPr>
          <w:rFonts w:asciiTheme="minorEastAsia" w:hAnsiTheme="minorEastAsia" w:eastAsiaTheme="minorEastAsia"/>
          <w:kern w:val="0"/>
          <w:sz w:val="24"/>
          <w:szCs w:val="24"/>
        </w:rPr>
        <w:t>在指定媒体上</w:t>
      </w:r>
      <w:r>
        <w:rPr>
          <w:rFonts w:hint="eastAsia" w:asciiTheme="minorEastAsia" w:hAnsiTheme="minorEastAsia" w:eastAsiaTheme="minorEastAsia"/>
          <w:kern w:val="0"/>
          <w:sz w:val="24"/>
          <w:szCs w:val="24"/>
        </w:rPr>
        <w:t>公告中标结果。</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2、中标公告期限为3日，期限</w:t>
      </w:r>
      <w:r>
        <w:rPr>
          <w:rFonts w:asciiTheme="minorEastAsia" w:hAnsiTheme="minorEastAsia" w:eastAsiaTheme="minorEastAsia"/>
          <w:kern w:val="0"/>
          <w:sz w:val="24"/>
          <w:szCs w:val="24"/>
        </w:rPr>
        <w:t>结束后向中标人发出《中标通知书》。</w:t>
      </w:r>
    </w:p>
    <w:p>
      <w:pPr>
        <w:spacing w:line="420" w:lineRule="exact"/>
        <w:ind w:firstLine="484" w:firstLineChars="202"/>
        <w:rPr>
          <w:rFonts w:asciiTheme="minorEastAsia" w:hAnsiTheme="minorEastAsia" w:eastAsiaTheme="minorEastAsia"/>
          <w:b/>
          <w:kern w:val="0"/>
          <w:sz w:val="24"/>
          <w:szCs w:val="24"/>
        </w:rPr>
      </w:pPr>
      <w:r>
        <w:rPr>
          <w:rFonts w:asciiTheme="minorEastAsia" w:hAnsiTheme="minorEastAsia" w:eastAsiaTheme="minorEastAsia"/>
          <w:kern w:val="0"/>
          <w:sz w:val="24"/>
          <w:szCs w:val="24"/>
        </w:rPr>
        <w:t>3、《中标通知书》一经发出，即具有法律效力。招标人、中标人依法承担法律责任。</w:t>
      </w: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asciiTheme="minorEastAsia" w:hAnsiTheme="minorEastAsia" w:eastAsiaTheme="minorEastAsia"/>
          <w:b/>
          <w:w w:val="80"/>
          <w:sz w:val="32"/>
          <w:szCs w:val="32"/>
        </w:rPr>
        <w:br w:type="page"/>
      </w:r>
      <w:r>
        <w:rPr>
          <w:rFonts w:hint="eastAsia" w:asciiTheme="minorEastAsia" w:hAnsiTheme="minorEastAsia" w:eastAsiaTheme="minorEastAsia"/>
          <w:b/>
          <w:w w:val="80"/>
          <w:sz w:val="32"/>
          <w:szCs w:val="32"/>
        </w:rPr>
        <w:t>第五章  合同授予及主要</w:t>
      </w:r>
      <w:r>
        <w:rPr>
          <w:rFonts w:asciiTheme="minorEastAsia" w:hAnsiTheme="minorEastAsia" w:eastAsiaTheme="minorEastAsia"/>
          <w:b/>
          <w:w w:val="80"/>
          <w:sz w:val="32"/>
          <w:szCs w:val="32"/>
        </w:rPr>
        <w:t>条款</w:t>
      </w:r>
    </w:p>
    <w:p>
      <w:pPr>
        <w:pStyle w:val="76"/>
        <w:ind w:firstLine="0" w:firstLineChars="0"/>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lang w:eastAsia="zh-CN"/>
        </w:rPr>
        <w:t>南通市保安服务有限公司</w:t>
      </w:r>
      <w:r>
        <w:rPr>
          <w:rFonts w:hint="eastAsia" w:asciiTheme="minorEastAsia" w:hAnsiTheme="minorEastAsia" w:eastAsiaTheme="minorEastAsia"/>
          <w:b/>
          <w:bCs/>
          <w:w w:val="80"/>
          <w:sz w:val="36"/>
          <w:szCs w:val="36"/>
        </w:rPr>
        <w:t>车辆定点维修、保养、年检等服务采购</w:t>
      </w:r>
      <w:r>
        <w:rPr>
          <w:rFonts w:hint="eastAsia" w:asciiTheme="minorEastAsia" w:hAnsiTheme="minorEastAsia" w:eastAsiaTheme="minorEastAsia"/>
          <w:b/>
          <w:bCs/>
          <w:sz w:val="36"/>
          <w:szCs w:val="36"/>
        </w:rPr>
        <w:t>合同</w:t>
      </w:r>
    </w:p>
    <w:p>
      <w:pPr>
        <w:pStyle w:val="76"/>
        <w:ind w:firstLine="0" w:firstLineChars="0"/>
        <w:jc w:val="center"/>
        <w:rPr>
          <w:rFonts w:hint="eastAsia" w:asciiTheme="minorEastAsia" w:hAnsiTheme="minorEastAsia" w:eastAsiaTheme="minorEastAsia"/>
          <w:b/>
          <w:bCs/>
          <w:sz w:val="36"/>
          <w:szCs w:val="36"/>
        </w:rPr>
      </w:pPr>
    </w:p>
    <w:bookmarkEnd w:id="5"/>
    <w:p>
      <w:pPr>
        <w:adjustRightInd w:val="0"/>
        <w:spacing w:line="360" w:lineRule="auto"/>
        <w:textAlignment w:val="baseline"/>
        <w:rPr>
          <w:rFonts w:asciiTheme="minorEastAsia" w:hAnsiTheme="minorEastAsia" w:eastAsiaTheme="minorEastAsia"/>
          <w:kern w:val="0"/>
          <w:sz w:val="24"/>
          <w:szCs w:val="24"/>
        </w:rPr>
      </w:pPr>
      <w:bookmarkStart w:id="7" w:name="_Toc94585343"/>
      <w:bookmarkStart w:id="8" w:name="_Toc363573858"/>
      <w:r>
        <w:rPr>
          <w:rFonts w:hint="eastAsia" w:asciiTheme="minorEastAsia" w:hAnsiTheme="minorEastAsia" w:eastAsiaTheme="minorEastAsia"/>
          <w:kern w:val="0"/>
          <w:sz w:val="24"/>
          <w:szCs w:val="24"/>
        </w:rPr>
        <w:t>托修方（以下简称甲方）：</w:t>
      </w:r>
    </w:p>
    <w:p>
      <w:pPr>
        <w:adjustRightInd w:val="0"/>
        <w:spacing w:line="360" w:lineRule="auto"/>
        <w:textAlignment w:val="baseline"/>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承修方（以下简称乙方）：</w:t>
      </w:r>
    </w:p>
    <w:p>
      <w:pPr>
        <w:pStyle w:val="76"/>
        <w:spacing w:line="360" w:lineRule="auto"/>
        <w:ind w:firstLine="0" w:firstLineChars="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地 </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址：</w:t>
      </w:r>
    </w:p>
    <w:p>
      <w:pPr>
        <w:widowControl/>
        <w:tabs>
          <w:tab w:val="left" w:pos="6300"/>
        </w:tabs>
        <w:snapToGrid w:val="0"/>
        <w:spacing w:line="360" w:lineRule="auto"/>
        <w:ind w:firstLine="720" w:firstLineChars="3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为了保障甲方车辆的维修质量和运行安全并有效的控制维修保养得成本，根据《江苏省机动车维修管理条例》，结合双方实际情况，经甲乙双方同意就车辆维修保养相关事宜达成如下协议：</w:t>
      </w:r>
    </w:p>
    <w:p>
      <w:pPr>
        <w:widowControl/>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乙方为甲方车辆定点维修保养单位，负责甲方车辆的维修、保养、年检、售后等相关服务。甲方应向乙方提供维修保养车辆的型号、车牌号及数量等所需资料，乙方为该车辆建立保养维修档案和服务计划，定时通知甲方到乙方服务点进行安全性能检查、保养、送检，保证车辆的正常运行。</w:t>
      </w:r>
    </w:p>
    <w:p>
      <w:pPr>
        <w:widowControl/>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乙方应按甲方相关负责人签字确认的《汽车送修单》提出的维修项目进行维修。乙方对其送修车辆进行全面检查，发现应修项目与送修单的项目不符，确需调增减维修项目，应先与甲方联系，在征得甲方同意后方可修理，不得擅自增减或转移审定项目。</w:t>
      </w:r>
    </w:p>
    <w:p>
      <w:pPr>
        <w:widowControl/>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乙方按照甲方要求，填制《汽车维修单》的有关内容。车辆修好后，由甲方指定人员逐一审核所修项目(部位)，并在维修单上签字。乙方据此与甲方结算，已修车辆出厂前，乙方需向甲方的送修司机当面交待注意事项。乙方对其维修车辆应建维修台账。乙方承修甲方的车辆，应按单车提供工时清单、材料清单，并将工时费、材料费、材料管理费、税金分列清楚。开列清单一式二份，一份交甲方，一份由乙方留存。</w:t>
      </w:r>
    </w:p>
    <w:p>
      <w:pPr>
        <w:widowControl/>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4</w:t>
      </w:r>
      <w:r>
        <w:rPr>
          <w:rFonts w:hint="eastAsia" w:asciiTheme="minorEastAsia" w:hAnsiTheme="minorEastAsia" w:eastAsiaTheme="minorEastAsia"/>
          <w:kern w:val="0"/>
          <w:sz w:val="24"/>
          <w:szCs w:val="24"/>
        </w:rPr>
        <w:t>、乙方单独建立</w:t>
      </w:r>
      <w:r>
        <w:rPr>
          <w:rFonts w:hint="eastAsia" w:asciiTheme="minorEastAsia" w:hAnsiTheme="minorEastAsia" w:eastAsiaTheme="minorEastAsia"/>
          <w:kern w:val="0"/>
          <w:sz w:val="24"/>
          <w:szCs w:val="24"/>
          <w:lang w:eastAsia="zh-CN"/>
        </w:rPr>
        <w:t>南通市保安服务有限公司</w:t>
      </w:r>
      <w:r>
        <w:rPr>
          <w:rFonts w:hint="eastAsia" w:asciiTheme="minorEastAsia" w:hAnsiTheme="minorEastAsia" w:eastAsiaTheme="minorEastAsia"/>
          <w:kern w:val="0"/>
          <w:sz w:val="24"/>
          <w:szCs w:val="24"/>
        </w:rPr>
        <w:t>车辆维修管理档案（档案内容应有相应的运管部门给定的“江苏省机动车维修费用结算清单”及“机动车维修纪录管理”等资料），认真记录车辆的维修情况，单独核算维修费用，并认真、及时、准确地编报</w:t>
      </w:r>
      <w:r>
        <w:rPr>
          <w:rFonts w:hint="eastAsia" w:asciiTheme="minorEastAsia" w:hAnsiTheme="minorEastAsia" w:eastAsiaTheme="minorEastAsia"/>
          <w:kern w:val="0"/>
          <w:sz w:val="24"/>
          <w:szCs w:val="24"/>
          <w:lang w:eastAsia="zh-CN"/>
        </w:rPr>
        <w:t>南通市保安服务有限公司</w:t>
      </w:r>
      <w:r>
        <w:rPr>
          <w:rFonts w:hint="eastAsia" w:asciiTheme="minorEastAsia" w:hAnsiTheme="minorEastAsia" w:eastAsiaTheme="minorEastAsia"/>
          <w:kern w:val="0"/>
          <w:sz w:val="24"/>
          <w:szCs w:val="24"/>
        </w:rPr>
        <w:t>车辆定点维修情况统计表，每季度结束后五个工作日内，报</w:t>
      </w:r>
      <w:r>
        <w:rPr>
          <w:rFonts w:hint="eastAsia" w:asciiTheme="minorEastAsia" w:hAnsiTheme="minorEastAsia" w:eastAsiaTheme="minorEastAsia"/>
          <w:kern w:val="0"/>
          <w:sz w:val="24"/>
          <w:szCs w:val="24"/>
          <w:lang w:eastAsia="zh-CN"/>
        </w:rPr>
        <w:t>南通市保安服务有限公司</w:t>
      </w:r>
      <w:r>
        <w:rPr>
          <w:rFonts w:hint="eastAsia" w:asciiTheme="minorEastAsia" w:hAnsiTheme="minorEastAsia" w:eastAsiaTheme="minorEastAsia"/>
          <w:kern w:val="0"/>
          <w:sz w:val="24"/>
          <w:szCs w:val="24"/>
        </w:rPr>
        <w:t>办公室。</w:t>
      </w:r>
    </w:p>
    <w:p>
      <w:pPr>
        <w:widowControl/>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5</w:t>
      </w:r>
      <w:r>
        <w:rPr>
          <w:rFonts w:hint="eastAsia" w:asciiTheme="minorEastAsia" w:hAnsiTheme="minorEastAsia" w:eastAsiaTheme="minorEastAsia"/>
          <w:kern w:val="0"/>
          <w:sz w:val="24"/>
          <w:szCs w:val="24"/>
        </w:rPr>
        <w:t>、乙方安排技术熟练且具备资质的维修人员为甲方提供24小时服务，如甲方车辆在行驶途中发生故障抛锚在南通市区范围内，来电联系后，乙方应保证1小时内派车到达现场处置，如现场无法修复的及时拖回场内优先维修。保证维修期间车辆整洁干净。</w:t>
      </w:r>
    </w:p>
    <w:p>
      <w:pPr>
        <w:widowControl/>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6</w:t>
      </w:r>
      <w:r>
        <w:rPr>
          <w:rFonts w:hint="eastAsia" w:asciiTheme="minorEastAsia" w:hAnsiTheme="minorEastAsia" w:eastAsiaTheme="minorEastAsia"/>
          <w:kern w:val="0"/>
          <w:sz w:val="24"/>
          <w:szCs w:val="24"/>
        </w:rPr>
        <w:t>、甲方车辆进场维修时，车辆配置之外的私人物品由甲方自行保管。维修期间，试车、办理有关年检业务或征得甲方同意外，乙方不得以任何理由将车开出场外，如违反，乙方必须承担由此造成的一切损失。</w:t>
      </w:r>
    </w:p>
    <w:p>
      <w:pPr>
        <w:widowControl/>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7</w:t>
      </w:r>
      <w:r>
        <w:rPr>
          <w:rFonts w:hint="eastAsia" w:asciiTheme="minorEastAsia" w:hAnsiTheme="minorEastAsia" w:eastAsiaTheme="minorEastAsia"/>
          <w:kern w:val="0"/>
          <w:sz w:val="24"/>
          <w:szCs w:val="24"/>
        </w:rPr>
        <w:t>、乙方根据甲方审定的送修单项目进行维修。乙方对甲方送修车辆进行检测时，如发现应修项目与送修单审定项目不符，需调增或调减维修项目时，应预先与甲方联系沟通，在征得甲方同意后才可进行维修工作，不得擅自增减或转移审定项目。</w:t>
      </w:r>
    </w:p>
    <w:p>
      <w:pPr>
        <w:snapToGrid w:val="0"/>
        <w:spacing w:line="420" w:lineRule="exact"/>
        <w:ind w:firstLine="484" w:firstLineChars="202"/>
        <w:rPr>
          <w:rFonts w:hint="eastAsia" w:asciiTheme="minorEastAsia" w:hAnsiTheme="minorEastAsia" w:eastAsiaTheme="minorEastAsia"/>
          <w:kern w:val="0"/>
          <w:sz w:val="24"/>
          <w:szCs w:val="24"/>
        </w:rPr>
      </w:pPr>
      <w:r>
        <w:rPr>
          <w:rFonts w:asciiTheme="minorEastAsia" w:hAnsiTheme="minorEastAsia" w:eastAsiaTheme="minorEastAsia"/>
          <w:kern w:val="0"/>
          <w:sz w:val="24"/>
          <w:szCs w:val="24"/>
        </w:rPr>
        <w:t>8</w:t>
      </w:r>
      <w:r>
        <w:rPr>
          <w:rFonts w:hint="eastAsia" w:asciiTheme="minorEastAsia" w:hAnsiTheme="minorEastAsia" w:eastAsiaTheme="minorEastAsia"/>
          <w:kern w:val="0"/>
          <w:sz w:val="24"/>
          <w:szCs w:val="24"/>
        </w:rPr>
        <w:t>、汽车维修费包含招标文件规定的货物及其配套服务、劳务、运输、仓储、管理、保险、售后服务、利润、税金、政策性文件规定及合同包含的所有风险、责任等各项应有费用。结算费用时，不得超过公示的收费标准，并应当分项计算。收费标准按中标通知书上的金额执行，</w:t>
      </w:r>
      <w:r>
        <w:rPr>
          <w:rFonts w:hint="eastAsia" w:asciiTheme="minorEastAsia" w:hAnsiTheme="minorEastAsia" w:eastAsiaTheme="minorEastAsia"/>
          <w:b/>
          <w:bCs w:val="0"/>
          <w:sz w:val="24"/>
          <w:szCs w:val="24"/>
          <w:lang w:val="en-US" w:eastAsia="zh-CN"/>
        </w:rPr>
        <w:t>年度工时费</w:t>
      </w:r>
      <w:r>
        <w:rPr>
          <w:rFonts w:hint="eastAsia" w:asciiTheme="minorEastAsia" w:hAnsiTheme="minorEastAsia" w:eastAsiaTheme="minorEastAsia"/>
          <w:b/>
          <w:bCs w:val="0"/>
          <w:sz w:val="24"/>
          <w:szCs w:val="24"/>
          <w:u w:val="single"/>
          <w:lang w:val="en-US" w:eastAsia="zh-CN"/>
        </w:rPr>
        <w:t xml:space="preserve">      </w:t>
      </w:r>
      <w:r>
        <w:rPr>
          <w:rFonts w:hint="eastAsia" w:asciiTheme="minorEastAsia" w:hAnsiTheme="minorEastAsia" w:eastAsiaTheme="minorEastAsia"/>
          <w:b/>
          <w:bCs w:val="0"/>
          <w:sz w:val="24"/>
          <w:szCs w:val="24"/>
          <w:lang w:val="en-US" w:eastAsia="zh-CN"/>
        </w:rPr>
        <w:t>元，幅度值</w:t>
      </w:r>
      <w:r>
        <w:rPr>
          <w:rFonts w:hint="eastAsia" w:asciiTheme="minorEastAsia" w:hAnsiTheme="minorEastAsia" w:eastAsiaTheme="minorEastAsia"/>
          <w:b/>
          <w:bCs w:val="0"/>
          <w:sz w:val="24"/>
          <w:szCs w:val="24"/>
          <w:u w:val="single"/>
          <w:lang w:val="en-US" w:eastAsia="zh-CN"/>
        </w:rPr>
        <w:t xml:space="preserve">     </w:t>
      </w:r>
      <w:r>
        <w:rPr>
          <w:rFonts w:hint="eastAsia" w:asciiTheme="minorEastAsia" w:hAnsiTheme="minorEastAsia" w:eastAsiaTheme="minorEastAsia"/>
          <w:b/>
          <w:bCs w:val="0"/>
          <w:sz w:val="24"/>
          <w:szCs w:val="24"/>
          <w:u w:val="none"/>
          <w:lang w:val="en-US" w:eastAsia="zh-CN"/>
        </w:rPr>
        <w:t>，</w:t>
      </w:r>
      <w:r>
        <w:rPr>
          <w:rFonts w:hint="eastAsia" w:asciiTheme="minorEastAsia" w:hAnsiTheme="minorEastAsia" w:eastAsiaTheme="minorEastAsia" w:cstheme="minorEastAsia"/>
          <w:b/>
          <w:bCs/>
          <w:sz w:val="24"/>
        </w:rPr>
        <w:t>材料进销差价率</w:t>
      </w:r>
      <w:r>
        <w:rPr>
          <w:rFonts w:hint="eastAsia" w:asciiTheme="minorEastAsia" w:hAnsiTheme="minorEastAsia" w:eastAsiaTheme="minorEastAsia" w:cstheme="minorEastAsia"/>
          <w:b/>
          <w:bCs/>
          <w:sz w:val="24"/>
          <w:u w:val="single"/>
        </w:rPr>
        <w:t xml:space="preserve">    </w:t>
      </w:r>
      <w:r>
        <w:rPr>
          <w:rFonts w:hint="eastAsia" w:asciiTheme="minorEastAsia" w:hAnsiTheme="minorEastAsia" w:eastAsiaTheme="minorEastAsia"/>
          <w:kern w:val="0"/>
          <w:sz w:val="24"/>
          <w:szCs w:val="24"/>
        </w:rPr>
        <w:t>，并凭甲方送修人员签字确认的维修清单结算。</w:t>
      </w:r>
    </w:p>
    <w:p>
      <w:pPr>
        <w:snapToGrid w:val="0"/>
        <w:spacing w:line="420" w:lineRule="exact"/>
        <w:ind w:firstLine="484" w:firstLineChars="202"/>
        <w:rPr>
          <w:rFonts w:hint="eastAsia" w:asciiTheme="minorEastAsia" w:hAnsiTheme="minorEastAsia" w:eastAsiaTheme="minorEastAsia" w:cstheme="minorEastAsia"/>
          <w:sz w:val="24"/>
          <w:lang w:eastAsia="zh-CN"/>
        </w:rPr>
      </w:pPr>
      <w:r>
        <w:rPr>
          <w:rFonts w:hint="eastAsia" w:asciiTheme="minorEastAsia" w:hAnsiTheme="minorEastAsia" w:eastAsiaTheme="minorEastAsia"/>
          <w:kern w:val="0"/>
          <w:sz w:val="24"/>
          <w:szCs w:val="24"/>
        </w:rPr>
        <w:t>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必须提供 24 小时汽修救援服务，包括省内救援</w:t>
      </w:r>
      <w:r>
        <w:rPr>
          <w:rFonts w:hint="eastAsia" w:asciiTheme="minorEastAsia" w:hAnsiTheme="minorEastAsia" w:eastAsiaTheme="minorEastAsia" w:cstheme="minorEastAsia"/>
          <w:sz w:val="24"/>
          <w:lang w:eastAsia="zh-CN"/>
        </w:rPr>
        <w:t>。</w:t>
      </w:r>
    </w:p>
    <w:p>
      <w:pPr>
        <w:snapToGrid w:val="0"/>
        <w:spacing w:line="420" w:lineRule="exact"/>
        <w:ind w:firstLine="484" w:firstLineChars="202"/>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免费提供冬季的出车保障服务</w:t>
      </w:r>
      <w:r>
        <w:rPr>
          <w:rFonts w:hint="eastAsia" w:asciiTheme="minorEastAsia" w:hAnsiTheme="minorEastAsia" w:eastAsiaTheme="minorEastAsia" w:cstheme="minorEastAsia"/>
          <w:sz w:val="24"/>
          <w:lang w:eastAsia="zh-CN"/>
        </w:rPr>
        <w:t>。</w:t>
      </w:r>
    </w:p>
    <w:p>
      <w:pPr>
        <w:spacing w:line="360" w:lineRule="auto"/>
        <w:ind w:firstLine="511" w:firstLineChars="21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由于押运车辆属于特种车辆，为保证车辆准时发车，必须优先安排维修，且保证维修质量，确保行车安全。</w:t>
      </w:r>
    </w:p>
    <w:p>
      <w:pPr>
        <w:spacing w:line="360" w:lineRule="auto"/>
        <w:ind w:firstLine="511" w:firstLineChars="21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如车辆在行驶途中遇到故障，必须立即根据故障现象作出响应，安排人员及时维修。</w:t>
      </w:r>
    </w:p>
    <w:p>
      <w:pPr>
        <w:spacing w:line="360" w:lineRule="auto"/>
        <w:ind w:firstLine="511" w:firstLineChars="21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免费且提前两个月对需要年检的车辆进行上线检测</w:t>
      </w:r>
    </w:p>
    <w:p>
      <w:pPr>
        <w:spacing w:line="360" w:lineRule="auto"/>
        <w:ind w:firstLine="511" w:firstLineChars="213"/>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免费提供前轮侧滑和四轮定位每年1次；</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themeColor="text1"/>
          <w:sz w:val="24"/>
          <w:lang w:val="en-US" w:eastAsia="zh-CN"/>
        </w:rPr>
        <w:t>（7）</w:t>
      </w:r>
      <w:r>
        <w:rPr>
          <w:rFonts w:hint="eastAsia" w:asciiTheme="minorEastAsia" w:hAnsiTheme="minorEastAsia" w:eastAsiaTheme="minorEastAsia" w:cstheme="minorEastAsia"/>
          <w:color w:val="000000" w:themeColor="text1"/>
          <w:sz w:val="24"/>
        </w:rPr>
        <w:t>免费定期检测调整制动、灯光、空调等系统；</w:t>
      </w:r>
    </w:p>
    <w:p>
      <w:pPr>
        <w:spacing w:line="360" w:lineRule="auto"/>
        <w:ind w:firstLine="511" w:firstLineChars="213"/>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免费代理保险索赔及有关事项；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免费提供救援（</w:t>
      </w:r>
      <w:r>
        <w:rPr>
          <w:rFonts w:hint="eastAsia" w:asciiTheme="minorEastAsia" w:hAnsiTheme="minorEastAsia" w:eastAsiaTheme="minorEastAsia" w:cstheme="minorEastAsia"/>
          <w:sz w:val="24"/>
          <w:lang w:val="en-US" w:eastAsia="zh-CN"/>
        </w:rPr>
        <w:t>南通市</w:t>
      </w:r>
      <w:r>
        <w:rPr>
          <w:rFonts w:hint="eastAsia" w:asciiTheme="minorEastAsia" w:hAnsiTheme="minorEastAsia" w:eastAsiaTheme="minorEastAsia" w:cstheme="minorEastAsia"/>
          <w:sz w:val="24"/>
        </w:rPr>
        <w:t>范围免费救援）及上门取送车服务；</w:t>
      </w:r>
    </w:p>
    <w:p>
      <w:pPr>
        <w:spacing w:line="360" w:lineRule="auto"/>
        <w:ind w:firstLine="511" w:firstLineChars="213"/>
        <w:rPr>
          <w:rFonts w:cs="仿宋" w:asciiTheme="minorEastAsia" w:hAnsiTheme="minorEastAsia" w:eastAsiaTheme="minorEastAsia"/>
          <w:sz w:val="24"/>
        </w:rPr>
      </w:pP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免费代办车辆年检（特检）、行驶证变更等服务（费用实报实销）。</w:t>
      </w:r>
    </w:p>
    <w:p>
      <w:pPr>
        <w:widowControl/>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9</w:t>
      </w:r>
      <w:r>
        <w:rPr>
          <w:rFonts w:hint="eastAsia" w:asciiTheme="minorEastAsia" w:hAnsiTheme="minorEastAsia" w:eastAsiaTheme="minorEastAsia"/>
          <w:kern w:val="0"/>
          <w:sz w:val="24"/>
          <w:szCs w:val="24"/>
        </w:rPr>
        <w:t>、乙方不得虚报维修项目、维修工时、诊断、加工、检测费用及材料费用，如有发现处1000元/次的罚款，达到三次甲方有权解除合同，并追究乙方的责任。</w:t>
      </w:r>
    </w:p>
    <w:p>
      <w:pPr>
        <w:widowControl/>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10</w:t>
      </w:r>
      <w:r>
        <w:rPr>
          <w:rFonts w:hint="eastAsia" w:asciiTheme="minorEastAsia" w:hAnsiTheme="minorEastAsia" w:eastAsiaTheme="minorEastAsia"/>
          <w:kern w:val="0"/>
          <w:sz w:val="24"/>
          <w:szCs w:val="24"/>
        </w:rPr>
        <w:t>、甲方车辆所需维修配件由乙方采购，乙方对维修车辆使用的零配件、燃润料等应当符合相关产品质量标准的要求。对更换的配件，甲方有权将更换的配件收回，在车辆维修中，乙方不得使用“三无”产品、假冒伪劣产品、不合格产品，以旧充新、少修多收、质价不符等欺诈行为，如有发现处1000元/次的罚款，达到三次甲方有权解除合同，并追究乙方的责任。</w:t>
      </w:r>
    </w:p>
    <w:p>
      <w:pPr>
        <w:snapToGrid w:val="0"/>
        <w:spacing w:line="360" w:lineRule="auto"/>
        <w:ind w:firstLine="561"/>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r>
        <w:rPr>
          <w:rFonts w:asciiTheme="minorEastAsia" w:hAnsiTheme="minorEastAsia" w:eastAsiaTheme="minorEastAsia"/>
          <w:kern w:val="0"/>
          <w:sz w:val="24"/>
          <w:szCs w:val="24"/>
        </w:rPr>
        <w:t>1</w:t>
      </w:r>
      <w:r>
        <w:rPr>
          <w:rFonts w:hint="eastAsia" w:asciiTheme="minorEastAsia" w:hAnsiTheme="minorEastAsia" w:eastAsiaTheme="minorEastAsia"/>
          <w:kern w:val="0"/>
          <w:sz w:val="24"/>
          <w:szCs w:val="24"/>
        </w:rPr>
        <w:t>、质量保证期自维修竣工出厂之日起计算，</w:t>
      </w:r>
      <w:r>
        <w:rPr>
          <w:rFonts w:asciiTheme="minorEastAsia" w:hAnsiTheme="minorEastAsia" w:eastAsiaTheme="minorEastAsia"/>
          <w:kern w:val="0"/>
          <w:sz w:val="24"/>
          <w:szCs w:val="24"/>
        </w:rPr>
        <w:t>大修质保达1年（或50000公里）、二级维护达半年（或20000公里）、小修质保达3个月（或5000公里）</w:t>
      </w:r>
      <w:r>
        <w:rPr>
          <w:rFonts w:hint="eastAsia" w:asciiTheme="minorEastAsia" w:hAnsiTheme="minorEastAsia" w:eastAsiaTheme="minorEastAsia"/>
          <w:kern w:val="0"/>
          <w:sz w:val="24"/>
          <w:szCs w:val="24"/>
        </w:rPr>
        <w:t>，在质量保证期内，凡因维修质量造成汽车故障、机件损坏、造成的机械事故和经济损失，由乙方承担全部责任。</w:t>
      </w:r>
    </w:p>
    <w:p>
      <w:pPr>
        <w:widowControl/>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如因甲方违反国家有关车辆驾驶规定、人为的造成车辆损坏的，乙方不承担赔偿责任。甲乙双方如发生争议，可将争议事项提交国家有关部门鉴定，明确经济责任。</w:t>
      </w:r>
    </w:p>
    <w:p>
      <w:pPr>
        <w:widowControl/>
        <w:snapToGri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r>
        <w:rPr>
          <w:rFonts w:asciiTheme="minorEastAsia" w:hAnsiTheme="minorEastAsia" w:eastAsiaTheme="minorEastAsia"/>
          <w:kern w:val="0"/>
          <w:sz w:val="24"/>
          <w:szCs w:val="24"/>
        </w:rPr>
        <w:t>2</w:t>
      </w:r>
      <w:r>
        <w:rPr>
          <w:rFonts w:hint="eastAsia" w:asciiTheme="minorEastAsia" w:hAnsiTheme="minorEastAsia" w:eastAsiaTheme="minorEastAsia"/>
          <w:kern w:val="0"/>
          <w:sz w:val="24"/>
          <w:szCs w:val="24"/>
        </w:rPr>
        <w:t>、车辆送检，无特殊情况下乙方在两个工作日内将车辆送检合格，甲方在送检前应提供车辆行驶证、保险凭证等相关证件复印件，并确保该车辆无违章行为，送检费用由甲方负责。</w:t>
      </w:r>
    </w:p>
    <w:p>
      <w:pPr>
        <w:widowControl/>
        <w:snapToGri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r>
        <w:rPr>
          <w:rFonts w:asciiTheme="minorEastAsia" w:hAnsiTheme="minorEastAsia" w:eastAsiaTheme="minorEastAsia"/>
          <w:kern w:val="0"/>
          <w:sz w:val="24"/>
          <w:szCs w:val="24"/>
        </w:rPr>
        <w:t>3</w:t>
      </w:r>
      <w:r>
        <w:rPr>
          <w:rFonts w:hint="eastAsia" w:asciiTheme="minorEastAsia" w:hAnsiTheme="minorEastAsia" w:eastAsiaTheme="minorEastAsia"/>
          <w:kern w:val="0"/>
          <w:sz w:val="24"/>
          <w:szCs w:val="24"/>
        </w:rPr>
        <w:t>、甲方双方按每两个月进行阶段性结算付款，每两个月结束后，该阶段完成的项目内容经甲方验收合格并达到付款条件的</w:t>
      </w:r>
      <w:r>
        <w:rPr>
          <w:rFonts w:asciiTheme="minorEastAsia" w:hAnsiTheme="minorEastAsia" w:eastAsiaTheme="minorEastAsia"/>
          <w:kern w:val="0"/>
          <w:sz w:val="24"/>
          <w:szCs w:val="24"/>
        </w:rPr>
        <w:t>10</w:t>
      </w:r>
      <w:r>
        <w:rPr>
          <w:rFonts w:hint="eastAsia" w:asciiTheme="minorEastAsia" w:hAnsiTheme="minorEastAsia" w:eastAsiaTheme="minorEastAsia"/>
          <w:kern w:val="0"/>
          <w:sz w:val="24"/>
          <w:szCs w:val="24"/>
        </w:rPr>
        <w:t>天内，甲方向乙方支付该阶段100%的结算价款，每笔付款之前，乙方应开具合法有效发票；实际收款单位应与合同签订单位一致。</w:t>
      </w:r>
    </w:p>
    <w:p>
      <w:pPr>
        <w:widowControl/>
        <w:snapToGri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r>
        <w:rPr>
          <w:rFonts w:asciiTheme="minorEastAsia" w:hAnsiTheme="minorEastAsia" w:eastAsiaTheme="minorEastAsia"/>
          <w:kern w:val="0"/>
          <w:sz w:val="24"/>
          <w:szCs w:val="24"/>
        </w:rPr>
        <w:t>4</w:t>
      </w:r>
      <w:r>
        <w:rPr>
          <w:rFonts w:hint="eastAsia" w:asciiTheme="minorEastAsia" w:hAnsiTheme="minorEastAsia" w:eastAsiaTheme="minorEastAsia"/>
          <w:kern w:val="0"/>
          <w:sz w:val="24"/>
          <w:szCs w:val="24"/>
        </w:rPr>
        <w:t>、甲方司机在修车期间收取乙方及乙方有关部门钱物的或以种种借口领取汽车配件的，如有发现，甲方有权拒付本次修理费用。</w:t>
      </w:r>
    </w:p>
    <w:p>
      <w:pPr>
        <w:widowControl/>
        <w:snapToGrid w:val="0"/>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r>
        <w:rPr>
          <w:rFonts w:asciiTheme="minorEastAsia" w:hAnsiTheme="minorEastAsia" w:eastAsiaTheme="minorEastAsia"/>
          <w:kern w:val="0"/>
          <w:sz w:val="24"/>
          <w:szCs w:val="24"/>
        </w:rPr>
        <w:t>5</w:t>
      </w:r>
      <w:r>
        <w:rPr>
          <w:rFonts w:hint="eastAsia" w:asciiTheme="minorEastAsia" w:hAnsiTheme="minorEastAsia" w:eastAsiaTheme="minorEastAsia"/>
          <w:kern w:val="0"/>
          <w:sz w:val="24"/>
          <w:szCs w:val="24"/>
        </w:rPr>
        <w:t>、乙方未经甲方认可，擅自扩大修理项目，或甲方送车司机借车辆大修之机进行汽车装潢或配置不属处理范围的配件、工具等物品的，甲方概不承担其费用。</w:t>
      </w:r>
    </w:p>
    <w:p>
      <w:pPr>
        <w:autoSpaceDE w:val="0"/>
        <w:autoSpaceDN w:val="0"/>
        <w:spacing w:line="360" w:lineRule="auto"/>
        <w:ind w:right="297" w:firstLine="480" w:firstLineChars="200"/>
        <w:outlineLvl w:val="0"/>
        <w:rPr>
          <w:rFonts w:asciiTheme="minorEastAsia" w:hAnsiTheme="minorEastAsia" w:eastAsiaTheme="minorEastAsia" w:cstheme="minorEastAsia"/>
          <w:sz w:val="24"/>
          <w:szCs w:val="24"/>
          <w:lang w:bidi="zh-CN"/>
        </w:rPr>
      </w:pPr>
      <w:r>
        <w:rPr>
          <w:rFonts w:hint="eastAsia" w:asciiTheme="minorEastAsia" w:hAnsiTheme="minorEastAsia" w:eastAsiaTheme="minorEastAsia"/>
          <w:kern w:val="0"/>
          <w:sz w:val="24"/>
          <w:szCs w:val="24"/>
        </w:rPr>
        <w:t>1</w:t>
      </w:r>
      <w:r>
        <w:rPr>
          <w:rFonts w:asciiTheme="minorEastAsia" w:hAnsiTheme="minorEastAsia" w:eastAsiaTheme="minorEastAsia"/>
          <w:kern w:val="0"/>
          <w:sz w:val="24"/>
          <w:szCs w:val="24"/>
        </w:rPr>
        <w:t>6</w:t>
      </w:r>
      <w:r>
        <w:rPr>
          <w:rFonts w:hint="eastAsia" w:asciiTheme="minorEastAsia" w:hAnsiTheme="minorEastAsia" w:eastAsiaTheme="minorEastAsia"/>
          <w:kern w:val="0"/>
          <w:sz w:val="24"/>
          <w:szCs w:val="24"/>
        </w:rPr>
        <w:t>、</w:t>
      </w:r>
      <w:r>
        <w:rPr>
          <w:rFonts w:hint="eastAsia" w:asciiTheme="minorEastAsia" w:hAnsiTheme="minorEastAsia" w:eastAsiaTheme="minorEastAsia" w:cstheme="minorEastAsia"/>
          <w:sz w:val="24"/>
          <w:szCs w:val="24"/>
          <w:lang w:bidi="zh-CN"/>
        </w:rPr>
        <w:t>履约保证金</w:t>
      </w:r>
    </w:p>
    <w:p>
      <w:pPr>
        <w:autoSpaceDE w:val="0"/>
        <w:autoSpaceDN w:val="0"/>
        <w:spacing w:line="360" w:lineRule="auto"/>
        <w:ind w:right="297" w:firstLine="480" w:firstLineChars="200"/>
        <w:outlineLvl w:val="0"/>
        <w:rPr>
          <w:rFonts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（1）乙方应在本合同签订前向甲方支付</w:t>
      </w:r>
      <w:r>
        <w:rPr>
          <w:rFonts w:hint="eastAsia" w:cs="宋体" w:asciiTheme="minorEastAsia" w:hAnsiTheme="minorEastAsia" w:eastAsiaTheme="minorEastAsia"/>
          <w:b/>
          <w:sz w:val="24"/>
          <w:szCs w:val="24"/>
        </w:rPr>
        <w:t>履约保证金：</w:t>
      </w:r>
      <w:r>
        <w:rPr>
          <w:rFonts w:hint="eastAsia" w:asciiTheme="minorEastAsia" w:hAnsiTheme="minorEastAsia" w:eastAsiaTheme="minorEastAsia" w:cstheme="minorEastAsia"/>
          <w:b/>
          <w:bCs/>
          <w:sz w:val="24"/>
          <w:szCs w:val="24"/>
          <w:u w:val="single"/>
          <w:lang w:bidi="zh-CN"/>
        </w:rPr>
        <w:t xml:space="preserve"> </w:t>
      </w:r>
      <w:r>
        <w:rPr>
          <w:rFonts w:hint="eastAsia" w:asciiTheme="minorEastAsia" w:hAnsiTheme="minorEastAsia" w:eastAsiaTheme="minorEastAsia" w:cstheme="minorEastAsia"/>
          <w:b/>
          <w:bCs/>
          <w:sz w:val="24"/>
          <w:szCs w:val="24"/>
          <w:u w:val="single"/>
          <w:lang w:val="en-US" w:bidi="zh-CN"/>
        </w:rPr>
        <w:t xml:space="preserve">   </w:t>
      </w:r>
      <w:r>
        <w:rPr>
          <w:rFonts w:asciiTheme="minorEastAsia" w:hAnsiTheme="minorEastAsia" w:eastAsiaTheme="minorEastAsia" w:cstheme="minorEastAsia"/>
          <w:b/>
          <w:bCs/>
          <w:sz w:val="24"/>
          <w:szCs w:val="24"/>
          <w:u w:val="single"/>
          <w:lang w:bidi="zh-CN"/>
        </w:rPr>
        <w:t xml:space="preserve"> </w:t>
      </w:r>
      <w:r>
        <w:rPr>
          <w:rFonts w:hint="eastAsia" w:asciiTheme="minorEastAsia" w:hAnsiTheme="minorEastAsia" w:eastAsiaTheme="minorEastAsia" w:cstheme="minorEastAsia"/>
          <w:b/>
          <w:bCs/>
          <w:sz w:val="24"/>
          <w:szCs w:val="24"/>
          <w:u w:val="single"/>
          <w:lang w:bidi="zh-CN"/>
        </w:rPr>
        <w:t>元</w:t>
      </w:r>
      <w:r>
        <w:rPr>
          <w:rFonts w:hint="eastAsia" w:asciiTheme="minorEastAsia" w:hAnsiTheme="minorEastAsia" w:eastAsiaTheme="minorEastAsia" w:cstheme="minorEastAsia"/>
          <w:sz w:val="24"/>
          <w:szCs w:val="24"/>
          <w:lang w:bidi="zh-CN"/>
        </w:rPr>
        <w:t>，支付方式为现金/转账。未能按期缴纳履约保证金的，视为放弃中标。</w:t>
      </w:r>
    </w:p>
    <w:p>
      <w:pPr>
        <w:autoSpaceDE w:val="0"/>
        <w:autoSpaceDN w:val="0"/>
        <w:spacing w:line="360" w:lineRule="auto"/>
        <w:ind w:right="297" w:firstLine="480" w:firstLineChars="200"/>
        <w:outlineLvl w:val="0"/>
        <w:rPr>
          <w:rFonts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（2）本项目服务期内的所有年度合同履行完毕后，经甲方确认后，无息返还履约保证金。</w:t>
      </w:r>
    </w:p>
    <w:p>
      <w:pPr>
        <w:autoSpaceDE w:val="0"/>
        <w:autoSpaceDN w:val="0"/>
        <w:spacing w:line="360" w:lineRule="auto"/>
        <w:ind w:right="297" w:firstLine="480" w:firstLineChars="200"/>
        <w:jc w:val="left"/>
        <w:outlineLvl w:val="0"/>
        <w:rPr>
          <w:rFonts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（3）</w:t>
      </w:r>
      <w:r>
        <w:rPr>
          <w:rFonts w:hint="eastAsia" w:asciiTheme="minorEastAsia" w:hAnsiTheme="minorEastAsia" w:eastAsiaTheme="minorEastAsia"/>
          <w:kern w:val="0"/>
          <w:sz w:val="24"/>
          <w:szCs w:val="24"/>
        </w:rPr>
        <w:t>乙方在履约过程中，多次出现不能按时完成车辆维修保养任务和维修保养质量低劣情形的，</w:t>
      </w:r>
      <w:r>
        <w:rPr>
          <w:rFonts w:hint="eastAsia" w:asciiTheme="minorEastAsia" w:hAnsiTheme="minorEastAsia" w:eastAsiaTheme="minorEastAsia" w:cstheme="minorEastAsia"/>
          <w:sz w:val="24"/>
          <w:szCs w:val="24"/>
          <w:lang w:bidi="zh-CN"/>
        </w:rPr>
        <w:t>甲方有权在履约保证金中直接扣除乙方应支付的违约金或损失赔偿额，如有不足，由乙方另行承担赔偿责任，</w:t>
      </w:r>
      <w:r>
        <w:rPr>
          <w:rFonts w:hint="eastAsia" w:asciiTheme="minorEastAsia" w:hAnsiTheme="minorEastAsia" w:eastAsiaTheme="minorEastAsia"/>
          <w:kern w:val="0"/>
          <w:sz w:val="24"/>
          <w:szCs w:val="24"/>
        </w:rPr>
        <w:t>甲方有权单方面终止本合同，并追究乙方的违约责任。</w:t>
      </w:r>
    </w:p>
    <w:p>
      <w:pPr>
        <w:widowControl/>
        <w:snapToGri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r>
        <w:rPr>
          <w:rFonts w:asciiTheme="minorEastAsia" w:hAnsiTheme="minorEastAsia" w:eastAsiaTheme="minorEastAsia"/>
          <w:kern w:val="0"/>
          <w:sz w:val="24"/>
          <w:szCs w:val="24"/>
        </w:rPr>
        <w:t>7</w:t>
      </w:r>
      <w:r>
        <w:rPr>
          <w:rFonts w:hint="eastAsia" w:asciiTheme="minorEastAsia" w:hAnsiTheme="minorEastAsia" w:eastAsiaTheme="minorEastAsia"/>
          <w:kern w:val="0"/>
          <w:sz w:val="24"/>
          <w:szCs w:val="24"/>
        </w:rPr>
        <w:t>、本协议自签订之日起生效，招标有效期（服务期限）为三年，</w:t>
      </w:r>
      <w:r>
        <w:rPr>
          <w:rFonts w:hint="eastAsia" w:ascii="宋体" w:hAnsi="宋体" w:eastAsia="宋体" w:cs="宋体"/>
          <w:color w:val="000000"/>
          <w:sz w:val="24"/>
          <w:szCs w:val="24"/>
        </w:rPr>
        <w:t>合同一年一签，合同期满后，经业主单位考核，经双方协商一致，方可续签下一年合同</w:t>
      </w:r>
      <w:r>
        <w:rPr>
          <w:rFonts w:hint="eastAsia" w:asciiTheme="minorEastAsia" w:hAnsiTheme="minorEastAsia" w:eastAsiaTheme="minorEastAsia"/>
          <w:kern w:val="0"/>
          <w:sz w:val="24"/>
          <w:szCs w:val="24"/>
        </w:rPr>
        <w:t>。</w:t>
      </w:r>
    </w:p>
    <w:p>
      <w:pPr>
        <w:widowControl/>
        <w:snapToGri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r>
        <w:rPr>
          <w:rFonts w:asciiTheme="minorEastAsia" w:hAnsiTheme="minorEastAsia" w:eastAsiaTheme="minorEastAsia"/>
          <w:kern w:val="0"/>
          <w:sz w:val="24"/>
          <w:szCs w:val="24"/>
        </w:rPr>
        <w:t>8</w:t>
      </w:r>
      <w:r>
        <w:rPr>
          <w:rFonts w:hint="eastAsia" w:asciiTheme="minorEastAsia" w:hAnsiTheme="minorEastAsia" w:eastAsiaTheme="minorEastAsia"/>
          <w:kern w:val="0"/>
          <w:sz w:val="24"/>
          <w:szCs w:val="24"/>
        </w:rPr>
        <w:t>、中标人的成交价在合同实施期间不得因市场变化因素或政策发生重大变化而变动。</w:t>
      </w:r>
    </w:p>
    <w:p>
      <w:pPr>
        <w:widowControl/>
        <w:snapToGrid w:val="0"/>
        <w:spacing w:line="360" w:lineRule="auto"/>
        <w:ind w:firstLine="480" w:firstLineChars="200"/>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w:t>
      </w:r>
      <w:r>
        <w:rPr>
          <w:rFonts w:asciiTheme="minorEastAsia" w:hAnsiTheme="minorEastAsia" w:eastAsiaTheme="minorEastAsia"/>
          <w:kern w:val="0"/>
          <w:sz w:val="24"/>
          <w:szCs w:val="24"/>
        </w:rPr>
        <w:t>9</w:t>
      </w:r>
      <w:r>
        <w:rPr>
          <w:rFonts w:hint="eastAsia" w:asciiTheme="minorEastAsia" w:hAnsiTheme="minorEastAsia" w:eastAsiaTheme="minorEastAsia"/>
          <w:kern w:val="0"/>
          <w:sz w:val="24"/>
          <w:szCs w:val="24"/>
        </w:rPr>
        <w:t>、本合同一式四份，甲乙双方各持两份。</w:t>
      </w:r>
    </w:p>
    <w:p>
      <w:pPr>
        <w:adjustRightInd w:val="0"/>
        <w:spacing w:line="560" w:lineRule="exact"/>
        <w:ind w:firstLine="480" w:firstLineChars="200"/>
        <w:textAlignment w:val="baseline"/>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甲方（公章）：                      乙方（公章）：</w:t>
      </w:r>
    </w:p>
    <w:p>
      <w:pPr>
        <w:adjustRightInd w:val="0"/>
        <w:spacing w:line="560" w:lineRule="exact"/>
        <w:ind w:firstLine="480" w:firstLineChars="200"/>
        <w:textAlignment w:val="baseline"/>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甲方代表：</w:t>
      </w:r>
      <w:r>
        <w:rPr>
          <w:rFonts w:asciiTheme="minorEastAsia" w:hAnsiTheme="minorEastAsia" w:eastAsiaTheme="minorEastAsia"/>
          <w:kern w:val="0"/>
          <w:sz w:val="24"/>
          <w:szCs w:val="24"/>
        </w:rPr>
        <w:tab/>
      </w: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 xml:space="preserve"> 乙方代表：</w:t>
      </w:r>
    </w:p>
    <w:p>
      <w:pPr>
        <w:adjustRightInd w:val="0"/>
        <w:spacing w:line="560" w:lineRule="exact"/>
        <w:ind w:firstLine="480" w:firstLineChars="200"/>
        <w:textAlignment w:val="baseline"/>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开户银行：                        </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 xml:space="preserve"> 开户银行：</w:t>
      </w:r>
    </w:p>
    <w:p>
      <w:pPr>
        <w:adjustRightInd w:val="0"/>
        <w:spacing w:line="560" w:lineRule="exact"/>
        <w:ind w:firstLine="480" w:firstLineChars="200"/>
        <w:textAlignment w:val="baseline"/>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银行账号：                        </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 xml:space="preserve"> 银行账号：</w:t>
      </w:r>
    </w:p>
    <w:p>
      <w:pPr>
        <w:adjustRightInd w:val="0"/>
        <w:spacing w:line="560" w:lineRule="exact"/>
        <w:ind w:firstLine="480" w:firstLineChars="200"/>
        <w:textAlignment w:val="baseline"/>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联系电话：                         </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联系电话：</w:t>
      </w:r>
    </w:p>
    <w:p>
      <w:pPr>
        <w:adjustRightInd w:val="0"/>
        <w:spacing w:line="560" w:lineRule="exact"/>
        <w:ind w:firstLine="480" w:firstLineChars="200"/>
        <w:textAlignment w:val="baseline"/>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地    址：                         </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地    址：</w:t>
      </w:r>
    </w:p>
    <w:p>
      <w:pPr>
        <w:adjustRightInd w:val="0"/>
        <w:spacing w:line="560" w:lineRule="exact"/>
        <w:ind w:firstLine="480" w:firstLineChars="200"/>
        <w:jc w:val="right"/>
        <w:textAlignment w:val="baseline"/>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日期：  年  月  日</w:t>
      </w:r>
    </w:p>
    <w:p>
      <w:pPr>
        <w:widowControl/>
        <w:numPr>
          <w:ilvl w:val="0"/>
          <w:numId w:val="2"/>
        </w:numPr>
        <w:jc w:val="left"/>
        <w:rPr>
          <w:rFonts w:asciiTheme="minorEastAsia" w:hAnsiTheme="minorEastAsia" w:eastAsiaTheme="minorEastAsia"/>
          <w:b/>
          <w:w w:val="80"/>
          <w:sz w:val="32"/>
          <w:szCs w:val="32"/>
        </w:rPr>
      </w:pPr>
      <w:r>
        <w:rPr>
          <w:rFonts w:asciiTheme="minorEastAsia" w:hAnsiTheme="minorEastAsia" w:eastAsiaTheme="minorEastAsia"/>
          <w:b/>
          <w:w w:val="80"/>
          <w:sz w:val="32"/>
          <w:szCs w:val="32"/>
        </w:rPr>
        <w:br w:type="page"/>
      </w: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 xml:space="preserve">第六章  </w:t>
      </w:r>
      <w:bookmarkEnd w:id="7"/>
      <w:r>
        <w:rPr>
          <w:rFonts w:hint="eastAsia" w:asciiTheme="minorEastAsia" w:hAnsiTheme="minorEastAsia" w:eastAsiaTheme="minorEastAsia"/>
          <w:b/>
          <w:w w:val="80"/>
          <w:sz w:val="32"/>
          <w:szCs w:val="32"/>
        </w:rPr>
        <w:t>履约验收及付款</w:t>
      </w:r>
      <w:bookmarkEnd w:id="8"/>
    </w:p>
    <w:p>
      <w:pPr>
        <w:spacing w:line="420" w:lineRule="exact"/>
        <w:ind w:firstLine="484" w:firstLineChars="202"/>
        <w:rPr>
          <w:rFonts w:asciiTheme="minorEastAsia" w:hAnsiTheme="minorEastAsia" w:eastAsiaTheme="minorEastAsia"/>
          <w:kern w:val="0"/>
          <w:sz w:val="24"/>
          <w:szCs w:val="24"/>
        </w:rPr>
      </w:pPr>
      <w:bookmarkStart w:id="9" w:name="_Toc363573859"/>
      <w:r>
        <w:rPr>
          <w:rFonts w:hint="eastAsia" w:asciiTheme="minorEastAsia" w:hAnsiTheme="minorEastAsia" w:eastAsiaTheme="minorEastAsia"/>
          <w:kern w:val="0"/>
          <w:sz w:val="24"/>
          <w:szCs w:val="24"/>
        </w:rPr>
        <w:t>一、招标人和中标人应相互配合，按采购合同约定积极组织本项目的实施，确保按时履约提供服务。</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二、履约完成后，中标人应以书面形式向招标人提出验收申请，招标人接到申请后应及时组织验收。</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三、招标人、中标人不按采购合同规定履约，出现违约情形，应当及时纠正或补偿，造成损失的，按合同约定追究违约责任；履约中发现有假冒、伪劣、走私产品、商业贿赂等违法情形的，应由招标人移交工商、质监、公安等行政执法部门依法查处。</w:t>
      </w:r>
    </w:p>
    <w:p>
      <w:pPr>
        <w:spacing w:line="420" w:lineRule="exact"/>
        <w:ind w:firstLine="484" w:firstLineChars="202"/>
        <w:rPr>
          <w:rFonts w:asciiTheme="minorEastAsia" w:hAnsiTheme="minorEastAsia" w:eastAsiaTheme="minorEastAsia"/>
          <w:kern w:val="0"/>
          <w:sz w:val="24"/>
          <w:szCs w:val="24"/>
        </w:rPr>
      </w:pP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asciiTheme="minorEastAsia" w:hAnsiTheme="minorEastAsia" w:eastAsiaTheme="minorEastAsia"/>
          <w:b/>
          <w:w w:val="80"/>
          <w:sz w:val="32"/>
          <w:szCs w:val="32"/>
        </w:rPr>
        <w:t>第</w:t>
      </w:r>
      <w:r>
        <w:rPr>
          <w:rFonts w:hint="eastAsia" w:asciiTheme="minorEastAsia" w:hAnsiTheme="minorEastAsia" w:eastAsiaTheme="minorEastAsia"/>
          <w:b/>
          <w:w w:val="80"/>
          <w:sz w:val="32"/>
          <w:szCs w:val="32"/>
        </w:rPr>
        <w:t>七</w:t>
      </w:r>
      <w:r>
        <w:rPr>
          <w:rFonts w:asciiTheme="minorEastAsia" w:hAnsiTheme="minorEastAsia" w:eastAsiaTheme="minorEastAsia"/>
          <w:b/>
          <w:w w:val="80"/>
          <w:sz w:val="32"/>
          <w:szCs w:val="32"/>
        </w:rPr>
        <w:t xml:space="preserve">章 </w:t>
      </w:r>
      <w:r>
        <w:rPr>
          <w:rFonts w:hint="eastAsia" w:asciiTheme="minorEastAsia" w:hAnsiTheme="minorEastAsia" w:eastAsiaTheme="minorEastAsia"/>
          <w:b/>
          <w:w w:val="80"/>
          <w:sz w:val="32"/>
          <w:szCs w:val="32"/>
        </w:rPr>
        <w:t xml:space="preserve"> 质疑与投诉</w:t>
      </w:r>
      <w:bookmarkEnd w:id="9"/>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一、质疑的提出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1、质疑必须是直接参加本次招投标活动的当事人。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2、取得招标文件的投标人应根据招标文件第二章 “投标人须知”中“第一条第4款”的约定提出质疑。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投标文件接收截止后未进行投标登记的投标人，不能就投标文件接收截止后的招标过程、中标结果提出质疑。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在招标过程中，凡主持人或评标委员会明确提出须由投标人确认的事项，投标人当场无异议的，事后不得提出质疑、投诉。</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3、提出质疑时，必须坚持“谁主张，谁举证”、“实事求是”的原则，不能臆测。</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属于须由法定部门调查、侦查或先行作出相关认定的事项，质疑人应当依法申请具有法定职权的部门查清、认定，并将相关结果提供给招标人、招标代理机构。</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招标人、招标代理机构不具有法定调查、认定的权限。</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4、对本次招投标有质疑的，须实名制以书面形式提出，不得进行匿名、虚假、恶意质疑。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质疑人应在质疑有效期内以书面形式提出《质疑函》。</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《质疑函》内容应包括质疑事项、主要内容、事实依据、适应法规条款、佐证材料等。</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质疑人应保证其提出的质疑内容及相关佐证材料的真实性及来源的合法性，并承担相应的法律责任。</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对不能提供相关佐证材料的、涉及商业秘密的、非书面形式的、非送达的、匿名的《质疑函》将不予受理，视作无效质疑。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相关佐证材料要具备客观性、关联性、合法性，无法查实的（如宣传册、媒体报道、猜测、推理等）不能作为佐证材料。</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招标人、招标代理机构不负责搜集相关佐证材料等工作。</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二、《质疑函》的受理和回复</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1、《质疑函》须由质疑人的法定代表人或参加本次招标授权人送达采购单位和招标人。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对符合提出质疑要求的，招标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3、对不符合提出质疑要求的《质疑函》，出具《质疑退回通知书》并提出相关补充材料要求，质疑人未在规定时间内提供补充佐证材料的，视同放弃质疑。</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4、招标人负责将质疑人提交的质疑相关材料提供给相关专家或评标委员会审核，并将审核意见回复质疑人。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必要时，可向被质疑投标人（以下称被质疑人）转发《质疑函》及相关佐证材料。</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被质疑人应当在要求的时间日期内，以书面形式作出说明回复，并提交相关证据。</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被质疑人在规定时间内，无正当理由未提交相关证据的，视同放弃说明权利，认可被质疑事项。</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5、因质疑情况复杂，组织论证或审查时间较长的，招标人以书面形式通知质疑人，可适当延长质疑回复处理时间。</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三、质疑处理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1、质疑成立的处理。招标人终止采购，并建议有关部门给相关当事人予以处理。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2、质疑不成立的处理：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（1）质疑人书面《申请撤回质疑函》。</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（2）质疑人在规定的时间内不配合进行质疑调查处理的，按自动撤回《质疑函》处理。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（3）质疑人不按《质疑函》格式就提出质疑的，视情列入不良投标人名单。</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质疑人不能提供相关佐证材料的，招标人已指出，质疑人仍然坚持提出质疑的，质疑人虽提供了相关佐证材料，但不能证明其质疑成立的，招标人请质疑人补充相关佐证材料，仍不能证明其质疑成立的，列入不良投标人名单。</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对明显有违背事实的、经相关专家或评委认定无依据的、经其他投标人举证无依据的质疑，列入不良投标人名单；同时，对其中每一项不成立的质疑给予质疑人1年内禁入采购活动的处理，依次类推；视情在南通市公共资源交易网、省、国家级相关媒体予以披露。</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（6）质疑人承担使用虚假材料或恶意方式质疑的法律责任。</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四、无佐证材料的举报作违约处理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投标人不得进行不提供相关佐证材料向有关部门的举报，否则对其在1至3年内禁入招标人单位的采购活动。</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无法查实的如宣传册、媒体报道、猜测、推理等，不作为相关佐证材料。</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五、投诉的提出</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质疑人对招标人的答复不满意或者招标人未在规定的时间内做出答复的，可以在答复期满后15个工作日内向招标人的上级主管部门投诉。</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六、投诉不成立的作违约处理</w:t>
      </w:r>
    </w:p>
    <w:p>
      <w:pPr>
        <w:snapToGrid w:val="0"/>
        <w:spacing w:line="42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投标人进行质疑后，招标人回复质疑不成立，投标人仍进行投诉的，并最终投诉不成立的，对其在1至3年内禁入招标人单位的采购活动。</w:t>
      </w:r>
    </w:p>
    <w:p>
      <w:pPr>
        <w:snapToGrid w:val="0"/>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七、质疑、举报、投诉不成立的等相关情况</w:t>
      </w:r>
    </w:p>
    <w:p>
      <w:pPr>
        <w:spacing w:line="420" w:lineRule="exact"/>
        <w:ind w:firstLine="484" w:firstLineChars="202"/>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《质疑函》、《质疑回复函》，质疑、举报、投诉不成立的等相关情况，视情在省市、国家级等相关媒体予以披露。并建议相关采购机构对该投标人同步实施1至3年内禁入。</w:t>
      </w:r>
    </w:p>
    <w:p>
      <w:pPr>
        <w:pStyle w:val="21"/>
        <w:rPr>
          <w:rFonts w:asciiTheme="minorEastAsia" w:hAnsiTheme="minorEastAsia" w:eastAsiaTheme="minorEastAsia"/>
          <w:kern w:val="0"/>
          <w:sz w:val="24"/>
          <w:szCs w:val="24"/>
        </w:rPr>
      </w:pPr>
    </w:p>
    <w:p>
      <w:pPr>
        <w:widowControl/>
        <w:jc w:val="left"/>
        <w:rPr>
          <w:rFonts w:asciiTheme="minorEastAsia" w:hAnsiTheme="minorEastAsia" w:eastAsiaTheme="minorEastAsia"/>
          <w:b/>
          <w:w w:val="80"/>
          <w:sz w:val="32"/>
          <w:szCs w:val="32"/>
        </w:rPr>
      </w:pPr>
      <w:bookmarkStart w:id="10" w:name="_Toc363573860"/>
      <w:r>
        <w:rPr>
          <w:rFonts w:asciiTheme="minorEastAsia" w:hAnsiTheme="minorEastAsia" w:eastAsiaTheme="minorEastAsia"/>
          <w:b/>
          <w:w w:val="80"/>
          <w:sz w:val="32"/>
          <w:szCs w:val="32"/>
        </w:rPr>
        <w:br w:type="page"/>
      </w:r>
    </w:p>
    <w:p>
      <w:pPr>
        <w:tabs>
          <w:tab w:val="left" w:pos="1050"/>
          <w:tab w:val="right" w:leader="dot" w:pos="9402"/>
        </w:tabs>
        <w:spacing w:before="240" w:beforeLines="100" w:line="600" w:lineRule="exact"/>
        <w:jc w:val="center"/>
        <w:outlineLvl w:val="0"/>
        <w:rPr>
          <w:rFonts w:asciiTheme="minorEastAsia" w:hAnsiTheme="minorEastAsia" w:eastAsiaTheme="minorEastAsia"/>
          <w:b/>
          <w:w w:val="80"/>
          <w:sz w:val="32"/>
          <w:szCs w:val="32"/>
        </w:rPr>
      </w:pPr>
      <w:r>
        <w:rPr>
          <w:rFonts w:hint="eastAsia" w:asciiTheme="minorEastAsia" w:hAnsiTheme="minorEastAsia" w:eastAsiaTheme="minorEastAsia"/>
          <w:b/>
          <w:w w:val="80"/>
          <w:sz w:val="32"/>
          <w:szCs w:val="32"/>
        </w:rPr>
        <w:t xml:space="preserve">第八章  </w:t>
      </w:r>
      <w:bookmarkEnd w:id="10"/>
      <w:r>
        <w:rPr>
          <w:rFonts w:hint="eastAsia" w:asciiTheme="minorEastAsia" w:hAnsiTheme="minorEastAsia" w:eastAsiaTheme="minorEastAsia"/>
          <w:b/>
          <w:w w:val="80"/>
          <w:sz w:val="32"/>
          <w:szCs w:val="32"/>
        </w:rPr>
        <w:t>投标文件的组成及格式</w:t>
      </w:r>
    </w:p>
    <w:p>
      <w:pPr>
        <w:adjustRightInd w:val="0"/>
        <w:snapToGrid w:val="0"/>
        <w:spacing w:line="420" w:lineRule="exact"/>
        <w:ind w:firstLine="487" w:firstLineChars="202"/>
        <w:jc w:val="left"/>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一、投标响应文件</w:t>
      </w:r>
    </w:p>
    <w:p>
      <w:pPr>
        <w:adjustRightInd w:val="0"/>
        <w:snapToGrid w:val="0"/>
        <w:spacing w:line="420" w:lineRule="exact"/>
        <w:ind w:firstLine="484" w:firstLineChars="202"/>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A、</w:t>
      </w:r>
      <w:r>
        <w:rPr>
          <w:rFonts w:asciiTheme="minorEastAsia" w:hAnsiTheme="minorEastAsia" w:eastAsiaTheme="minorEastAsia"/>
          <w:bCs/>
          <w:sz w:val="24"/>
          <w:szCs w:val="24"/>
        </w:rPr>
        <w:t>资格后审材料文件</w:t>
      </w:r>
    </w:p>
    <w:p>
      <w:pPr>
        <w:adjustRightInd w:val="0"/>
        <w:snapToGrid w:val="0"/>
        <w:spacing w:line="420" w:lineRule="exact"/>
        <w:ind w:firstLine="484" w:firstLineChars="202"/>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B、</w:t>
      </w:r>
      <w:r>
        <w:rPr>
          <w:rFonts w:asciiTheme="minorEastAsia" w:hAnsiTheme="minorEastAsia" w:eastAsiaTheme="minorEastAsia"/>
          <w:bCs/>
          <w:sz w:val="24"/>
          <w:szCs w:val="24"/>
        </w:rPr>
        <w:t>技术标响应文件</w:t>
      </w:r>
    </w:p>
    <w:p>
      <w:pPr>
        <w:adjustRightInd w:val="0"/>
        <w:snapToGrid w:val="0"/>
        <w:spacing w:line="420" w:lineRule="exact"/>
        <w:ind w:firstLine="484" w:firstLineChars="202"/>
        <w:jc w:val="left"/>
        <w:rPr>
          <w:rFonts w:cs="宋体" w:asciiTheme="minorEastAsia" w:hAnsiTheme="minorEastAsia" w:eastAsiaTheme="minorEastAsia"/>
          <w:bCs/>
          <w:sz w:val="24"/>
          <w:szCs w:val="24"/>
        </w:rPr>
      </w:pPr>
      <w:r>
        <w:rPr>
          <w:rFonts w:hint="eastAsia" w:asciiTheme="minorEastAsia" w:hAnsiTheme="minorEastAsia" w:eastAsiaTheme="minorEastAsia"/>
          <w:bCs/>
          <w:sz w:val="24"/>
          <w:szCs w:val="24"/>
        </w:rPr>
        <w:t>C、</w:t>
      </w:r>
      <w:r>
        <w:rPr>
          <w:rFonts w:asciiTheme="minorEastAsia" w:hAnsiTheme="minorEastAsia" w:eastAsiaTheme="minorEastAsia"/>
          <w:bCs/>
          <w:sz w:val="24"/>
          <w:szCs w:val="24"/>
        </w:rPr>
        <w:t>价格标响应文件</w:t>
      </w:r>
    </w:p>
    <w:p>
      <w:pPr>
        <w:widowControl/>
        <w:ind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二</w:t>
      </w:r>
      <w:r>
        <w:rPr>
          <w:rFonts w:hint="eastAsia" w:asciiTheme="minorEastAsia" w:hAnsiTheme="minorEastAsia" w:eastAsiaTheme="minorEastAsia"/>
          <w:b/>
          <w:sz w:val="24"/>
          <w:szCs w:val="24"/>
        </w:rPr>
        <w:t>、投标响应文件</w:t>
      </w:r>
    </w:p>
    <w:p>
      <w:pPr>
        <w:adjustRightInd w:val="0"/>
        <w:snapToGrid w:val="0"/>
        <w:spacing w:line="420" w:lineRule="exact"/>
        <w:ind w:firstLine="482" w:firstLineChars="200"/>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A、资格后审材料文件</w:t>
      </w:r>
    </w:p>
    <w:p>
      <w:pPr>
        <w:snapToGrid w:val="0"/>
        <w:spacing w:line="420" w:lineRule="exact"/>
        <w:ind w:firstLine="491" w:firstLineChars="205"/>
        <w:rPr>
          <w:rFonts w:asciiTheme="minorEastAsia" w:hAnsiTheme="minorEastAsia" w:eastAsiaTheme="minorEastAsia"/>
          <w:sz w:val="24"/>
          <w:szCs w:val="24"/>
        </w:rPr>
      </w:pPr>
      <w:r>
        <w:rPr>
          <w:rFonts w:hint="eastAsia" w:asciiTheme="minorEastAsia" w:hAnsiTheme="minorEastAsia" w:eastAsiaTheme="minorEastAsia"/>
          <w:sz w:val="24"/>
          <w:szCs w:val="24"/>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招标人有权取消其中标资格，并由该投标人承担由此带来可能的一切责任和损失。</w:t>
      </w:r>
    </w:p>
    <w:p>
      <w:pPr>
        <w:adjustRightInd w:val="0"/>
        <w:snapToGrid w:val="0"/>
        <w:spacing w:line="420" w:lineRule="exact"/>
        <w:ind w:firstLine="482" w:firstLineChars="200"/>
        <w:jc w:val="left"/>
        <w:outlineLvl w:val="3"/>
        <w:rPr>
          <w:rFonts w:asciiTheme="minorEastAsia" w:hAnsiTheme="minorEastAsia" w:eastAsiaTheme="minorEastAsia"/>
          <w:b/>
          <w:sz w:val="24"/>
          <w:szCs w:val="24"/>
        </w:rPr>
      </w:pPr>
      <w:r>
        <w:rPr>
          <w:rFonts w:hint="eastAsia" w:asciiTheme="minorEastAsia" w:hAnsiTheme="minorEastAsia" w:eastAsiaTheme="minorEastAsia"/>
          <w:b/>
          <w:sz w:val="24"/>
          <w:szCs w:val="24"/>
        </w:rPr>
        <w:t>A.1、目录</w:t>
      </w:r>
    </w:p>
    <w:tbl>
      <w:tblPr>
        <w:tblStyle w:val="5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51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blHeader/>
          <w:jc w:val="center"/>
        </w:trPr>
        <w:tc>
          <w:tcPr>
            <w:tcW w:w="567"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7513"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资格后审材料文件 清单</w:t>
            </w:r>
          </w:p>
        </w:tc>
        <w:tc>
          <w:tcPr>
            <w:tcW w:w="1559"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自行判断有否提供（√）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67"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7513" w:type="dxa"/>
            <w:vAlign w:val="center"/>
          </w:tcPr>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提供投标人的《企业法人营业执照》（副本）及《税务登记证》（副本）（提供新版“三证合一”企业法人营业执照的除外）原件的复印件（须加盖公章）。</w:t>
            </w:r>
            <w:r>
              <w:rPr>
                <w:rFonts w:hint="eastAsia" w:asciiTheme="minorEastAsia" w:hAnsiTheme="minorEastAsia" w:eastAsiaTheme="minorEastAsia"/>
                <w:b/>
                <w:bCs/>
                <w:sz w:val="24"/>
                <w:szCs w:val="24"/>
              </w:rPr>
              <w:t xml:space="preserve"> </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67"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7513" w:type="dxa"/>
            <w:vAlign w:val="center"/>
          </w:tcPr>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参加投标的，必须提供本人身份证原件的复印件（须加盖公章）；非法定代表人参加的，必须提供法定代表人身份证明及其签名或盖章的授权委托书及被委托受权人身份证这3项材料的原件的复印件（须加盖公章）。</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67" w:type="dxa"/>
            <w:vAlign w:val="center"/>
          </w:tcPr>
          <w:p>
            <w:pPr>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7513" w:type="dxa"/>
            <w:vAlign w:val="center"/>
          </w:tcPr>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投标人须为经南通市交通运输局备案的汽车整车维修企业，提供机动车维修企业备案公示截图（须加盖公章）；</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67" w:type="dxa"/>
            <w:vAlign w:val="center"/>
          </w:tcPr>
          <w:p>
            <w:pPr>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7513" w:type="dxa"/>
            <w:vAlign w:val="center"/>
          </w:tcPr>
          <w:p>
            <w:pP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highlight w:val="none"/>
              </w:rPr>
              <w:t>中标承诺函（须加盖公章）。</w:t>
            </w:r>
          </w:p>
        </w:tc>
        <w:tc>
          <w:tcPr>
            <w:tcW w:w="1559" w:type="dxa"/>
            <w:vAlign w:val="center"/>
          </w:tcPr>
          <w:p>
            <w:pPr>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67" w:type="dxa"/>
            <w:vAlign w:val="center"/>
          </w:tcPr>
          <w:p>
            <w:pPr>
              <w:spacing w:line="420" w:lineRule="exact"/>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5</w:t>
            </w:r>
          </w:p>
        </w:tc>
        <w:tc>
          <w:tcPr>
            <w:tcW w:w="7513" w:type="dxa"/>
            <w:vAlign w:val="center"/>
          </w:tcPr>
          <w:p>
            <w:pPr>
              <w:spacing w:line="42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rPr>
              <w:t>投标人还须提供本招标文件第八章投标文件的组成及格式中的“资格后审材料相关格式文件”内的：关于资格文件的声明函、投标人一般情况表。</w:t>
            </w:r>
          </w:p>
        </w:tc>
        <w:tc>
          <w:tcPr>
            <w:tcW w:w="1559" w:type="dxa"/>
            <w:vAlign w:val="center"/>
          </w:tcPr>
          <w:p>
            <w:pPr>
              <w:spacing w:line="420" w:lineRule="exact"/>
              <w:jc w:val="center"/>
              <w:rPr>
                <w:rFonts w:asciiTheme="minorEastAsia" w:hAnsiTheme="minorEastAsia" w:eastAsiaTheme="minorEastAsia"/>
                <w:sz w:val="24"/>
                <w:szCs w:val="24"/>
              </w:rPr>
            </w:pPr>
          </w:p>
        </w:tc>
      </w:tr>
    </w:tbl>
    <w:p>
      <w:pPr>
        <w:adjustRightInd w:val="0"/>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法定代表人或被委托受权人签字：</w:t>
      </w:r>
    </w:p>
    <w:p>
      <w:pPr>
        <w:adjustRightInd w:val="0"/>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（加盖投标人公章）</w:t>
      </w:r>
    </w:p>
    <w:p>
      <w:pPr>
        <w:adjustRightInd w:val="0"/>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adjustRightInd w:val="0"/>
        <w:snapToGrid w:val="0"/>
        <w:spacing w:line="420" w:lineRule="exact"/>
        <w:ind w:left="1" w:firstLine="564" w:firstLineChars="235"/>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adjustRightInd w:val="0"/>
        <w:snapToGrid w:val="0"/>
        <w:spacing w:line="420" w:lineRule="exact"/>
        <w:ind w:left="1" w:firstLine="564" w:firstLineChars="235"/>
        <w:rPr>
          <w:rFonts w:asciiTheme="minorEastAsia" w:hAnsiTheme="minorEastAsia" w:eastAsiaTheme="minorEastAsia"/>
          <w:sz w:val="24"/>
          <w:szCs w:val="24"/>
        </w:rPr>
      </w:pPr>
      <w:r>
        <w:rPr>
          <w:rFonts w:hint="eastAsia" w:asciiTheme="minorEastAsia" w:hAnsiTheme="minorEastAsia" w:eastAsiaTheme="minorEastAsia"/>
          <w:sz w:val="24"/>
          <w:szCs w:val="24"/>
        </w:rPr>
        <w:t>（1）以上由投标人填写，作为提供的资格后审资料包内的资料首页清单目录。</w:t>
      </w:r>
    </w:p>
    <w:p>
      <w:pPr>
        <w:adjustRightInd w:val="0"/>
        <w:snapToGrid w:val="0"/>
        <w:spacing w:line="420" w:lineRule="exact"/>
        <w:ind w:left="1" w:firstLine="564" w:firstLineChars="235"/>
        <w:rPr>
          <w:rFonts w:asciiTheme="minorEastAsia" w:hAnsiTheme="minorEastAsia" w:eastAsiaTheme="minorEastAsia"/>
          <w:sz w:val="24"/>
          <w:szCs w:val="24"/>
        </w:rPr>
      </w:pPr>
      <w:r>
        <w:rPr>
          <w:rFonts w:hint="eastAsia" w:asciiTheme="minorEastAsia" w:hAnsiTheme="minorEastAsia" w:eastAsiaTheme="minorEastAsia"/>
          <w:sz w:val="24"/>
          <w:szCs w:val="24"/>
        </w:rPr>
        <w:t>（2）所有资格证明复印件、相关的格式文件及表格，须加盖公章装订成册，正本1份副本2份，供审查及留存！</w:t>
      </w:r>
    </w:p>
    <w:p>
      <w:pPr>
        <w:adjustRightInd w:val="0"/>
        <w:snapToGrid w:val="0"/>
        <w:spacing w:line="42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A.2、</w:t>
      </w:r>
      <w:r>
        <w:rPr>
          <w:rFonts w:asciiTheme="minorEastAsia" w:hAnsiTheme="minorEastAsia" w:eastAsiaTheme="minorEastAsia"/>
          <w:b/>
          <w:sz w:val="24"/>
          <w:szCs w:val="24"/>
        </w:rPr>
        <w:t>资格</w:t>
      </w:r>
      <w:r>
        <w:rPr>
          <w:rFonts w:hint="eastAsia" w:asciiTheme="minorEastAsia" w:hAnsiTheme="minorEastAsia" w:eastAsiaTheme="minorEastAsia"/>
          <w:b/>
          <w:sz w:val="24"/>
          <w:szCs w:val="24"/>
        </w:rPr>
        <w:t>后</w:t>
      </w:r>
      <w:r>
        <w:rPr>
          <w:rFonts w:asciiTheme="minorEastAsia" w:hAnsiTheme="minorEastAsia" w:eastAsiaTheme="minorEastAsia"/>
          <w:b/>
          <w:sz w:val="24"/>
          <w:szCs w:val="24"/>
        </w:rPr>
        <w:t>审</w:t>
      </w:r>
      <w:r>
        <w:rPr>
          <w:rFonts w:hint="eastAsia" w:asciiTheme="minorEastAsia" w:hAnsiTheme="minorEastAsia" w:eastAsiaTheme="minorEastAsia"/>
          <w:b/>
          <w:sz w:val="24"/>
          <w:szCs w:val="24"/>
        </w:rPr>
        <w:t>材料相关格式文件</w:t>
      </w:r>
    </w:p>
    <w:p>
      <w:pPr>
        <w:snapToGrid w:val="0"/>
        <w:spacing w:before="240" w:beforeLines="100" w:line="420" w:lineRule="exact"/>
        <w:jc w:val="center"/>
        <w:outlineLvl w:val="3"/>
        <w:rPr>
          <w:rFonts w:asciiTheme="minorEastAsia" w:hAnsiTheme="minorEastAsia" w:eastAsiaTheme="minorEastAsia"/>
          <w:b/>
          <w:bCs/>
          <w:sz w:val="24"/>
          <w:szCs w:val="24"/>
        </w:rPr>
      </w:pPr>
      <w:r>
        <w:rPr>
          <w:rFonts w:asciiTheme="minorEastAsia" w:hAnsiTheme="minorEastAsia" w:eastAsiaTheme="minorEastAsia"/>
          <w:b/>
          <w:bCs/>
          <w:sz w:val="24"/>
          <w:szCs w:val="24"/>
        </w:rPr>
        <w:t>1</w:t>
      </w:r>
      <w:r>
        <w:rPr>
          <w:rFonts w:hint="eastAsia" w:asciiTheme="minorEastAsia" w:hAnsiTheme="minorEastAsia" w:eastAsiaTheme="minorEastAsia"/>
          <w:b/>
          <w:bCs/>
          <w:sz w:val="24"/>
          <w:szCs w:val="24"/>
        </w:rPr>
        <w:t>、法定代表人身份证明</w:t>
      </w:r>
    </w:p>
    <w:p>
      <w:pPr>
        <w:snapToGrid w:val="0"/>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sz w:val="24"/>
          <w:szCs w:val="24"/>
        </w:rPr>
        <w:t>：</w:t>
      </w:r>
    </w:p>
    <w:p>
      <w:pPr>
        <w:snapToGrid w:val="0"/>
        <w:spacing w:line="42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先生／女士：</w:t>
      </w:r>
      <w:r>
        <w:rPr>
          <w:rFonts w:hint="eastAsia" w:asciiTheme="minorEastAsia" w:hAnsiTheme="minorEastAsia" w:eastAsiaTheme="minorEastAsia"/>
          <w:sz w:val="24"/>
          <w:szCs w:val="24"/>
        </w:rPr>
        <w:t>现任我单位</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职务，为法定代表人，特此证明。</w:t>
      </w:r>
    </w:p>
    <w:p>
      <w:pPr>
        <w:snapToGrid w:val="0"/>
        <w:spacing w:line="42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p>
      <w:pPr>
        <w:snapToGrid w:val="0"/>
        <w:spacing w:line="420" w:lineRule="exact"/>
        <w:jc w:val="center"/>
        <w:rPr>
          <w:rFonts w:asciiTheme="minorEastAsia" w:hAnsiTheme="minorEastAsia" w:eastAsiaTheme="minorEastAsia"/>
          <w:sz w:val="24"/>
          <w:szCs w:val="24"/>
        </w:rPr>
      </w:pPr>
    </w:p>
    <w:p>
      <w:pPr>
        <w:snapToGrid w:val="0"/>
        <w:spacing w:line="4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注：提供法定代表人的身份证复印件并加盖公章</w:t>
      </w:r>
    </w:p>
    <w:p>
      <w:pPr>
        <w:snapToGrid w:val="0"/>
        <w:spacing w:line="420" w:lineRule="exact"/>
        <w:jc w:val="center"/>
        <w:outlineLvl w:val="3"/>
        <w:rPr>
          <w:rFonts w:asciiTheme="minorEastAsia" w:hAnsiTheme="minorEastAsia" w:eastAsiaTheme="minorEastAsia"/>
          <w:b/>
          <w:bCs/>
          <w:sz w:val="24"/>
          <w:szCs w:val="24"/>
        </w:rPr>
      </w:pPr>
      <w:r>
        <w:rPr>
          <w:rFonts w:asciiTheme="minorEastAsia" w:hAnsiTheme="minorEastAsia" w:eastAsiaTheme="minorEastAsia"/>
          <w:b/>
          <w:bCs/>
          <w:sz w:val="24"/>
          <w:szCs w:val="24"/>
        </w:rPr>
        <w:t>2</w:t>
      </w:r>
      <w:r>
        <w:rPr>
          <w:rFonts w:hint="eastAsia" w:asciiTheme="minorEastAsia" w:hAnsiTheme="minorEastAsia" w:eastAsiaTheme="minorEastAsia"/>
          <w:b/>
          <w:bCs/>
          <w:sz w:val="24"/>
          <w:szCs w:val="24"/>
        </w:rPr>
        <w:t>、法定代表人授权委托书</w:t>
      </w:r>
    </w:p>
    <w:p>
      <w:pPr>
        <w:snapToGrid w:val="0"/>
        <w:spacing w:line="42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bCs/>
          <w:sz w:val="24"/>
          <w:szCs w:val="24"/>
        </w:rPr>
        <w:t>：</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（姓名）系</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（投标人名称）的法定代表人，现授权委托　　   （姓名）为我公司代理人，以本公司的名义参加本项目的投标活动。代理人在开标、评标、合同谈判过程中所签署的一切文件和处理与之有关的一切事务，我均予以承认。</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被委托受权人无转委权。</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特此委托。</w:t>
      </w:r>
    </w:p>
    <w:p>
      <w:pPr>
        <w:snapToGrid w:val="0"/>
        <w:spacing w:line="420" w:lineRule="exact"/>
        <w:ind w:firstLine="972" w:firstLineChars="405"/>
        <w:rPr>
          <w:rFonts w:asciiTheme="minorEastAsia" w:hAnsiTheme="minorEastAsia" w:eastAsiaTheme="minorEastAsia"/>
          <w:sz w:val="24"/>
          <w:szCs w:val="24"/>
        </w:rPr>
      </w:pPr>
    </w:p>
    <w:p>
      <w:pPr>
        <w:snapToGrid w:val="0"/>
        <w:spacing w:line="420" w:lineRule="exact"/>
        <w:ind w:firstLine="972" w:firstLineChars="405"/>
        <w:rPr>
          <w:rFonts w:asciiTheme="minorEastAsia" w:hAnsiTheme="minorEastAsia" w:eastAsiaTheme="minorEastAsia"/>
          <w:sz w:val="24"/>
          <w:szCs w:val="24"/>
        </w:rPr>
      </w:pPr>
      <w:r>
        <w:rPr>
          <w:rFonts w:hint="eastAsia" w:asciiTheme="minorEastAsia" w:hAnsiTheme="minorEastAsia" w:eastAsiaTheme="minorEastAsia"/>
          <w:sz w:val="24"/>
          <w:szCs w:val="24"/>
        </w:rPr>
        <w:t>被委托受权人身份证号：</w:t>
      </w:r>
    </w:p>
    <w:p>
      <w:pPr>
        <w:snapToGrid w:val="0"/>
        <w:spacing w:line="420" w:lineRule="exact"/>
        <w:ind w:firstLine="972" w:firstLineChars="405"/>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w:t>
      </w:r>
    </w:p>
    <w:p>
      <w:pPr>
        <w:snapToGrid w:val="0"/>
        <w:spacing w:line="420" w:lineRule="exact"/>
        <w:ind w:firstLine="972" w:firstLineChars="405"/>
        <w:rPr>
          <w:rFonts w:asciiTheme="minorEastAsia" w:hAnsiTheme="minorEastAsia" w:eastAsiaTheme="minorEastAsia"/>
          <w:sz w:val="24"/>
          <w:szCs w:val="24"/>
        </w:rPr>
      </w:pPr>
      <w:r>
        <w:rPr>
          <w:rFonts w:hint="eastAsia" w:asciiTheme="minorEastAsia" w:hAnsiTheme="minorEastAsia" w:eastAsiaTheme="minorEastAsia"/>
          <w:sz w:val="24"/>
          <w:szCs w:val="24"/>
        </w:rPr>
        <w:t>被委托受权人签字：</w:t>
      </w:r>
    </w:p>
    <w:p>
      <w:pPr>
        <w:snapToGrid w:val="0"/>
        <w:spacing w:line="420" w:lineRule="exact"/>
        <w:ind w:firstLine="484" w:firstLineChars="202"/>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snapToGrid w:val="0"/>
        <w:spacing w:line="420" w:lineRule="exact"/>
        <w:ind w:firstLine="484" w:firstLineChars="202"/>
        <w:jc w:val="right"/>
        <w:rPr>
          <w:rFonts w:asciiTheme="minorEastAsia" w:hAnsiTheme="minorEastAsia" w:eastAsiaTheme="minorEastAsia"/>
          <w:bCs/>
          <w:sz w:val="24"/>
          <w:szCs w:val="24"/>
        </w:rPr>
      </w:pPr>
      <w:r>
        <w:rPr>
          <w:rFonts w:hint="eastAsia" w:asciiTheme="minorEastAsia" w:hAnsiTheme="minorEastAsia" w:eastAsiaTheme="minorEastAsia"/>
          <w:bCs/>
          <w:sz w:val="24"/>
          <w:szCs w:val="24"/>
        </w:rPr>
        <w:t>年    月    日</w:t>
      </w:r>
    </w:p>
    <w:p>
      <w:pPr>
        <w:snapToGrid w:val="0"/>
        <w:spacing w:line="420" w:lineRule="exact"/>
        <w:ind w:firstLine="321" w:firstLineChars="134"/>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注：提供被委托受权人的身份证复印件盖公章</w:t>
      </w:r>
    </w:p>
    <w:p>
      <w:pPr>
        <w:snapToGrid w:val="0"/>
        <w:spacing w:line="420" w:lineRule="exact"/>
        <w:jc w:val="center"/>
        <w:outlineLvl w:val="3"/>
        <w:rPr>
          <w:rFonts w:asciiTheme="minorEastAsia" w:hAnsiTheme="minorEastAsia" w:eastAsiaTheme="minorEastAsia"/>
          <w:sz w:val="24"/>
          <w:szCs w:val="24"/>
        </w:rPr>
      </w:pPr>
      <w:r>
        <w:rPr>
          <w:rFonts w:hint="eastAsia" w:asciiTheme="minorEastAsia" w:hAnsiTheme="minorEastAsia" w:eastAsiaTheme="minorEastAsia"/>
          <w:b/>
          <w:bCs/>
          <w:sz w:val="24"/>
          <w:szCs w:val="24"/>
        </w:rPr>
        <w:t>3、关于资格文件的声明函</w:t>
      </w:r>
    </w:p>
    <w:p>
      <w:pPr>
        <w:snapToGrid w:val="0"/>
        <w:spacing w:line="42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bCs/>
          <w:sz w:val="24"/>
          <w:szCs w:val="24"/>
        </w:rPr>
        <w:t>：</w:t>
      </w:r>
    </w:p>
    <w:p>
      <w:pPr>
        <w:overflowPunct w:val="0"/>
        <w:adjustRightInd w:val="0"/>
        <w:spacing w:line="420" w:lineRule="exact"/>
        <w:ind w:firstLine="660"/>
        <w:jc w:val="lef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本公司愿就由贵公司组织实施的的招标活动进行投标。本公司所提交的投标文件中所有关于投标资格的文件、证明和陈述均是真实的、准确的。若与真实情况不符，本公司愿意承担由此而产生的一切后果。</w:t>
      </w:r>
    </w:p>
    <w:p>
      <w:pPr>
        <w:snapToGrid w:val="0"/>
        <w:spacing w:line="420" w:lineRule="exact"/>
        <w:ind w:firstLine="2400" w:firstLineChars="10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：（加盖公章）</w:t>
      </w:r>
    </w:p>
    <w:p>
      <w:pPr>
        <w:snapToGrid w:val="0"/>
        <w:spacing w:line="420" w:lineRule="exact"/>
        <w:ind w:firstLine="2400" w:firstLineChars="1000"/>
        <w:jc w:val="right"/>
        <w:rPr>
          <w:rFonts w:asciiTheme="minorEastAsia" w:hAnsiTheme="minorEastAsia" w:eastAsiaTheme="minorEastAsia"/>
          <w:sz w:val="24"/>
          <w:szCs w:val="24"/>
        </w:rPr>
      </w:pPr>
      <w:r>
        <w:rPr>
          <w:rFonts w:asciiTheme="minorEastAsia" w:hAnsiTheme="minorEastAsia" w:eastAsiaTheme="minorEastAsia"/>
          <w:sz w:val="24"/>
          <w:szCs w:val="24"/>
        </w:rPr>
        <w:t>法定代表人或</w:t>
      </w:r>
      <w:r>
        <w:rPr>
          <w:rFonts w:hint="eastAsia" w:asciiTheme="minorEastAsia" w:hAnsiTheme="minorEastAsia" w:eastAsiaTheme="minorEastAsia"/>
          <w:sz w:val="24"/>
          <w:szCs w:val="24"/>
        </w:rPr>
        <w:t>被委托受权人</w:t>
      </w:r>
      <w:r>
        <w:rPr>
          <w:rFonts w:asciiTheme="minorEastAsia" w:hAnsiTheme="minorEastAsia" w:eastAsiaTheme="minorEastAsia"/>
          <w:sz w:val="24"/>
          <w:szCs w:val="24"/>
        </w:rPr>
        <w:t>：（签字）</w:t>
      </w:r>
    </w:p>
    <w:p>
      <w:pPr>
        <w:overflowPunct w:val="0"/>
        <w:adjustRightInd w:val="0"/>
        <w:spacing w:line="420" w:lineRule="exact"/>
        <w:ind w:left="1700" w:firstLine="425"/>
        <w:jc w:val="right"/>
        <w:textAlignment w:val="baseline"/>
        <w:rPr>
          <w:rFonts w:asciiTheme="minorEastAsia" w:hAnsiTheme="minorEastAsia" w:eastAsiaTheme="minorEastAsia"/>
          <w:sz w:val="24"/>
          <w:szCs w:val="24"/>
        </w:rPr>
      </w:pPr>
    </w:p>
    <w:p>
      <w:pPr>
        <w:wordWrap w:val="0"/>
        <w:overflowPunct w:val="0"/>
        <w:adjustRightInd w:val="0"/>
        <w:spacing w:line="420" w:lineRule="exact"/>
        <w:ind w:firstLine="425"/>
        <w:jc w:val="righ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月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日</w:t>
      </w:r>
    </w:p>
    <w:p>
      <w:pPr>
        <w:snapToGrid w:val="0"/>
        <w:spacing w:line="420" w:lineRule="exact"/>
        <w:jc w:val="center"/>
        <w:outlineLvl w:val="3"/>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4、投标人一般情况</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10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企业名称</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地址</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当地</w:t>
            </w:r>
            <w:r>
              <w:rPr>
                <w:rFonts w:hint="eastAsia" w:asciiTheme="minorEastAsia" w:hAnsiTheme="minorEastAsia" w:eastAsiaTheme="minorEastAsia"/>
                <w:sz w:val="24"/>
                <w:szCs w:val="24"/>
              </w:rPr>
              <w:t>分支机构</w:t>
            </w:r>
            <w:r>
              <w:rPr>
                <w:rFonts w:asciiTheme="minorEastAsia" w:hAnsiTheme="minorEastAsia" w:eastAsiaTheme="minorEastAsia"/>
                <w:sz w:val="24"/>
                <w:szCs w:val="24"/>
              </w:rPr>
              <w:t>地址</w:t>
            </w:r>
            <w:r>
              <w:rPr>
                <w:rFonts w:hint="eastAsia" w:asciiTheme="minorEastAsia" w:hAnsiTheme="minorEastAsia" w:eastAsiaTheme="minorEastAsia"/>
                <w:sz w:val="24"/>
                <w:szCs w:val="24"/>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电话</w:t>
            </w:r>
            <w:r>
              <w:rPr>
                <w:rFonts w:hint="eastAsia" w:asciiTheme="minorEastAsia" w:hAnsiTheme="minorEastAsia" w:eastAsiaTheme="minorEastAsia"/>
                <w:sz w:val="24"/>
                <w:szCs w:val="24"/>
              </w:rPr>
              <w:t>：</w:t>
            </w:r>
          </w:p>
        </w:tc>
        <w:tc>
          <w:tcPr>
            <w:tcW w:w="354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联系人</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传真</w:t>
            </w:r>
            <w:r>
              <w:rPr>
                <w:rFonts w:hint="eastAsia" w:asciiTheme="minorEastAsia" w:hAnsiTheme="minorEastAsia" w:eastAsiaTheme="minorEastAsia"/>
                <w:sz w:val="24"/>
                <w:szCs w:val="24"/>
              </w:rPr>
              <w:t>：</w:t>
            </w:r>
          </w:p>
        </w:tc>
        <w:tc>
          <w:tcPr>
            <w:tcW w:w="354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电子邮件</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注册地</w:t>
            </w:r>
            <w:r>
              <w:rPr>
                <w:rFonts w:hint="eastAsia" w:asciiTheme="minorEastAsia" w:hAnsiTheme="minorEastAsia" w:eastAsiaTheme="minorEastAsia"/>
                <w:sz w:val="24"/>
                <w:szCs w:val="24"/>
              </w:rPr>
              <w:t>：</w:t>
            </w:r>
          </w:p>
        </w:tc>
        <w:tc>
          <w:tcPr>
            <w:tcW w:w="3543" w:type="dxa"/>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注册年份</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7</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公司资质等级证书号（请附有关证书的复印件）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8</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公司</w:t>
            </w:r>
            <w:r>
              <w:rPr>
                <w:rFonts w:asciiTheme="minorEastAsia" w:hAnsiTheme="minorEastAsia" w:eastAsiaTheme="minorEastAsia"/>
                <w:sz w:val="24"/>
                <w:szCs w:val="24"/>
                <w:u w:val="single"/>
              </w:rPr>
              <w:t xml:space="preserve">   （是否通过，何种）   </w:t>
            </w:r>
            <w:r>
              <w:rPr>
                <w:rFonts w:asciiTheme="minorEastAsia" w:hAnsiTheme="minorEastAsia" w:eastAsiaTheme="minorEastAsia"/>
                <w:sz w:val="24"/>
                <w:szCs w:val="24"/>
              </w:rPr>
              <w:t>质量保证体系认证（如通过请附相关证书复印件）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9</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经</w:t>
            </w:r>
            <w:r>
              <w:rPr>
                <w:rFonts w:asciiTheme="minorEastAsia" w:hAnsiTheme="minorEastAsia" w:eastAsiaTheme="minorEastAsia"/>
                <w:sz w:val="24"/>
                <w:szCs w:val="24"/>
              </w:rPr>
              <w:t>营范围</w:t>
            </w:r>
            <w:r>
              <w:rPr>
                <w:rFonts w:hint="eastAsia" w:asciiTheme="minorEastAsia" w:hAnsiTheme="minorEastAsia" w:eastAsiaTheme="minorEastAsia"/>
                <w:sz w:val="24"/>
                <w:szCs w:val="24"/>
              </w:rPr>
              <w:t>：</w:t>
            </w:r>
          </w:p>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；2.；</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10</w:t>
            </w:r>
          </w:p>
        </w:tc>
        <w:tc>
          <w:tcPr>
            <w:tcW w:w="5103" w:type="dxa"/>
            <w:vAlign w:val="center"/>
          </w:tcPr>
          <w:p>
            <w:pPr>
              <w:tabs>
                <w:tab w:val="left" w:pos="993"/>
              </w:tabs>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投标人从事投标项目的</w:t>
            </w:r>
            <w:r>
              <w:rPr>
                <w:rFonts w:asciiTheme="minorEastAsia" w:hAnsiTheme="minorEastAsia" w:eastAsiaTheme="minorEastAsia"/>
                <w:sz w:val="24"/>
                <w:szCs w:val="24"/>
              </w:rPr>
              <w:t>年数</w:t>
            </w:r>
          </w:p>
        </w:tc>
        <w:tc>
          <w:tcPr>
            <w:tcW w:w="3543" w:type="dxa"/>
            <w:vAlign w:val="center"/>
          </w:tcPr>
          <w:p>
            <w:pPr>
              <w:tabs>
                <w:tab w:val="left" w:pos="993"/>
              </w:tabs>
              <w:spacing w:line="420" w:lineRule="exac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1" w:type="dxa"/>
            <w:vAlign w:val="center"/>
          </w:tcPr>
          <w:p>
            <w:pPr>
              <w:tabs>
                <w:tab w:val="left" w:pos="993"/>
              </w:tabs>
              <w:spacing w:line="42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1</w:t>
            </w:r>
          </w:p>
        </w:tc>
        <w:tc>
          <w:tcPr>
            <w:tcW w:w="8646" w:type="dxa"/>
            <w:gridSpan w:val="2"/>
            <w:vAlign w:val="center"/>
          </w:tcPr>
          <w:p>
            <w:pPr>
              <w:tabs>
                <w:tab w:val="left" w:pos="993"/>
              </w:tabs>
              <w:spacing w:line="420" w:lineRule="exact"/>
              <w:rPr>
                <w:rFonts w:asciiTheme="minorEastAsia" w:hAnsiTheme="minorEastAsia" w:eastAsiaTheme="minorEastAsia"/>
                <w:sz w:val="24"/>
                <w:szCs w:val="24"/>
              </w:rPr>
            </w:pPr>
            <w:r>
              <w:rPr>
                <w:rFonts w:asciiTheme="minorEastAsia" w:hAnsiTheme="minorEastAsia" w:eastAsiaTheme="minorEastAsia"/>
                <w:sz w:val="24"/>
                <w:szCs w:val="24"/>
              </w:rPr>
              <w:t>其他需要说明的情况</w:t>
            </w:r>
            <w:r>
              <w:rPr>
                <w:rFonts w:hint="eastAsia" w:asciiTheme="minorEastAsia" w:hAnsiTheme="minorEastAsia" w:eastAsiaTheme="minorEastAsia"/>
                <w:sz w:val="24"/>
                <w:szCs w:val="24"/>
              </w:rPr>
              <w:t>，可自行添加</w:t>
            </w:r>
          </w:p>
        </w:tc>
      </w:tr>
    </w:tbl>
    <w:p>
      <w:pPr>
        <w:pStyle w:val="3"/>
        <w:overflowPunct w:val="0"/>
        <w:spacing w:line="420" w:lineRule="exact"/>
        <w:ind w:firstLine="0"/>
        <w:rPr>
          <w:rFonts w:asciiTheme="minorEastAsia" w:hAnsiTheme="minorEastAsia" w:eastAsiaTheme="minorEastAsia"/>
          <w:szCs w:val="24"/>
        </w:rPr>
      </w:pPr>
      <w:r>
        <w:rPr>
          <w:rFonts w:hint="eastAsia" w:asciiTheme="minorEastAsia" w:hAnsiTheme="minorEastAsia" w:eastAsiaTheme="minorEastAsia"/>
          <w:szCs w:val="24"/>
        </w:rPr>
        <w:t xml:space="preserve">投标人：（盖章）             </w:t>
      </w:r>
    </w:p>
    <w:p>
      <w:pPr>
        <w:pStyle w:val="3"/>
        <w:overflowPunct w:val="0"/>
        <w:spacing w:line="420" w:lineRule="exact"/>
        <w:ind w:firstLine="0"/>
        <w:rPr>
          <w:rFonts w:asciiTheme="minorEastAsia" w:hAnsiTheme="minorEastAsia" w:eastAsiaTheme="minorEastAsia"/>
          <w:szCs w:val="24"/>
        </w:rPr>
      </w:pPr>
      <w:r>
        <w:rPr>
          <w:rFonts w:hint="eastAsia" w:asciiTheme="minorEastAsia" w:hAnsiTheme="minorEastAsia" w:eastAsiaTheme="minorEastAsia"/>
          <w:szCs w:val="24"/>
        </w:rPr>
        <w:t>法定代表人或被委托受权人（签字）：</w:t>
      </w:r>
    </w:p>
    <w:p>
      <w:pPr>
        <w:pStyle w:val="3"/>
        <w:overflowPunct w:val="0"/>
        <w:spacing w:line="420" w:lineRule="exact"/>
        <w:ind w:firstLine="0"/>
        <w:rPr>
          <w:rFonts w:asciiTheme="minorEastAsia" w:hAnsiTheme="minorEastAsia" w:eastAsiaTheme="minorEastAsia"/>
          <w:szCs w:val="24"/>
        </w:rPr>
      </w:pPr>
      <w:r>
        <w:rPr>
          <w:rFonts w:hint="eastAsia" w:asciiTheme="minorEastAsia" w:hAnsiTheme="minorEastAsia" w:eastAsiaTheme="minorEastAsia"/>
          <w:szCs w:val="24"/>
        </w:rPr>
        <w:t>日期：</w:t>
      </w:r>
    </w:p>
    <w:p>
      <w:pPr>
        <w:adjustRightInd w:val="0"/>
        <w:snapToGrid w:val="0"/>
        <w:spacing w:line="420" w:lineRule="exact"/>
        <w:ind w:left="1159" w:leftChars="1" w:hanging="1156" w:hangingChars="48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注：本表不是格式化表格，投标人可根据需要，自行添加删除。</w:t>
      </w:r>
    </w:p>
    <w:p>
      <w:pPr>
        <w:pStyle w:val="21"/>
      </w:pPr>
    </w:p>
    <w:p/>
    <w:p/>
    <w:p>
      <w:pPr>
        <w:numPr>
          <w:ilvl w:val="0"/>
          <w:numId w:val="4"/>
        </w:numPr>
        <w:snapToGrid w:val="0"/>
        <w:spacing w:line="420" w:lineRule="exact"/>
        <w:jc w:val="center"/>
        <w:outlineLvl w:val="3"/>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中标承诺函</w:t>
      </w:r>
    </w:p>
    <w:p>
      <w:pPr>
        <w:spacing w:line="59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eastAsia="zh-CN"/>
        </w:rPr>
        <w:t>南通市保安服务有限公司</w:t>
      </w:r>
      <w:r>
        <w:rPr>
          <w:rFonts w:hint="eastAsia" w:asciiTheme="minorEastAsia" w:hAnsiTheme="minorEastAsia" w:eastAsiaTheme="minorEastAsia" w:cstheme="minorEastAsia"/>
          <w:sz w:val="24"/>
          <w:szCs w:val="24"/>
        </w:rPr>
        <w:t>：</w:t>
      </w:r>
    </w:p>
    <w:p>
      <w:pPr>
        <w:spacing w:line="590" w:lineRule="exact"/>
        <w:ind w:firstLine="480" w:firstLineChars="200"/>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 xml:space="preserve">、若我方中标，我方承诺完全响应招标文件中的项目需求。 </w:t>
      </w:r>
    </w:p>
    <w:p>
      <w:pPr>
        <w:spacing w:line="420" w:lineRule="exact"/>
        <w:ind w:firstLine="484" w:firstLineChars="202"/>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我方承诺</w:t>
      </w:r>
      <w:r>
        <w:rPr>
          <w:rFonts w:hint="eastAsia" w:ascii="宋体" w:hAnsi="宋体" w:eastAsia="宋体"/>
          <w:b w:val="0"/>
          <w:bCs w:val="0"/>
          <w:color w:val="auto"/>
          <w:sz w:val="24"/>
          <w:szCs w:val="24"/>
          <w:highlight w:val="none"/>
        </w:rPr>
        <w:t>在南通市崇川区或开发区有一个固定维修保养点，</w:t>
      </w:r>
      <w:r>
        <w:rPr>
          <w:rFonts w:hint="eastAsia" w:asciiTheme="minorEastAsia" w:hAnsiTheme="minorEastAsia" w:eastAsiaTheme="minorEastAsia" w:cstheme="minorEastAsia"/>
          <w:b w:val="0"/>
          <w:bCs w:val="0"/>
          <w:color w:val="auto"/>
          <w:sz w:val="24"/>
          <w:szCs w:val="24"/>
          <w:highlight w:val="none"/>
        </w:rPr>
        <w:t>若我方中标，我方将在中标后提供</w:t>
      </w:r>
      <w:r>
        <w:rPr>
          <w:rFonts w:hint="eastAsia" w:ascii="宋体" w:hAnsi="宋体" w:eastAsia="宋体"/>
          <w:b w:val="0"/>
          <w:bCs w:val="0"/>
          <w:color w:val="auto"/>
          <w:sz w:val="24"/>
          <w:szCs w:val="24"/>
          <w:highlight w:val="none"/>
        </w:rPr>
        <w:t>固定维修保养点</w:t>
      </w:r>
      <w:r>
        <w:rPr>
          <w:rFonts w:hint="eastAsia" w:asciiTheme="minorEastAsia" w:hAnsiTheme="minorEastAsia" w:eastAsiaTheme="minorEastAsia"/>
          <w:b w:val="0"/>
          <w:bCs w:val="0"/>
          <w:color w:val="auto"/>
          <w:sz w:val="24"/>
          <w:szCs w:val="24"/>
          <w:highlight w:val="none"/>
        </w:rPr>
        <w:t>的自有或租用房屋及场地的产权证明或租赁合同供你方查验。</w:t>
      </w:r>
    </w:p>
    <w:p>
      <w:pPr>
        <w:pStyle w:val="21"/>
        <w:rPr>
          <w:rFonts w:asciiTheme="minorEastAsia" w:hAnsiTheme="minorEastAsia" w:eastAsiaTheme="minorEastAsia" w:cstheme="minorEastAsia"/>
          <w:sz w:val="24"/>
          <w:szCs w:val="24"/>
        </w:rPr>
      </w:pPr>
    </w:p>
    <w:p>
      <w:pPr>
        <w:spacing w:line="590" w:lineRule="exact"/>
        <w:ind w:firstLine="3628" w:firstLineChars="151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承诺企业（盖章）：</w:t>
      </w:r>
    </w:p>
    <w:p>
      <w:pPr>
        <w:spacing w:line="590" w:lineRule="exact"/>
        <w:ind w:firstLine="3628" w:firstLineChars="1512"/>
        <w:rPr>
          <w:rFonts w:asciiTheme="minorEastAsia" w:hAnsiTheme="minorEastAsia" w:eastAsiaTheme="minorEastAsia" w:cstheme="minorEastAsia"/>
          <w:sz w:val="24"/>
          <w:szCs w:val="24"/>
        </w:rPr>
      </w:pPr>
    </w:p>
    <w:p>
      <w:pPr>
        <w:pStyle w:val="21"/>
        <w:jc w:val="center"/>
        <w:rPr>
          <w:sz w:val="24"/>
          <w:szCs w:val="24"/>
        </w:rPr>
        <w:sectPr>
          <w:pgSz w:w="12240" w:h="15840"/>
          <w:pgMar w:top="1440" w:right="1800" w:bottom="1440" w:left="1800" w:header="720" w:footer="720" w:gutter="0"/>
          <w:cols w:space="720" w:num="1"/>
        </w:sectPr>
      </w:pPr>
      <w:r>
        <w:rPr>
          <w:rFonts w:hint="eastAsia"/>
          <w:sz w:val="24"/>
          <w:szCs w:val="24"/>
        </w:rPr>
        <w:t xml:space="preserve">           日期：</w:t>
      </w:r>
    </w:p>
    <w:p>
      <w:pPr>
        <w:snapToGrid w:val="0"/>
        <w:spacing w:line="420" w:lineRule="exact"/>
        <w:outlineLvl w:val="3"/>
        <w:rPr>
          <w:rFonts w:hint="eastAsia" w:asciiTheme="minorEastAsia" w:hAnsiTheme="minorEastAsia" w:eastAsiaTheme="minorEastAsia"/>
          <w:b/>
          <w:bCs/>
          <w:sz w:val="24"/>
          <w:szCs w:val="24"/>
        </w:rPr>
      </w:pPr>
    </w:p>
    <w:p>
      <w:pPr>
        <w:snapToGrid w:val="0"/>
        <w:spacing w:line="420" w:lineRule="exact"/>
        <w:jc w:val="center"/>
        <w:outlineLvl w:val="3"/>
        <w:rPr>
          <w:rFonts w:asciiTheme="minorEastAsia" w:hAnsiTheme="minorEastAsia" w:eastAsiaTheme="minorEastAsia"/>
          <w:b/>
          <w:bCs/>
          <w:sz w:val="24"/>
          <w:szCs w:val="24"/>
        </w:rPr>
      </w:pPr>
    </w:p>
    <w:p>
      <w:pPr>
        <w:snapToGrid w:val="0"/>
        <w:spacing w:line="420" w:lineRule="exact"/>
        <w:jc w:val="center"/>
        <w:outlineLvl w:val="3"/>
      </w:pPr>
      <w:r>
        <w:rPr>
          <w:rFonts w:hint="eastAsia" w:asciiTheme="minorEastAsia" w:hAnsiTheme="minorEastAsia" w:eastAsiaTheme="minorEastAsia"/>
          <w:b/>
          <w:bCs/>
          <w:sz w:val="24"/>
          <w:szCs w:val="24"/>
          <w:lang w:val="en-US" w:eastAsia="zh-CN"/>
        </w:rPr>
        <w:t>6</w:t>
      </w:r>
      <w:r>
        <w:rPr>
          <w:rFonts w:hint="eastAsia" w:asciiTheme="minorEastAsia" w:hAnsiTheme="minorEastAsia" w:eastAsiaTheme="minorEastAsia"/>
          <w:b/>
          <w:bCs/>
          <w:sz w:val="24"/>
          <w:szCs w:val="24"/>
        </w:rPr>
        <w:t>、维修设备一览表（格式自拟）</w:t>
      </w:r>
    </w:p>
    <w:tbl>
      <w:tblPr>
        <w:tblStyle w:val="56"/>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343"/>
        <w:gridCol w:w="746"/>
        <w:gridCol w:w="1194"/>
        <w:gridCol w:w="1761"/>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429" w:type="dxa"/>
            <w:noWrap/>
            <w:vAlign w:val="center"/>
          </w:tcPr>
          <w:p>
            <w:pPr>
              <w:spacing w:line="300" w:lineRule="exact"/>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设备名称</w:t>
            </w:r>
          </w:p>
          <w:p>
            <w:pPr>
              <w:spacing w:line="300" w:lineRule="exact"/>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（基础设备）</w:t>
            </w:r>
          </w:p>
        </w:tc>
        <w:tc>
          <w:tcPr>
            <w:tcW w:w="1343" w:type="dxa"/>
            <w:noWrap/>
            <w:vAlign w:val="center"/>
          </w:tcPr>
          <w:p>
            <w:pPr>
              <w:spacing w:line="300" w:lineRule="exact"/>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规格型号</w:t>
            </w:r>
          </w:p>
        </w:tc>
        <w:tc>
          <w:tcPr>
            <w:tcW w:w="746" w:type="dxa"/>
            <w:noWrap/>
            <w:vAlign w:val="center"/>
          </w:tcPr>
          <w:p>
            <w:pPr>
              <w:spacing w:line="300" w:lineRule="exact"/>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数量</w:t>
            </w:r>
          </w:p>
        </w:tc>
        <w:tc>
          <w:tcPr>
            <w:tcW w:w="1194" w:type="dxa"/>
            <w:noWrap/>
            <w:vAlign w:val="center"/>
          </w:tcPr>
          <w:p>
            <w:pPr>
              <w:spacing w:line="300" w:lineRule="exact"/>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出厂日期</w:t>
            </w:r>
          </w:p>
        </w:tc>
        <w:tc>
          <w:tcPr>
            <w:tcW w:w="1761" w:type="dxa"/>
            <w:noWrap/>
            <w:vAlign w:val="center"/>
          </w:tcPr>
          <w:p>
            <w:pPr>
              <w:spacing w:line="300" w:lineRule="exact"/>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设备原值</w:t>
            </w:r>
          </w:p>
        </w:tc>
        <w:tc>
          <w:tcPr>
            <w:tcW w:w="1044" w:type="dxa"/>
            <w:noWrap/>
            <w:vAlign w:val="top"/>
          </w:tcPr>
          <w:p>
            <w:pPr>
              <w:spacing w:line="300" w:lineRule="exact"/>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是否提供设备发票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29" w:type="dxa"/>
            <w:noWrap/>
            <w:vAlign w:val="center"/>
          </w:tcPr>
          <w:p>
            <w:pPr>
              <w:spacing w:line="300" w:lineRule="exact"/>
              <w:rPr>
                <w:rFonts w:hint="eastAsia" w:asciiTheme="minorEastAsia" w:hAnsiTheme="minorEastAsia" w:eastAsiaTheme="minorEastAsia" w:cstheme="minorEastAsia"/>
                <w:b/>
                <w:sz w:val="20"/>
                <w:szCs w:val="20"/>
              </w:rPr>
            </w:pPr>
          </w:p>
        </w:tc>
        <w:tc>
          <w:tcPr>
            <w:tcW w:w="1343" w:type="dxa"/>
            <w:noWrap/>
            <w:vAlign w:val="center"/>
          </w:tcPr>
          <w:p>
            <w:pPr>
              <w:spacing w:line="300" w:lineRule="exact"/>
              <w:jc w:val="center"/>
              <w:rPr>
                <w:rFonts w:hint="eastAsia" w:asciiTheme="minorEastAsia" w:hAnsiTheme="minorEastAsia" w:eastAsiaTheme="minorEastAsia" w:cstheme="minorEastAsia"/>
                <w:b/>
                <w:sz w:val="20"/>
                <w:szCs w:val="20"/>
              </w:rPr>
            </w:pPr>
          </w:p>
        </w:tc>
        <w:tc>
          <w:tcPr>
            <w:tcW w:w="746" w:type="dxa"/>
            <w:noWrap/>
            <w:vAlign w:val="center"/>
          </w:tcPr>
          <w:p>
            <w:pPr>
              <w:spacing w:line="300" w:lineRule="exact"/>
              <w:jc w:val="center"/>
              <w:rPr>
                <w:rFonts w:hint="eastAsia" w:asciiTheme="minorEastAsia" w:hAnsiTheme="minorEastAsia" w:eastAsiaTheme="minorEastAsia" w:cstheme="minorEastAsia"/>
                <w:b/>
                <w:sz w:val="20"/>
                <w:szCs w:val="20"/>
              </w:rPr>
            </w:pPr>
          </w:p>
        </w:tc>
        <w:tc>
          <w:tcPr>
            <w:tcW w:w="1194" w:type="dxa"/>
            <w:noWrap/>
            <w:vAlign w:val="center"/>
          </w:tcPr>
          <w:p>
            <w:pPr>
              <w:spacing w:line="300" w:lineRule="exact"/>
              <w:jc w:val="center"/>
              <w:rPr>
                <w:rFonts w:hint="eastAsia" w:asciiTheme="minorEastAsia" w:hAnsiTheme="minorEastAsia" w:eastAsiaTheme="minorEastAsia" w:cstheme="minorEastAsia"/>
                <w:b/>
                <w:sz w:val="20"/>
                <w:szCs w:val="20"/>
              </w:rPr>
            </w:pPr>
          </w:p>
        </w:tc>
        <w:tc>
          <w:tcPr>
            <w:tcW w:w="1761" w:type="dxa"/>
            <w:noWrap/>
            <w:vAlign w:val="center"/>
          </w:tcPr>
          <w:p>
            <w:pPr>
              <w:spacing w:line="300" w:lineRule="exact"/>
              <w:jc w:val="center"/>
              <w:rPr>
                <w:rFonts w:hint="eastAsia" w:asciiTheme="minorEastAsia" w:hAnsiTheme="minorEastAsia" w:eastAsiaTheme="minorEastAsia" w:cstheme="minorEastAsia"/>
                <w:b/>
                <w:sz w:val="20"/>
                <w:szCs w:val="20"/>
              </w:rPr>
            </w:pPr>
          </w:p>
        </w:tc>
        <w:tc>
          <w:tcPr>
            <w:tcW w:w="1044" w:type="dxa"/>
            <w:noWrap/>
            <w:vAlign w:val="top"/>
          </w:tcPr>
          <w:p>
            <w:pPr>
              <w:spacing w:line="300" w:lineRule="exact"/>
              <w:jc w:val="center"/>
              <w:rPr>
                <w:rFonts w:hint="eastAsia" w:asciiTheme="minorEastAsia" w:hAnsiTheme="minorEastAsia" w:eastAsiaTheme="minorEastAsia" w:cstheme="minorEastAsia"/>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29" w:type="dxa"/>
            <w:noWrap/>
            <w:vAlign w:val="center"/>
          </w:tcPr>
          <w:p>
            <w:pPr>
              <w:spacing w:line="300" w:lineRule="exact"/>
              <w:rPr>
                <w:rFonts w:hint="eastAsia" w:asciiTheme="minorEastAsia" w:hAnsiTheme="minorEastAsia" w:eastAsiaTheme="minorEastAsia" w:cstheme="minorEastAsia"/>
                <w:sz w:val="20"/>
                <w:szCs w:val="20"/>
              </w:rPr>
            </w:pPr>
          </w:p>
        </w:tc>
        <w:tc>
          <w:tcPr>
            <w:tcW w:w="1343" w:type="dxa"/>
            <w:noWrap/>
            <w:vAlign w:val="center"/>
          </w:tcPr>
          <w:p>
            <w:pPr>
              <w:spacing w:line="300" w:lineRule="exact"/>
              <w:rPr>
                <w:rFonts w:hint="eastAsia" w:asciiTheme="minorEastAsia" w:hAnsiTheme="minorEastAsia" w:eastAsiaTheme="minorEastAsia" w:cstheme="minorEastAsia"/>
                <w:sz w:val="20"/>
                <w:szCs w:val="20"/>
              </w:rPr>
            </w:pPr>
          </w:p>
        </w:tc>
        <w:tc>
          <w:tcPr>
            <w:tcW w:w="746" w:type="dxa"/>
            <w:noWrap/>
            <w:vAlign w:val="center"/>
          </w:tcPr>
          <w:p>
            <w:pPr>
              <w:spacing w:line="300" w:lineRule="exact"/>
              <w:rPr>
                <w:rFonts w:hint="eastAsia" w:asciiTheme="minorEastAsia" w:hAnsiTheme="minorEastAsia" w:eastAsiaTheme="minorEastAsia" w:cstheme="minorEastAsia"/>
                <w:sz w:val="20"/>
                <w:szCs w:val="20"/>
              </w:rPr>
            </w:pPr>
          </w:p>
        </w:tc>
        <w:tc>
          <w:tcPr>
            <w:tcW w:w="1194" w:type="dxa"/>
            <w:noWrap/>
            <w:vAlign w:val="center"/>
          </w:tcPr>
          <w:p>
            <w:pPr>
              <w:spacing w:line="300" w:lineRule="exact"/>
              <w:rPr>
                <w:rFonts w:hint="eastAsia" w:asciiTheme="minorEastAsia" w:hAnsiTheme="minorEastAsia" w:eastAsiaTheme="minorEastAsia" w:cstheme="minorEastAsia"/>
                <w:sz w:val="20"/>
                <w:szCs w:val="20"/>
              </w:rPr>
            </w:pPr>
          </w:p>
        </w:tc>
        <w:tc>
          <w:tcPr>
            <w:tcW w:w="1761" w:type="dxa"/>
            <w:noWrap/>
            <w:vAlign w:val="center"/>
          </w:tcPr>
          <w:p>
            <w:pPr>
              <w:spacing w:line="300" w:lineRule="exact"/>
              <w:rPr>
                <w:rFonts w:hint="eastAsia" w:asciiTheme="minorEastAsia" w:hAnsiTheme="minorEastAsia" w:eastAsiaTheme="minorEastAsia" w:cstheme="minorEastAsia"/>
                <w:sz w:val="20"/>
                <w:szCs w:val="20"/>
              </w:rPr>
            </w:pPr>
          </w:p>
        </w:tc>
        <w:tc>
          <w:tcPr>
            <w:tcW w:w="1044" w:type="dxa"/>
            <w:noWrap/>
            <w:vAlign w:val="top"/>
          </w:tcPr>
          <w:p>
            <w:pPr>
              <w:spacing w:line="300" w:lineRule="exact"/>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29" w:type="dxa"/>
            <w:noWrap/>
            <w:vAlign w:val="center"/>
          </w:tcPr>
          <w:p>
            <w:pPr>
              <w:spacing w:line="300" w:lineRule="exact"/>
              <w:rPr>
                <w:rFonts w:hint="eastAsia" w:asciiTheme="minorEastAsia" w:hAnsiTheme="minorEastAsia" w:eastAsiaTheme="minorEastAsia" w:cstheme="minorEastAsia"/>
                <w:sz w:val="20"/>
                <w:szCs w:val="20"/>
              </w:rPr>
            </w:pPr>
          </w:p>
        </w:tc>
        <w:tc>
          <w:tcPr>
            <w:tcW w:w="1343" w:type="dxa"/>
            <w:noWrap/>
            <w:vAlign w:val="center"/>
          </w:tcPr>
          <w:p>
            <w:pPr>
              <w:spacing w:line="300" w:lineRule="exact"/>
              <w:rPr>
                <w:rFonts w:hint="eastAsia" w:asciiTheme="minorEastAsia" w:hAnsiTheme="minorEastAsia" w:eastAsiaTheme="minorEastAsia" w:cstheme="minorEastAsia"/>
                <w:sz w:val="20"/>
                <w:szCs w:val="20"/>
              </w:rPr>
            </w:pPr>
          </w:p>
        </w:tc>
        <w:tc>
          <w:tcPr>
            <w:tcW w:w="746" w:type="dxa"/>
            <w:noWrap/>
            <w:vAlign w:val="center"/>
          </w:tcPr>
          <w:p>
            <w:pPr>
              <w:spacing w:line="300" w:lineRule="exact"/>
              <w:rPr>
                <w:rFonts w:hint="eastAsia" w:asciiTheme="minorEastAsia" w:hAnsiTheme="minorEastAsia" w:eastAsiaTheme="minorEastAsia" w:cstheme="minorEastAsia"/>
                <w:sz w:val="20"/>
                <w:szCs w:val="20"/>
              </w:rPr>
            </w:pPr>
          </w:p>
        </w:tc>
        <w:tc>
          <w:tcPr>
            <w:tcW w:w="1194" w:type="dxa"/>
            <w:noWrap/>
            <w:vAlign w:val="center"/>
          </w:tcPr>
          <w:p>
            <w:pPr>
              <w:spacing w:line="300" w:lineRule="exact"/>
              <w:rPr>
                <w:rFonts w:hint="eastAsia" w:asciiTheme="minorEastAsia" w:hAnsiTheme="minorEastAsia" w:eastAsiaTheme="minorEastAsia" w:cstheme="minorEastAsia"/>
                <w:sz w:val="20"/>
                <w:szCs w:val="20"/>
              </w:rPr>
            </w:pPr>
          </w:p>
        </w:tc>
        <w:tc>
          <w:tcPr>
            <w:tcW w:w="1761" w:type="dxa"/>
            <w:noWrap/>
            <w:vAlign w:val="center"/>
          </w:tcPr>
          <w:p>
            <w:pPr>
              <w:spacing w:line="300" w:lineRule="exact"/>
              <w:rPr>
                <w:rFonts w:hint="eastAsia" w:asciiTheme="minorEastAsia" w:hAnsiTheme="minorEastAsia" w:eastAsiaTheme="minorEastAsia" w:cstheme="minorEastAsia"/>
                <w:sz w:val="20"/>
                <w:szCs w:val="20"/>
              </w:rPr>
            </w:pPr>
          </w:p>
        </w:tc>
        <w:tc>
          <w:tcPr>
            <w:tcW w:w="1044" w:type="dxa"/>
            <w:noWrap/>
            <w:vAlign w:val="top"/>
          </w:tcPr>
          <w:p>
            <w:pPr>
              <w:spacing w:line="300" w:lineRule="exact"/>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29" w:type="dxa"/>
            <w:noWrap/>
            <w:vAlign w:val="center"/>
          </w:tcPr>
          <w:p>
            <w:pPr>
              <w:spacing w:line="300" w:lineRule="exact"/>
              <w:rPr>
                <w:rFonts w:hint="eastAsia" w:asciiTheme="minorEastAsia" w:hAnsiTheme="minorEastAsia" w:eastAsiaTheme="minorEastAsia" w:cstheme="minorEastAsia"/>
                <w:sz w:val="20"/>
                <w:szCs w:val="20"/>
              </w:rPr>
            </w:pPr>
          </w:p>
        </w:tc>
        <w:tc>
          <w:tcPr>
            <w:tcW w:w="1343" w:type="dxa"/>
            <w:noWrap/>
            <w:vAlign w:val="center"/>
          </w:tcPr>
          <w:p>
            <w:pPr>
              <w:spacing w:line="300" w:lineRule="exact"/>
              <w:rPr>
                <w:rFonts w:hint="eastAsia" w:asciiTheme="minorEastAsia" w:hAnsiTheme="minorEastAsia" w:eastAsiaTheme="minorEastAsia" w:cstheme="minorEastAsia"/>
                <w:sz w:val="20"/>
                <w:szCs w:val="20"/>
              </w:rPr>
            </w:pPr>
          </w:p>
        </w:tc>
        <w:tc>
          <w:tcPr>
            <w:tcW w:w="746" w:type="dxa"/>
            <w:noWrap/>
            <w:vAlign w:val="center"/>
          </w:tcPr>
          <w:p>
            <w:pPr>
              <w:spacing w:line="300" w:lineRule="exact"/>
              <w:rPr>
                <w:rFonts w:hint="eastAsia" w:asciiTheme="minorEastAsia" w:hAnsiTheme="minorEastAsia" w:eastAsiaTheme="minorEastAsia" w:cstheme="minorEastAsia"/>
                <w:sz w:val="20"/>
                <w:szCs w:val="20"/>
              </w:rPr>
            </w:pPr>
          </w:p>
        </w:tc>
        <w:tc>
          <w:tcPr>
            <w:tcW w:w="1194" w:type="dxa"/>
            <w:noWrap/>
            <w:vAlign w:val="center"/>
          </w:tcPr>
          <w:p>
            <w:pPr>
              <w:spacing w:line="300" w:lineRule="exact"/>
              <w:rPr>
                <w:rFonts w:hint="eastAsia" w:asciiTheme="minorEastAsia" w:hAnsiTheme="minorEastAsia" w:eastAsiaTheme="minorEastAsia" w:cstheme="minorEastAsia"/>
                <w:sz w:val="20"/>
                <w:szCs w:val="20"/>
              </w:rPr>
            </w:pPr>
          </w:p>
        </w:tc>
        <w:tc>
          <w:tcPr>
            <w:tcW w:w="1761" w:type="dxa"/>
            <w:noWrap/>
            <w:vAlign w:val="center"/>
          </w:tcPr>
          <w:p>
            <w:pPr>
              <w:spacing w:line="300" w:lineRule="exact"/>
              <w:rPr>
                <w:rFonts w:hint="eastAsia" w:asciiTheme="minorEastAsia" w:hAnsiTheme="minorEastAsia" w:eastAsiaTheme="minorEastAsia" w:cstheme="minorEastAsia"/>
                <w:sz w:val="20"/>
                <w:szCs w:val="20"/>
              </w:rPr>
            </w:pPr>
          </w:p>
        </w:tc>
        <w:tc>
          <w:tcPr>
            <w:tcW w:w="1044" w:type="dxa"/>
            <w:noWrap/>
            <w:vAlign w:val="top"/>
          </w:tcPr>
          <w:p>
            <w:pPr>
              <w:spacing w:line="300" w:lineRule="exact"/>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29" w:type="dxa"/>
            <w:noWrap/>
            <w:vAlign w:val="center"/>
          </w:tcPr>
          <w:p>
            <w:pPr>
              <w:spacing w:line="300" w:lineRule="exact"/>
              <w:rPr>
                <w:rFonts w:hint="eastAsia" w:asciiTheme="minorEastAsia" w:hAnsiTheme="minorEastAsia" w:eastAsiaTheme="minorEastAsia" w:cstheme="minorEastAsia"/>
                <w:sz w:val="20"/>
                <w:szCs w:val="20"/>
              </w:rPr>
            </w:pPr>
          </w:p>
        </w:tc>
        <w:tc>
          <w:tcPr>
            <w:tcW w:w="1343" w:type="dxa"/>
            <w:noWrap/>
            <w:vAlign w:val="center"/>
          </w:tcPr>
          <w:p>
            <w:pPr>
              <w:spacing w:line="300" w:lineRule="exact"/>
              <w:rPr>
                <w:rFonts w:hint="eastAsia" w:asciiTheme="minorEastAsia" w:hAnsiTheme="minorEastAsia" w:eastAsiaTheme="minorEastAsia" w:cstheme="minorEastAsia"/>
                <w:sz w:val="20"/>
                <w:szCs w:val="20"/>
              </w:rPr>
            </w:pPr>
          </w:p>
        </w:tc>
        <w:tc>
          <w:tcPr>
            <w:tcW w:w="746" w:type="dxa"/>
            <w:noWrap/>
            <w:vAlign w:val="center"/>
          </w:tcPr>
          <w:p>
            <w:pPr>
              <w:spacing w:line="300" w:lineRule="exact"/>
              <w:rPr>
                <w:rFonts w:hint="eastAsia" w:asciiTheme="minorEastAsia" w:hAnsiTheme="minorEastAsia" w:eastAsiaTheme="minorEastAsia" w:cstheme="minorEastAsia"/>
                <w:sz w:val="20"/>
                <w:szCs w:val="20"/>
              </w:rPr>
            </w:pPr>
          </w:p>
        </w:tc>
        <w:tc>
          <w:tcPr>
            <w:tcW w:w="1194" w:type="dxa"/>
            <w:noWrap/>
            <w:vAlign w:val="center"/>
          </w:tcPr>
          <w:p>
            <w:pPr>
              <w:spacing w:line="300" w:lineRule="exact"/>
              <w:rPr>
                <w:rFonts w:hint="eastAsia" w:asciiTheme="minorEastAsia" w:hAnsiTheme="minorEastAsia" w:eastAsiaTheme="minorEastAsia" w:cstheme="minorEastAsia"/>
                <w:sz w:val="20"/>
                <w:szCs w:val="20"/>
              </w:rPr>
            </w:pPr>
          </w:p>
        </w:tc>
        <w:tc>
          <w:tcPr>
            <w:tcW w:w="1761" w:type="dxa"/>
            <w:noWrap/>
            <w:vAlign w:val="center"/>
          </w:tcPr>
          <w:p>
            <w:pPr>
              <w:spacing w:line="300" w:lineRule="exact"/>
              <w:rPr>
                <w:rFonts w:hint="eastAsia" w:asciiTheme="minorEastAsia" w:hAnsiTheme="minorEastAsia" w:eastAsiaTheme="minorEastAsia" w:cstheme="minorEastAsia"/>
                <w:sz w:val="20"/>
                <w:szCs w:val="20"/>
              </w:rPr>
            </w:pPr>
          </w:p>
        </w:tc>
        <w:tc>
          <w:tcPr>
            <w:tcW w:w="1044" w:type="dxa"/>
            <w:noWrap/>
            <w:vAlign w:val="top"/>
          </w:tcPr>
          <w:p>
            <w:pPr>
              <w:spacing w:line="300" w:lineRule="exact"/>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29" w:type="dxa"/>
            <w:noWrap/>
            <w:vAlign w:val="center"/>
          </w:tcPr>
          <w:p>
            <w:pPr>
              <w:spacing w:line="300" w:lineRule="exact"/>
              <w:rPr>
                <w:rFonts w:hint="eastAsia" w:asciiTheme="minorEastAsia" w:hAnsiTheme="minorEastAsia" w:eastAsiaTheme="minorEastAsia" w:cstheme="minorEastAsia"/>
                <w:sz w:val="20"/>
                <w:szCs w:val="20"/>
              </w:rPr>
            </w:pPr>
          </w:p>
        </w:tc>
        <w:tc>
          <w:tcPr>
            <w:tcW w:w="1343" w:type="dxa"/>
            <w:noWrap/>
            <w:vAlign w:val="center"/>
          </w:tcPr>
          <w:p>
            <w:pPr>
              <w:spacing w:line="300" w:lineRule="exact"/>
              <w:rPr>
                <w:rFonts w:hint="eastAsia" w:asciiTheme="minorEastAsia" w:hAnsiTheme="minorEastAsia" w:eastAsiaTheme="minorEastAsia" w:cstheme="minorEastAsia"/>
                <w:sz w:val="20"/>
                <w:szCs w:val="20"/>
              </w:rPr>
            </w:pPr>
          </w:p>
        </w:tc>
        <w:tc>
          <w:tcPr>
            <w:tcW w:w="746" w:type="dxa"/>
            <w:noWrap/>
            <w:vAlign w:val="center"/>
          </w:tcPr>
          <w:p>
            <w:pPr>
              <w:spacing w:line="300" w:lineRule="exact"/>
              <w:rPr>
                <w:rFonts w:hint="eastAsia" w:asciiTheme="minorEastAsia" w:hAnsiTheme="minorEastAsia" w:eastAsiaTheme="minorEastAsia" w:cstheme="minorEastAsia"/>
                <w:sz w:val="20"/>
                <w:szCs w:val="20"/>
              </w:rPr>
            </w:pPr>
          </w:p>
        </w:tc>
        <w:tc>
          <w:tcPr>
            <w:tcW w:w="1194" w:type="dxa"/>
            <w:noWrap/>
            <w:vAlign w:val="center"/>
          </w:tcPr>
          <w:p>
            <w:pPr>
              <w:spacing w:line="300" w:lineRule="exact"/>
              <w:rPr>
                <w:rFonts w:hint="eastAsia" w:asciiTheme="minorEastAsia" w:hAnsiTheme="minorEastAsia" w:eastAsiaTheme="minorEastAsia" w:cstheme="minorEastAsia"/>
                <w:sz w:val="20"/>
                <w:szCs w:val="20"/>
              </w:rPr>
            </w:pPr>
          </w:p>
        </w:tc>
        <w:tc>
          <w:tcPr>
            <w:tcW w:w="1761" w:type="dxa"/>
            <w:noWrap/>
            <w:vAlign w:val="center"/>
          </w:tcPr>
          <w:p>
            <w:pPr>
              <w:spacing w:line="300" w:lineRule="exact"/>
              <w:rPr>
                <w:rFonts w:hint="eastAsia" w:asciiTheme="minorEastAsia" w:hAnsiTheme="minorEastAsia" w:eastAsiaTheme="minorEastAsia" w:cstheme="minorEastAsia"/>
                <w:sz w:val="20"/>
                <w:szCs w:val="20"/>
              </w:rPr>
            </w:pPr>
          </w:p>
        </w:tc>
        <w:tc>
          <w:tcPr>
            <w:tcW w:w="1044" w:type="dxa"/>
            <w:noWrap/>
            <w:vAlign w:val="top"/>
          </w:tcPr>
          <w:p>
            <w:pPr>
              <w:spacing w:line="300" w:lineRule="exact"/>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29" w:type="dxa"/>
            <w:noWrap/>
            <w:vAlign w:val="center"/>
          </w:tcPr>
          <w:p>
            <w:pPr>
              <w:spacing w:line="300" w:lineRule="exact"/>
              <w:rPr>
                <w:rFonts w:hint="eastAsia" w:asciiTheme="minorEastAsia" w:hAnsiTheme="minorEastAsia" w:eastAsiaTheme="minorEastAsia" w:cstheme="minorEastAsia"/>
                <w:sz w:val="20"/>
                <w:szCs w:val="20"/>
              </w:rPr>
            </w:pPr>
          </w:p>
        </w:tc>
        <w:tc>
          <w:tcPr>
            <w:tcW w:w="1343" w:type="dxa"/>
            <w:noWrap/>
            <w:vAlign w:val="center"/>
          </w:tcPr>
          <w:p>
            <w:pPr>
              <w:spacing w:line="300" w:lineRule="exact"/>
              <w:rPr>
                <w:rFonts w:hint="eastAsia" w:asciiTheme="minorEastAsia" w:hAnsiTheme="minorEastAsia" w:eastAsiaTheme="minorEastAsia" w:cstheme="minorEastAsia"/>
                <w:sz w:val="20"/>
                <w:szCs w:val="20"/>
              </w:rPr>
            </w:pPr>
          </w:p>
        </w:tc>
        <w:tc>
          <w:tcPr>
            <w:tcW w:w="746" w:type="dxa"/>
            <w:noWrap/>
            <w:vAlign w:val="center"/>
          </w:tcPr>
          <w:p>
            <w:pPr>
              <w:spacing w:line="300" w:lineRule="exact"/>
              <w:rPr>
                <w:rFonts w:hint="eastAsia" w:asciiTheme="minorEastAsia" w:hAnsiTheme="minorEastAsia" w:eastAsiaTheme="minorEastAsia" w:cstheme="minorEastAsia"/>
                <w:sz w:val="20"/>
                <w:szCs w:val="20"/>
              </w:rPr>
            </w:pPr>
          </w:p>
        </w:tc>
        <w:tc>
          <w:tcPr>
            <w:tcW w:w="1194" w:type="dxa"/>
            <w:noWrap/>
            <w:vAlign w:val="center"/>
          </w:tcPr>
          <w:p>
            <w:pPr>
              <w:spacing w:line="300" w:lineRule="exact"/>
              <w:rPr>
                <w:rFonts w:hint="eastAsia" w:asciiTheme="minorEastAsia" w:hAnsiTheme="minorEastAsia" w:eastAsiaTheme="minorEastAsia" w:cstheme="minorEastAsia"/>
                <w:sz w:val="20"/>
                <w:szCs w:val="20"/>
              </w:rPr>
            </w:pPr>
          </w:p>
        </w:tc>
        <w:tc>
          <w:tcPr>
            <w:tcW w:w="1761" w:type="dxa"/>
            <w:noWrap/>
            <w:vAlign w:val="center"/>
          </w:tcPr>
          <w:p>
            <w:pPr>
              <w:spacing w:line="300" w:lineRule="exact"/>
              <w:rPr>
                <w:rFonts w:hint="eastAsia" w:asciiTheme="minorEastAsia" w:hAnsiTheme="minorEastAsia" w:eastAsiaTheme="minorEastAsia" w:cstheme="minorEastAsia"/>
                <w:sz w:val="20"/>
                <w:szCs w:val="20"/>
              </w:rPr>
            </w:pPr>
          </w:p>
        </w:tc>
        <w:tc>
          <w:tcPr>
            <w:tcW w:w="1044" w:type="dxa"/>
            <w:noWrap/>
            <w:vAlign w:val="top"/>
          </w:tcPr>
          <w:p>
            <w:pPr>
              <w:spacing w:line="300" w:lineRule="exact"/>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29" w:type="dxa"/>
            <w:noWrap/>
            <w:vAlign w:val="center"/>
          </w:tcPr>
          <w:p>
            <w:pPr>
              <w:spacing w:line="300" w:lineRule="exact"/>
              <w:rPr>
                <w:rFonts w:hint="eastAsia" w:asciiTheme="minorEastAsia" w:hAnsiTheme="minorEastAsia" w:eastAsiaTheme="minorEastAsia" w:cstheme="minorEastAsia"/>
                <w:sz w:val="20"/>
                <w:szCs w:val="20"/>
              </w:rPr>
            </w:pPr>
          </w:p>
        </w:tc>
        <w:tc>
          <w:tcPr>
            <w:tcW w:w="1343" w:type="dxa"/>
            <w:noWrap/>
            <w:vAlign w:val="center"/>
          </w:tcPr>
          <w:p>
            <w:pPr>
              <w:spacing w:line="300" w:lineRule="exact"/>
              <w:rPr>
                <w:rFonts w:hint="eastAsia" w:asciiTheme="minorEastAsia" w:hAnsiTheme="minorEastAsia" w:eastAsiaTheme="minorEastAsia" w:cstheme="minorEastAsia"/>
                <w:sz w:val="20"/>
                <w:szCs w:val="20"/>
              </w:rPr>
            </w:pPr>
          </w:p>
        </w:tc>
        <w:tc>
          <w:tcPr>
            <w:tcW w:w="746" w:type="dxa"/>
            <w:noWrap/>
            <w:vAlign w:val="center"/>
          </w:tcPr>
          <w:p>
            <w:pPr>
              <w:spacing w:line="300" w:lineRule="exact"/>
              <w:rPr>
                <w:rFonts w:hint="eastAsia" w:asciiTheme="minorEastAsia" w:hAnsiTheme="minorEastAsia" w:eastAsiaTheme="minorEastAsia" w:cstheme="minorEastAsia"/>
                <w:sz w:val="20"/>
                <w:szCs w:val="20"/>
              </w:rPr>
            </w:pPr>
          </w:p>
        </w:tc>
        <w:tc>
          <w:tcPr>
            <w:tcW w:w="1194" w:type="dxa"/>
            <w:noWrap/>
            <w:vAlign w:val="center"/>
          </w:tcPr>
          <w:p>
            <w:pPr>
              <w:spacing w:line="300" w:lineRule="exact"/>
              <w:rPr>
                <w:rFonts w:hint="eastAsia" w:asciiTheme="minorEastAsia" w:hAnsiTheme="minorEastAsia" w:eastAsiaTheme="minorEastAsia" w:cstheme="minorEastAsia"/>
                <w:sz w:val="20"/>
                <w:szCs w:val="20"/>
              </w:rPr>
            </w:pPr>
          </w:p>
        </w:tc>
        <w:tc>
          <w:tcPr>
            <w:tcW w:w="1761" w:type="dxa"/>
            <w:noWrap/>
            <w:vAlign w:val="center"/>
          </w:tcPr>
          <w:p>
            <w:pPr>
              <w:spacing w:line="300" w:lineRule="exact"/>
              <w:rPr>
                <w:rFonts w:hint="eastAsia" w:asciiTheme="minorEastAsia" w:hAnsiTheme="minorEastAsia" w:eastAsiaTheme="minorEastAsia" w:cstheme="minorEastAsia"/>
                <w:sz w:val="20"/>
                <w:szCs w:val="20"/>
              </w:rPr>
            </w:pPr>
          </w:p>
        </w:tc>
        <w:tc>
          <w:tcPr>
            <w:tcW w:w="1044" w:type="dxa"/>
            <w:noWrap/>
            <w:vAlign w:val="top"/>
          </w:tcPr>
          <w:p>
            <w:pPr>
              <w:spacing w:line="300" w:lineRule="exact"/>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29" w:type="dxa"/>
            <w:noWrap/>
            <w:vAlign w:val="center"/>
          </w:tcPr>
          <w:p>
            <w:pPr>
              <w:spacing w:line="300" w:lineRule="exact"/>
              <w:rPr>
                <w:rFonts w:hint="eastAsia" w:asciiTheme="minorEastAsia" w:hAnsiTheme="minorEastAsia" w:eastAsiaTheme="minorEastAsia" w:cstheme="minorEastAsia"/>
                <w:sz w:val="20"/>
                <w:szCs w:val="20"/>
              </w:rPr>
            </w:pPr>
          </w:p>
        </w:tc>
        <w:tc>
          <w:tcPr>
            <w:tcW w:w="1343" w:type="dxa"/>
            <w:noWrap/>
            <w:vAlign w:val="center"/>
          </w:tcPr>
          <w:p>
            <w:pPr>
              <w:spacing w:line="300" w:lineRule="exact"/>
              <w:rPr>
                <w:rFonts w:hint="eastAsia" w:asciiTheme="minorEastAsia" w:hAnsiTheme="minorEastAsia" w:eastAsiaTheme="minorEastAsia" w:cstheme="minorEastAsia"/>
                <w:sz w:val="20"/>
                <w:szCs w:val="20"/>
              </w:rPr>
            </w:pPr>
          </w:p>
        </w:tc>
        <w:tc>
          <w:tcPr>
            <w:tcW w:w="746" w:type="dxa"/>
            <w:noWrap/>
            <w:vAlign w:val="center"/>
          </w:tcPr>
          <w:p>
            <w:pPr>
              <w:spacing w:line="300" w:lineRule="exact"/>
              <w:rPr>
                <w:rFonts w:hint="eastAsia" w:asciiTheme="minorEastAsia" w:hAnsiTheme="minorEastAsia" w:eastAsiaTheme="minorEastAsia" w:cstheme="minorEastAsia"/>
                <w:sz w:val="20"/>
                <w:szCs w:val="20"/>
              </w:rPr>
            </w:pPr>
          </w:p>
        </w:tc>
        <w:tc>
          <w:tcPr>
            <w:tcW w:w="1194" w:type="dxa"/>
            <w:noWrap/>
            <w:vAlign w:val="center"/>
          </w:tcPr>
          <w:p>
            <w:pPr>
              <w:spacing w:line="300" w:lineRule="exact"/>
              <w:rPr>
                <w:rFonts w:hint="eastAsia" w:asciiTheme="minorEastAsia" w:hAnsiTheme="minorEastAsia" w:eastAsiaTheme="minorEastAsia" w:cstheme="minorEastAsia"/>
                <w:sz w:val="20"/>
                <w:szCs w:val="20"/>
              </w:rPr>
            </w:pPr>
          </w:p>
        </w:tc>
        <w:tc>
          <w:tcPr>
            <w:tcW w:w="1761" w:type="dxa"/>
            <w:noWrap/>
            <w:vAlign w:val="center"/>
          </w:tcPr>
          <w:p>
            <w:pPr>
              <w:spacing w:line="300" w:lineRule="exact"/>
              <w:rPr>
                <w:rFonts w:hint="eastAsia" w:asciiTheme="minorEastAsia" w:hAnsiTheme="minorEastAsia" w:eastAsiaTheme="minorEastAsia" w:cstheme="minorEastAsia"/>
                <w:sz w:val="20"/>
                <w:szCs w:val="20"/>
              </w:rPr>
            </w:pPr>
          </w:p>
        </w:tc>
        <w:tc>
          <w:tcPr>
            <w:tcW w:w="1044" w:type="dxa"/>
            <w:noWrap/>
            <w:vAlign w:val="top"/>
          </w:tcPr>
          <w:p>
            <w:pPr>
              <w:spacing w:line="300" w:lineRule="exact"/>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29" w:type="dxa"/>
            <w:noWrap/>
            <w:vAlign w:val="center"/>
          </w:tcPr>
          <w:p>
            <w:pPr>
              <w:spacing w:line="300" w:lineRule="exact"/>
              <w:rPr>
                <w:rFonts w:hint="eastAsia" w:asciiTheme="minorEastAsia" w:hAnsiTheme="minorEastAsia" w:eastAsiaTheme="minorEastAsia" w:cstheme="minorEastAsia"/>
                <w:sz w:val="20"/>
                <w:szCs w:val="20"/>
              </w:rPr>
            </w:pPr>
          </w:p>
        </w:tc>
        <w:tc>
          <w:tcPr>
            <w:tcW w:w="1343" w:type="dxa"/>
            <w:noWrap/>
            <w:vAlign w:val="center"/>
          </w:tcPr>
          <w:p>
            <w:pPr>
              <w:spacing w:line="300" w:lineRule="exact"/>
              <w:rPr>
                <w:rFonts w:hint="eastAsia" w:asciiTheme="minorEastAsia" w:hAnsiTheme="minorEastAsia" w:eastAsiaTheme="minorEastAsia" w:cstheme="minorEastAsia"/>
                <w:sz w:val="20"/>
                <w:szCs w:val="20"/>
              </w:rPr>
            </w:pPr>
          </w:p>
        </w:tc>
        <w:tc>
          <w:tcPr>
            <w:tcW w:w="746" w:type="dxa"/>
            <w:noWrap/>
            <w:vAlign w:val="center"/>
          </w:tcPr>
          <w:p>
            <w:pPr>
              <w:spacing w:line="300" w:lineRule="exact"/>
              <w:rPr>
                <w:rFonts w:hint="eastAsia" w:asciiTheme="minorEastAsia" w:hAnsiTheme="minorEastAsia" w:eastAsiaTheme="minorEastAsia" w:cstheme="minorEastAsia"/>
                <w:sz w:val="20"/>
                <w:szCs w:val="20"/>
              </w:rPr>
            </w:pPr>
          </w:p>
        </w:tc>
        <w:tc>
          <w:tcPr>
            <w:tcW w:w="1194" w:type="dxa"/>
            <w:noWrap/>
            <w:vAlign w:val="center"/>
          </w:tcPr>
          <w:p>
            <w:pPr>
              <w:spacing w:line="300" w:lineRule="exact"/>
              <w:rPr>
                <w:rFonts w:hint="eastAsia" w:asciiTheme="minorEastAsia" w:hAnsiTheme="minorEastAsia" w:eastAsiaTheme="minorEastAsia" w:cstheme="minorEastAsia"/>
                <w:sz w:val="20"/>
                <w:szCs w:val="20"/>
              </w:rPr>
            </w:pPr>
          </w:p>
        </w:tc>
        <w:tc>
          <w:tcPr>
            <w:tcW w:w="1761" w:type="dxa"/>
            <w:noWrap/>
            <w:vAlign w:val="center"/>
          </w:tcPr>
          <w:p>
            <w:pPr>
              <w:spacing w:line="300" w:lineRule="exact"/>
              <w:rPr>
                <w:rFonts w:hint="eastAsia" w:asciiTheme="minorEastAsia" w:hAnsiTheme="minorEastAsia" w:eastAsiaTheme="minorEastAsia" w:cstheme="minorEastAsia"/>
                <w:sz w:val="20"/>
                <w:szCs w:val="20"/>
              </w:rPr>
            </w:pPr>
          </w:p>
        </w:tc>
        <w:tc>
          <w:tcPr>
            <w:tcW w:w="1044" w:type="dxa"/>
            <w:noWrap/>
            <w:vAlign w:val="top"/>
          </w:tcPr>
          <w:p>
            <w:pPr>
              <w:spacing w:line="300" w:lineRule="exact"/>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29" w:type="dxa"/>
            <w:noWrap/>
            <w:vAlign w:val="center"/>
          </w:tcPr>
          <w:p>
            <w:pPr>
              <w:spacing w:line="300" w:lineRule="exact"/>
              <w:rPr>
                <w:rFonts w:hint="eastAsia" w:asciiTheme="minorEastAsia" w:hAnsiTheme="minorEastAsia" w:eastAsiaTheme="minorEastAsia" w:cstheme="minorEastAsia"/>
                <w:sz w:val="20"/>
                <w:szCs w:val="20"/>
              </w:rPr>
            </w:pPr>
          </w:p>
        </w:tc>
        <w:tc>
          <w:tcPr>
            <w:tcW w:w="1343" w:type="dxa"/>
            <w:noWrap/>
            <w:vAlign w:val="center"/>
          </w:tcPr>
          <w:p>
            <w:pPr>
              <w:spacing w:line="300" w:lineRule="exact"/>
              <w:rPr>
                <w:rFonts w:hint="eastAsia" w:asciiTheme="minorEastAsia" w:hAnsiTheme="minorEastAsia" w:eastAsiaTheme="minorEastAsia" w:cstheme="minorEastAsia"/>
                <w:sz w:val="20"/>
                <w:szCs w:val="20"/>
              </w:rPr>
            </w:pPr>
          </w:p>
        </w:tc>
        <w:tc>
          <w:tcPr>
            <w:tcW w:w="746" w:type="dxa"/>
            <w:noWrap/>
            <w:vAlign w:val="center"/>
          </w:tcPr>
          <w:p>
            <w:pPr>
              <w:spacing w:line="300" w:lineRule="exact"/>
              <w:rPr>
                <w:rFonts w:hint="eastAsia" w:asciiTheme="minorEastAsia" w:hAnsiTheme="minorEastAsia" w:eastAsiaTheme="minorEastAsia" w:cstheme="minorEastAsia"/>
                <w:sz w:val="20"/>
                <w:szCs w:val="20"/>
              </w:rPr>
            </w:pPr>
          </w:p>
        </w:tc>
        <w:tc>
          <w:tcPr>
            <w:tcW w:w="1194" w:type="dxa"/>
            <w:noWrap/>
            <w:vAlign w:val="center"/>
          </w:tcPr>
          <w:p>
            <w:pPr>
              <w:spacing w:line="300" w:lineRule="exact"/>
              <w:rPr>
                <w:rFonts w:hint="eastAsia" w:asciiTheme="minorEastAsia" w:hAnsiTheme="minorEastAsia" w:eastAsiaTheme="minorEastAsia" w:cstheme="minorEastAsia"/>
                <w:sz w:val="20"/>
                <w:szCs w:val="20"/>
              </w:rPr>
            </w:pPr>
          </w:p>
        </w:tc>
        <w:tc>
          <w:tcPr>
            <w:tcW w:w="1761" w:type="dxa"/>
            <w:noWrap/>
            <w:vAlign w:val="center"/>
          </w:tcPr>
          <w:p>
            <w:pPr>
              <w:spacing w:line="300" w:lineRule="exact"/>
              <w:rPr>
                <w:rFonts w:hint="eastAsia" w:asciiTheme="minorEastAsia" w:hAnsiTheme="minorEastAsia" w:eastAsiaTheme="minorEastAsia" w:cstheme="minorEastAsia"/>
                <w:sz w:val="20"/>
                <w:szCs w:val="20"/>
              </w:rPr>
            </w:pPr>
          </w:p>
        </w:tc>
        <w:tc>
          <w:tcPr>
            <w:tcW w:w="1044" w:type="dxa"/>
            <w:noWrap/>
            <w:vAlign w:val="top"/>
          </w:tcPr>
          <w:p>
            <w:pPr>
              <w:spacing w:line="300" w:lineRule="exact"/>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29" w:type="dxa"/>
            <w:noWrap/>
            <w:vAlign w:val="center"/>
          </w:tcPr>
          <w:p>
            <w:pPr>
              <w:spacing w:line="300" w:lineRule="exact"/>
              <w:rPr>
                <w:rFonts w:hint="eastAsia" w:asciiTheme="minorEastAsia" w:hAnsiTheme="minorEastAsia" w:eastAsiaTheme="minorEastAsia" w:cstheme="minorEastAsia"/>
                <w:sz w:val="20"/>
                <w:szCs w:val="20"/>
              </w:rPr>
            </w:pPr>
          </w:p>
        </w:tc>
        <w:tc>
          <w:tcPr>
            <w:tcW w:w="1343" w:type="dxa"/>
            <w:noWrap/>
            <w:vAlign w:val="center"/>
          </w:tcPr>
          <w:p>
            <w:pPr>
              <w:spacing w:line="300" w:lineRule="exact"/>
              <w:rPr>
                <w:rFonts w:hint="eastAsia" w:asciiTheme="minorEastAsia" w:hAnsiTheme="minorEastAsia" w:eastAsiaTheme="minorEastAsia" w:cstheme="minorEastAsia"/>
                <w:sz w:val="20"/>
                <w:szCs w:val="20"/>
              </w:rPr>
            </w:pPr>
          </w:p>
        </w:tc>
        <w:tc>
          <w:tcPr>
            <w:tcW w:w="746" w:type="dxa"/>
            <w:noWrap/>
            <w:vAlign w:val="center"/>
          </w:tcPr>
          <w:p>
            <w:pPr>
              <w:spacing w:line="300" w:lineRule="exact"/>
              <w:rPr>
                <w:rFonts w:hint="eastAsia" w:asciiTheme="minorEastAsia" w:hAnsiTheme="minorEastAsia" w:eastAsiaTheme="minorEastAsia" w:cstheme="minorEastAsia"/>
                <w:sz w:val="20"/>
                <w:szCs w:val="20"/>
              </w:rPr>
            </w:pPr>
          </w:p>
        </w:tc>
        <w:tc>
          <w:tcPr>
            <w:tcW w:w="1194" w:type="dxa"/>
            <w:noWrap/>
            <w:vAlign w:val="center"/>
          </w:tcPr>
          <w:p>
            <w:pPr>
              <w:spacing w:line="300" w:lineRule="exact"/>
              <w:rPr>
                <w:rFonts w:hint="eastAsia" w:asciiTheme="minorEastAsia" w:hAnsiTheme="minorEastAsia" w:eastAsiaTheme="minorEastAsia" w:cstheme="minorEastAsia"/>
                <w:sz w:val="20"/>
                <w:szCs w:val="20"/>
              </w:rPr>
            </w:pPr>
          </w:p>
        </w:tc>
        <w:tc>
          <w:tcPr>
            <w:tcW w:w="1761" w:type="dxa"/>
            <w:noWrap/>
            <w:vAlign w:val="center"/>
          </w:tcPr>
          <w:p>
            <w:pPr>
              <w:spacing w:line="300" w:lineRule="exact"/>
              <w:rPr>
                <w:rFonts w:hint="eastAsia" w:asciiTheme="minorEastAsia" w:hAnsiTheme="minorEastAsia" w:eastAsiaTheme="minorEastAsia" w:cstheme="minorEastAsia"/>
                <w:sz w:val="20"/>
                <w:szCs w:val="20"/>
              </w:rPr>
            </w:pPr>
          </w:p>
        </w:tc>
        <w:tc>
          <w:tcPr>
            <w:tcW w:w="1044" w:type="dxa"/>
            <w:noWrap/>
            <w:vAlign w:val="top"/>
          </w:tcPr>
          <w:p>
            <w:pPr>
              <w:spacing w:line="300" w:lineRule="exact"/>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29" w:type="dxa"/>
            <w:noWrap/>
            <w:vAlign w:val="center"/>
          </w:tcPr>
          <w:p>
            <w:pPr>
              <w:spacing w:line="300" w:lineRule="exact"/>
              <w:rPr>
                <w:rFonts w:hint="eastAsia" w:asciiTheme="minorEastAsia" w:hAnsiTheme="minorEastAsia" w:eastAsiaTheme="minorEastAsia" w:cstheme="minorEastAsia"/>
                <w:sz w:val="20"/>
                <w:szCs w:val="20"/>
              </w:rPr>
            </w:pPr>
          </w:p>
        </w:tc>
        <w:tc>
          <w:tcPr>
            <w:tcW w:w="1343" w:type="dxa"/>
            <w:noWrap/>
            <w:vAlign w:val="center"/>
          </w:tcPr>
          <w:p>
            <w:pPr>
              <w:spacing w:line="300" w:lineRule="exact"/>
              <w:rPr>
                <w:rFonts w:hint="eastAsia" w:asciiTheme="minorEastAsia" w:hAnsiTheme="minorEastAsia" w:eastAsiaTheme="minorEastAsia" w:cstheme="minorEastAsia"/>
                <w:sz w:val="20"/>
                <w:szCs w:val="20"/>
              </w:rPr>
            </w:pPr>
          </w:p>
        </w:tc>
        <w:tc>
          <w:tcPr>
            <w:tcW w:w="746" w:type="dxa"/>
            <w:noWrap/>
            <w:vAlign w:val="center"/>
          </w:tcPr>
          <w:p>
            <w:pPr>
              <w:spacing w:line="300" w:lineRule="exact"/>
              <w:rPr>
                <w:rFonts w:hint="eastAsia" w:asciiTheme="minorEastAsia" w:hAnsiTheme="minorEastAsia" w:eastAsiaTheme="minorEastAsia" w:cstheme="minorEastAsia"/>
                <w:sz w:val="20"/>
                <w:szCs w:val="20"/>
              </w:rPr>
            </w:pPr>
          </w:p>
        </w:tc>
        <w:tc>
          <w:tcPr>
            <w:tcW w:w="1194" w:type="dxa"/>
            <w:noWrap/>
            <w:vAlign w:val="center"/>
          </w:tcPr>
          <w:p>
            <w:pPr>
              <w:spacing w:line="300" w:lineRule="exact"/>
              <w:rPr>
                <w:rFonts w:hint="eastAsia" w:asciiTheme="minorEastAsia" w:hAnsiTheme="minorEastAsia" w:eastAsiaTheme="minorEastAsia" w:cstheme="minorEastAsia"/>
                <w:sz w:val="20"/>
                <w:szCs w:val="20"/>
              </w:rPr>
            </w:pPr>
          </w:p>
        </w:tc>
        <w:tc>
          <w:tcPr>
            <w:tcW w:w="1761" w:type="dxa"/>
            <w:noWrap/>
            <w:vAlign w:val="center"/>
          </w:tcPr>
          <w:p>
            <w:pPr>
              <w:spacing w:line="300" w:lineRule="exact"/>
              <w:rPr>
                <w:rFonts w:hint="eastAsia" w:asciiTheme="minorEastAsia" w:hAnsiTheme="minorEastAsia" w:eastAsiaTheme="minorEastAsia" w:cstheme="minorEastAsia"/>
                <w:sz w:val="20"/>
                <w:szCs w:val="20"/>
              </w:rPr>
            </w:pPr>
          </w:p>
        </w:tc>
        <w:tc>
          <w:tcPr>
            <w:tcW w:w="1044" w:type="dxa"/>
            <w:noWrap/>
            <w:vAlign w:val="top"/>
          </w:tcPr>
          <w:p>
            <w:pPr>
              <w:spacing w:line="300" w:lineRule="exact"/>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29" w:type="dxa"/>
            <w:noWrap/>
            <w:vAlign w:val="center"/>
          </w:tcPr>
          <w:p>
            <w:pPr>
              <w:spacing w:line="300" w:lineRule="exact"/>
              <w:rPr>
                <w:rFonts w:hint="eastAsia" w:asciiTheme="minorEastAsia" w:hAnsiTheme="minorEastAsia" w:eastAsiaTheme="minorEastAsia" w:cstheme="minorEastAsia"/>
                <w:sz w:val="20"/>
                <w:szCs w:val="20"/>
              </w:rPr>
            </w:pPr>
          </w:p>
        </w:tc>
        <w:tc>
          <w:tcPr>
            <w:tcW w:w="1343" w:type="dxa"/>
            <w:noWrap/>
            <w:vAlign w:val="center"/>
          </w:tcPr>
          <w:p>
            <w:pPr>
              <w:spacing w:line="300" w:lineRule="exact"/>
              <w:rPr>
                <w:rFonts w:hint="eastAsia" w:asciiTheme="minorEastAsia" w:hAnsiTheme="minorEastAsia" w:eastAsiaTheme="minorEastAsia" w:cstheme="minorEastAsia"/>
                <w:sz w:val="20"/>
                <w:szCs w:val="20"/>
              </w:rPr>
            </w:pPr>
          </w:p>
        </w:tc>
        <w:tc>
          <w:tcPr>
            <w:tcW w:w="746" w:type="dxa"/>
            <w:noWrap/>
            <w:vAlign w:val="center"/>
          </w:tcPr>
          <w:p>
            <w:pPr>
              <w:spacing w:line="300" w:lineRule="exact"/>
              <w:rPr>
                <w:rFonts w:hint="eastAsia" w:asciiTheme="minorEastAsia" w:hAnsiTheme="minorEastAsia" w:eastAsiaTheme="minorEastAsia" w:cstheme="minorEastAsia"/>
                <w:sz w:val="20"/>
                <w:szCs w:val="20"/>
              </w:rPr>
            </w:pPr>
          </w:p>
        </w:tc>
        <w:tc>
          <w:tcPr>
            <w:tcW w:w="1194" w:type="dxa"/>
            <w:noWrap/>
            <w:vAlign w:val="center"/>
          </w:tcPr>
          <w:p>
            <w:pPr>
              <w:spacing w:line="300" w:lineRule="exact"/>
              <w:rPr>
                <w:rFonts w:hint="eastAsia" w:asciiTheme="minorEastAsia" w:hAnsiTheme="minorEastAsia" w:eastAsiaTheme="minorEastAsia" w:cstheme="minorEastAsia"/>
                <w:sz w:val="20"/>
                <w:szCs w:val="20"/>
              </w:rPr>
            </w:pPr>
          </w:p>
        </w:tc>
        <w:tc>
          <w:tcPr>
            <w:tcW w:w="1761" w:type="dxa"/>
            <w:noWrap/>
            <w:vAlign w:val="center"/>
          </w:tcPr>
          <w:p>
            <w:pPr>
              <w:spacing w:line="300" w:lineRule="exact"/>
              <w:rPr>
                <w:rFonts w:hint="eastAsia" w:asciiTheme="minorEastAsia" w:hAnsiTheme="minorEastAsia" w:eastAsiaTheme="minorEastAsia" w:cstheme="minorEastAsia"/>
                <w:sz w:val="20"/>
                <w:szCs w:val="20"/>
              </w:rPr>
            </w:pPr>
          </w:p>
        </w:tc>
        <w:tc>
          <w:tcPr>
            <w:tcW w:w="1044" w:type="dxa"/>
            <w:noWrap/>
            <w:vAlign w:val="top"/>
          </w:tcPr>
          <w:p>
            <w:pPr>
              <w:spacing w:line="300" w:lineRule="exact"/>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29" w:type="dxa"/>
            <w:noWrap/>
            <w:vAlign w:val="center"/>
          </w:tcPr>
          <w:p>
            <w:pPr>
              <w:spacing w:line="300" w:lineRule="exact"/>
              <w:rPr>
                <w:rFonts w:hint="eastAsia" w:asciiTheme="minorEastAsia" w:hAnsiTheme="minorEastAsia" w:eastAsiaTheme="minorEastAsia" w:cstheme="minorEastAsia"/>
                <w:sz w:val="20"/>
                <w:szCs w:val="20"/>
              </w:rPr>
            </w:pPr>
          </w:p>
        </w:tc>
        <w:tc>
          <w:tcPr>
            <w:tcW w:w="1343" w:type="dxa"/>
            <w:noWrap/>
            <w:vAlign w:val="center"/>
          </w:tcPr>
          <w:p>
            <w:pPr>
              <w:spacing w:line="300" w:lineRule="exact"/>
              <w:rPr>
                <w:rFonts w:hint="eastAsia" w:asciiTheme="minorEastAsia" w:hAnsiTheme="minorEastAsia" w:eastAsiaTheme="minorEastAsia" w:cstheme="minorEastAsia"/>
                <w:sz w:val="20"/>
                <w:szCs w:val="20"/>
              </w:rPr>
            </w:pPr>
          </w:p>
        </w:tc>
        <w:tc>
          <w:tcPr>
            <w:tcW w:w="746" w:type="dxa"/>
            <w:noWrap/>
            <w:vAlign w:val="center"/>
          </w:tcPr>
          <w:p>
            <w:pPr>
              <w:spacing w:line="300" w:lineRule="exact"/>
              <w:rPr>
                <w:rFonts w:hint="eastAsia" w:asciiTheme="minorEastAsia" w:hAnsiTheme="minorEastAsia" w:eastAsiaTheme="minorEastAsia" w:cstheme="minorEastAsia"/>
                <w:sz w:val="20"/>
                <w:szCs w:val="20"/>
              </w:rPr>
            </w:pPr>
          </w:p>
        </w:tc>
        <w:tc>
          <w:tcPr>
            <w:tcW w:w="1194" w:type="dxa"/>
            <w:noWrap/>
            <w:vAlign w:val="center"/>
          </w:tcPr>
          <w:p>
            <w:pPr>
              <w:spacing w:line="300" w:lineRule="exact"/>
              <w:rPr>
                <w:rFonts w:hint="eastAsia" w:asciiTheme="minorEastAsia" w:hAnsiTheme="minorEastAsia" w:eastAsiaTheme="minorEastAsia" w:cstheme="minorEastAsia"/>
                <w:sz w:val="20"/>
                <w:szCs w:val="20"/>
              </w:rPr>
            </w:pPr>
          </w:p>
        </w:tc>
        <w:tc>
          <w:tcPr>
            <w:tcW w:w="1761" w:type="dxa"/>
            <w:noWrap/>
            <w:vAlign w:val="center"/>
          </w:tcPr>
          <w:p>
            <w:pPr>
              <w:spacing w:line="300" w:lineRule="exact"/>
              <w:rPr>
                <w:rFonts w:hint="eastAsia" w:asciiTheme="minorEastAsia" w:hAnsiTheme="minorEastAsia" w:eastAsiaTheme="minorEastAsia" w:cstheme="minorEastAsia"/>
                <w:sz w:val="20"/>
                <w:szCs w:val="20"/>
              </w:rPr>
            </w:pPr>
          </w:p>
        </w:tc>
        <w:tc>
          <w:tcPr>
            <w:tcW w:w="1044" w:type="dxa"/>
            <w:noWrap/>
            <w:vAlign w:val="top"/>
          </w:tcPr>
          <w:p>
            <w:pPr>
              <w:spacing w:line="300" w:lineRule="exact"/>
              <w:rPr>
                <w:rFonts w:hint="eastAsia" w:asciiTheme="minorEastAsia" w:hAnsiTheme="minorEastAsia" w:eastAsiaTheme="minorEastAsia" w:cstheme="minorEastAsia"/>
                <w:sz w:val="20"/>
                <w:szCs w:val="20"/>
              </w:rPr>
            </w:pPr>
          </w:p>
        </w:tc>
      </w:tr>
    </w:tbl>
    <w:p>
      <w:pPr>
        <w:snapToGrid w:val="0"/>
        <w:spacing w:line="42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：（加盖公章）</w:t>
      </w:r>
    </w:p>
    <w:p>
      <w:pPr>
        <w:snapToGrid w:val="0"/>
        <w:spacing w:line="420" w:lineRule="exact"/>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w:t>
      </w:r>
      <w:r>
        <w:rPr>
          <w:rFonts w:hint="eastAsia" w:asciiTheme="minorEastAsia" w:hAnsiTheme="minorEastAsia" w:eastAsiaTheme="minorEastAsia"/>
          <w:sz w:val="24"/>
          <w:szCs w:val="24"/>
        </w:rPr>
        <w:t>被委托受权人</w:t>
      </w:r>
      <w:r>
        <w:rPr>
          <w:rFonts w:asciiTheme="minorEastAsia" w:hAnsiTheme="minorEastAsia" w:eastAsiaTheme="minorEastAsia"/>
          <w:sz w:val="24"/>
          <w:szCs w:val="24"/>
        </w:rPr>
        <w:t>：（签字）</w:t>
      </w:r>
    </w:p>
    <w:p>
      <w:pPr>
        <w:snapToGrid w:val="0"/>
        <w:spacing w:line="420" w:lineRule="exact"/>
        <w:jc w:val="left"/>
        <w:rPr>
          <w:rFonts w:ascii="Times New Roman" w:hAnsi="宋体" w:eastAsia="宋体" w:cs="Times New Roman"/>
          <w:sz w:val="22"/>
        </w:rPr>
      </w:pPr>
      <w:r>
        <w:rPr>
          <w:rFonts w:hint="eastAsia" w:asciiTheme="minorEastAsia" w:hAnsiTheme="minorEastAsia" w:eastAsiaTheme="minorEastAsia"/>
          <w:sz w:val="24"/>
          <w:szCs w:val="24"/>
        </w:rPr>
        <w:t>年      月     日</w:t>
      </w:r>
    </w:p>
    <w:p>
      <w:pPr>
        <w:spacing w:line="590" w:lineRule="exact"/>
        <w:jc w:val="left"/>
        <w:rPr>
          <w:rFonts w:ascii="Times New Roman" w:hAnsi="Times New Roman" w:eastAsia="宋体" w:cs="Times New Roman"/>
          <w:sz w:val="22"/>
        </w:rPr>
      </w:pPr>
      <w:r>
        <w:rPr>
          <w:rFonts w:ascii="Times New Roman" w:hAnsi="宋体" w:eastAsia="宋体" w:cs="Times New Roman"/>
          <w:sz w:val="22"/>
        </w:rPr>
        <w:t>注：</w:t>
      </w:r>
      <w:r>
        <w:rPr>
          <w:rFonts w:ascii="Times New Roman" w:hAnsi="Times New Roman" w:eastAsia="宋体" w:cs="Times New Roman"/>
          <w:sz w:val="22"/>
        </w:rPr>
        <w:t>1.</w:t>
      </w:r>
      <w:r>
        <w:rPr>
          <w:rFonts w:ascii="Times New Roman" w:hAnsi="宋体" w:eastAsia="宋体" w:cs="Times New Roman"/>
          <w:sz w:val="22"/>
        </w:rPr>
        <w:t>表格不够可自行延长。</w:t>
      </w:r>
    </w:p>
    <w:p>
      <w:pPr>
        <w:spacing w:line="590" w:lineRule="exact"/>
        <w:ind w:firstLine="440" w:firstLineChars="200"/>
        <w:rPr>
          <w:rFonts w:ascii="Times New Roman" w:hAnsi="Times New Roman" w:eastAsia="宋体" w:cs="Times New Roman"/>
          <w:sz w:val="22"/>
        </w:rPr>
      </w:pPr>
      <w:r>
        <w:rPr>
          <w:rFonts w:ascii="Times New Roman" w:hAnsi="Times New Roman" w:eastAsia="宋体" w:cs="Times New Roman"/>
          <w:sz w:val="22"/>
        </w:rPr>
        <w:t>2.</w:t>
      </w:r>
      <w:r>
        <w:rPr>
          <w:rFonts w:ascii="Times New Roman" w:hAnsi="宋体" w:eastAsia="宋体" w:cs="Times New Roman"/>
          <w:sz w:val="22"/>
        </w:rPr>
        <w:t>相应设备的购买发票复印件或租赁合同请附在本表之后</w:t>
      </w:r>
    </w:p>
    <w:p>
      <w:pPr>
        <w:adjustRightInd w:val="0"/>
        <w:snapToGrid w:val="0"/>
        <w:spacing w:line="420" w:lineRule="exact"/>
        <w:ind w:left="1159" w:leftChars="1" w:hanging="1156" w:hangingChars="482"/>
        <w:jc w:val="left"/>
        <w:rPr>
          <w:rFonts w:asciiTheme="minorEastAsia" w:hAnsiTheme="minorEastAsia" w:eastAsiaTheme="minorEastAsia"/>
          <w:sz w:val="24"/>
          <w:szCs w:val="24"/>
        </w:rPr>
      </w:pPr>
    </w:p>
    <w:p>
      <w:pPr>
        <w:adjustRightInd w:val="0"/>
        <w:snapToGrid w:val="0"/>
        <w:spacing w:line="420" w:lineRule="exact"/>
        <w:outlineLvl w:val="2"/>
        <w:rPr>
          <w:rFonts w:hint="eastAsia" w:asciiTheme="minorEastAsia" w:hAnsiTheme="minorEastAsia" w:eastAsiaTheme="minorEastAsia"/>
          <w:b/>
          <w:sz w:val="24"/>
          <w:szCs w:val="24"/>
        </w:rPr>
      </w:pPr>
    </w:p>
    <w:p>
      <w:pPr>
        <w:adjustRightInd w:val="0"/>
        <w:snapToGrid w:val="0"/>
        <w:spacing w:line="420" w:lineRule="exact"/>
        <w:outlineLvl w:val="2"/>
        <w:rPr>
          <w:rFonts w:hint="eastAsia" w:asciiTheme="minorEastAsia" w:hAnsiTheme="minorEastAsia" w:eastAsiaTheme="minorEastAsia"/>
          <w:b/>
          <w:sz w:val="24"/>
          <w:szCs w:val="24"/>
        </w:rPr>
      </w:pPr>
    </w:p>
    <w:p>
      <w:pPr>
        <w:adjustRightInd w:val="0"/>
        <w:snapToGrid w:val="0"/>
        <w:spacing w:line="420" w:lineRule="exact"/>
        <w:outlineLvl w:val="2"/>
        <w:rPr>
          <w:rFonts w:hint="eastAsia" w:asciiTheme="minorEastAsia" w:hAnsiTheme="minorEastAsia" w:eastAsiaTheme="minorEastAsia"/>
          <w:b/>
          <w:sz w:val="24"/>
          <w:szCs w:val="24"/>
        </w:rPr>
      </w:pPr>
    </w:p>
    <w:p>
      <w:pPr>
        <w:adjustRightInd w:val="0"/>
        <w:snapToGrid w:val="0"/>
        <w:spacing w:line="420" w:lineRule="exact"/>
        <w:outlineLvl w:val="2"/>
        <w:rPr>
          <w:rFonts w:hint="eastAsia" w:asciiTheme="minorEastAsia" w:hAnsiTheme="minorEastAsia" w:eastAsiaTheme="minorEastAsia"/>
          <w:b/>
          <w:sz w:val="24"/>
          <w:szCs w:val="24"/>
        </w:rPr>
      </w:pPr>
    </w:p>
    <w:p>
      <w:pPr>
        <w:adjustRightInd w:val="0"/>
        <w:snapToGrid w:val="0"/>
        <w:spacing w:line="420" w:lineRule="exact"/>
        <w:outlineLvl w:val="2"/>
        <w:rPr>
          <w:rFonts w:hint="eastAsia" w:asciiTheme="minorEastAsia" w:hAnsiTheme="minorEastAsia" w:eastAsiaTheme="minorEastAsia"/>
          <w:b/>
          <w:sz w:val="24"/>
          <w:szCs w:val="24"/>
        </w:rPr>
      </w:pPr>
    </w:p>
    <w:p>
      <w:pPr>
        <w:adjustRightInd w:val="0"/>
        <w:snapToGrid w:val="0"/>
        <w:spacing w:line="420" w:lineRule="exact"/>
        <w:outlineLvl w:val="2"/>
        <w:rPr>
          <w:rFonts w:hint="eastAsia" w:asciiTheme="minorEastAsia" w:hAnsiTheme="minorEastAsia" w:eastAsiaTheme="minorEastAsia"/>
          <w:b/>
          <w:sz w:val="24"/>
          <w:szCs w:val="24"/>
        </w:rPr>
      </w:pPr>
    </w:p>
    <w:p>
      <w:pPr>
        <w:adjustRightInd w:val="0"/>
        <w:snapToGrid w:val="0"/>
        <w:spacing w:line="420" w:lineRule="exact"/>
        <w:outlineLvl w:val="2"/>
        <w:rPr>
          <w:rFonts w:hint="eastAsia" w:asciiTheme="minorEastAsia" w:hAnsiTheme="minorEastAsia" w:eastAsiaTheme="minorEastAsia"/>
          <w:b/>
          <w:sz w:val="24"/>
          <w:szCs w:val="24"/>
        </w:rPr>
      </w:pPr>
    </w:p>
    <w:p>
      <w:pPr>
        <w:adjustRightInd w:val="0"/>
        <w:snapToGrid w:val="0"/>
        <w:spacing w:line="420" w:lineRule="exact"/>
        <w:outlineLvl w:val="2"/>
        <w:rPr>
          <w:rFonts w:hint="eastAsia" w:asciiTheme="minorEastAsia" w:hAnsiTheme="minorEastAsia" w:eastAsiaTheme="minorEastAsia"/>
          <w:b/>
          <w:sz w:val="24"/>
          <w:szCs w:val="24"/>
        </w:rPr>
      </w:pPr>
    </w:p>
    <w:p>
      <w:pPr>
        <w:adjustRightInd w:val="0"/>
        <w:snapToGrid w:val="0"/>
        <w:spacing w:line="420" w:lineRule="exact"/>
        <w:outlineLvl w:val="2"/>
        <w:rPr>
          <w:rFonts w:hint="eastAsia" w:asciiTheme="minorEastAsia" w:hAnsiTheme="minorEastAsia" w:eastAsiaTheme="minorEastAsia"/>
          <w:b/>
          <w:sz w:val="24"/>
          <w:szCs w:val="24"/>
        </w:rPr>
      </w:pPr>
    </w:p>
    <w:p>
      <w:pPr>
        <w:adjustRightInd w:val="0"/>
        <w:snapToGrid w:val="0"/>
        <w:spacing w:line="420" w:lineRule="exact"/>
        <w:outlineLvl w:val="2"/>
        <w:rPr>
          <w:rFonts w:hint="eastAsia" w:asciiTheme="minorEastAsia" w:hAnsiTheme="minorEastAsia" w:eastAsiaTheme="minorEastAsia"/>
          <w:b/>
          <w:sz w:val="24"/>
          <w:szCs w:val="24"/>
        </w:rPr>
      </w:pPr>
    </w:p>
    <w:p>
      <w:pPr>
        <w:adjustRightInd w:val="0"/>
        <w:snapToGrid w:val="0"/>
        <w:spacing w:line="420" w:lineRule="exact"/>
        <w:outlineLvl w:val="2"/>
        <w:rPr>
          <w:rFonts w:hint="eastAsia" w:asciiTheme="minorEastAsia" w:hAnsiTheme="minorEastAsia" w:eastAsiaTheme="minorEastAsia"/>
          <w:b/>
          <w:sz w:val="24"/>
          <w:szCs w:val="24"/>
        </w:rPr>
      </w:pPr>
    </w:p>
    <w:p>
      <w:pPr>
        <w:adjustRightInd w:val="0"/>
        <w:snapToGrid w:val="0"/>
        <w:spacing w:line="420" w:lineRule="exact"/>
        <w:outlineLvl w:val="2"/>
        <w:rPr>
          <w:rFonts w:hint="eastAsia" w:asciiTheme="minorEastAsia" w:hAnsiTheme="minorEastAsia" w:eastAsiaTheme="minorEastAsia"/>
          <w:b/>
          <w:sz w:val="24"/>
          <w:szCs w:val="24"/>
        </w:rPr>
      </w:pPr>
    </w:p>
    <w:p>
      <w:pPr>
        <w:adjustRightInd w:val="0"/>
        <w:snapToGrid w:val="0"/>
        <w:spacing w:line="420" w:lineRule="exact"/>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B</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技术招标响应文件</w:t>
      </w:r>
    </w:p>
    <w:p>
      <w:pPr>
        <w:snapToGrid w:val="0"/>
        <w:spacing w:line="420" w:lineRule="exact"/>
        <w:ind w:firstLine="491" w:firstLineChars="205"/>
        <w:rPr>
          <w:rFonts w:asciiTheme="minorEastAsia" w:hAnsiTheme="minorEastAsia" w:eastAsiaTheme="minorEastAsia"/>
          <w:sz w:val="24"/>
          <w:szCs w:val="24"/>
          <w:u w:val="thick" w:color="FF0000"/>
        </w:rPr>
      </w:pPr>
      <w:r>
        <w:rPr>
          <w:rFonts w:hint="eastAsia" w:asciiTheme="minorEastAsia" w:hAnsiTheme="minorEastAsia" w:eastAsiaTheme="minorEastAsia"/>
          <w:sz w:val="24"/>
          <w:szCs w:val="24"/>
        </w:rPr>
        <w:t>【特别提醒】</w:t>
      </w:r>
      <w:r>
        <w:rPr>
          <w:rFonts w:hint="eastAsia" w:asciiTheme="minorEastAsia" w:hAnsiTheme="minorEastAsia" w:eastAsiaTheme="minorEastAsia"/>
          <w:sz w:val="24"/>
          <w:szCs w:val="24"/>
          <w:u w:color="FF0000"/>
        </w:rPr>
        <w:t>投标人应根据本标书第三章“项目需求”提供的主要技术规范要求和服务标准等，仔细阅读并在理解的基础上</w:t>
      </w:r>
      <w:r>
        <w:rPr>
          <w:rFonts w:hint="eastAsia" w:asciiTheme="minorEastAsia" w:hAnsiTheme="minorEastAsia" w:eastAsiaTheme="minorEastAsia"/>
          <w:sz w:val="24"/>
          <w:szCs w:val="24"/>
          <w:u w:val="thick" w:color="FF0000"/>
        </w:rPr>
        <w:t>结合第四章评审方法内的评审细则</w:t>
      </w:r>
      <w:r>
        <w:rPr>
          <w:rFonts w:hint="eastAsia" w:asciiTheme="minorEastAsia" w:hAnsiTheme="minorEastAsia" w:eastAsiaTheme="minorEastAsia"/>
          <w:sz w:val="24"/>
          <w:szCs w:val="24"/>
          <w:u w:color="FF0000"/>
        </w:rPr>
        <w:t>，编写编制技术响应文件</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u w:color="FF0000"/>
        </w:rPr>
        <w:t>以下技术标响应文件的内容，不得有缺项或漏项，否则将有可能被视为未实质性响应招标文件要求而作无效投标处理，或可能直接影响技术标评审的得分。</w:t>
      </w:r>
    </w:p>
    <w:p>
      <w:pPr>
        <w:snapToGrid w:val="0"/>
        <w:spacing w:before="240" w:beforeLines="100" w:line="420" w:lineRule="exact"/>
        <w:jc w:val="center"/>
        <w:outlineLvl w:val="3"/>
        <w:rPr>
          <w:rFonts w:asciiTheme="minorEastAsia" w:hAnsiTheme="minorEastAsia" w:eastAsiaTheme="minorEastAsia"/>
          <w:b/>
          <w:bCs/>
          <w:sz w:val="24"/>
          <w:szCs w:val="24"/>
        </w:rPr>
      </w:pPr>
      <w:r>
        <w:rPr>
          <w:rFonts w:hint="eastAsia" w:asciiTheme="minorEastAsia" w:hAnsiTheme="minorEastAsia" w:eastAsiaTheme="minorEastAsia"/>
          <w:b/>
          <w:sz w:val="24"/>
          <w:szCs w:val="24"/>
        </w:rPr>
        <w:t>1</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投标</w:t>
      </w:r>
      <w:r>
        <w:rPr>
          <w:rFonts w:asciiTheme="minorEastAsia" w:hAnsiTheme="minorEastAsia" w:eastAsiaTheme="minorEastAsia"/>
          <w:b/>
          <w:bCs/>
          <w:sz w:val="24"/>
          <w:szCs w:val="24"/>
        </w:rPr>
        <w:t>响应函</w:t>
      </w:r>
    </w:p>
    <w:p>
      <w:pPr>
        <w:snapToGrid w:val="0"/>
        <w:spacing w:before="240" w:beforeLines="100" w:after="240" w:afterLines="100"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南通市保安服务有限公司</w:t>
      </w:r>
      <w:r>
        <w:rPr>
          <w:rFonts w:asciiTheme="minorEastAsia" w:hAnsiTheme="minorEastAsia" w:eastAsiaTheme="minorEastAsia"/>
          <w:sz w:val="24"/>
          <w:szCs w:val="24"/>
        </w:rPr>
        <w:t>：</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依据贵单位（</w:t>
      </w:r>
      <w:r>
        <w:rPr>
          <w:rFonts w:hint="eastAsia" w:asciiTheme="minorEastAsia" w:hAnsiTheme="minorEastAsia" w:eastAsiaTheme="minorEastAsia"/>
          <w:sz w:val="24"/>
          <w:szCs w:val="24"/>
        </w:rPr>
        <w:t>招标</w:t>
      </w:r>
      <w:r>
        <w:rPr>
          <w:rFonts w:asciiTheme="minorEastAsia" w:hAnsiTheme="minorEastAsia" w:eastAsiaTheme="minorEastAsia"/>
          <w:sz w:val="24"/>
          <w:szCs w:val="24"/>
        </w:rPr>
        <w:t>项目名称)项目</w:t>
      </w:r>
      <w:r>
        <w:rPr>
          <w:rFonts w:hint="eastAsia" w:asciiTheme="minorEastAsia" w:hAnsiTheme="minorEastAsia" w:eastAsiaTheme="minorEastAsia"/>
          <w:sz w:val="24"/>
          <w:szCs w:val="24"/>
        </w:rPr>
        <w:t>公开招标</w:t>
      </w:r>
      <w:r>
        <w:rPr>
          <w:rFonts w:asciiTheme="minorEastAsia" w:hAnsiTheme="minorEastAsia" w:eastAsiaTheme="minorEastAsia"/>
          <w:sz w:val="24"/>
          <w:szCs w:val="24"/>
        </w:rPr>
        <w:t>的邀请，我方授权（姓名）（职务）为全权代表参加该项目的投标工作，全权处理本次</w:t>
      </w:r>
      <w:r>
        <w:rPr>
          <w:rFonts w:hint="eastAsia" w:asciiTheme="minorEastAsia" w:hAnsiTheme="minorEastAsia" w:eastAsiaTheme="minorEastAsia"/>
          <w:sz w:val="24"/>
          <w:szCs w:val="24"/>
        </w:rPr>
        <w:t>投标</w:t>
      </w:r>
      <w:r>
        <w:rPr>
          <w:rFonts w:asciiTheme="minorEastAsia" w:hAnsiTheme="minorEastAsia" w:eastAsiaTheme="minorEastAsia"/>
          <w:sz w:val="24"/>
          <w:szCs w:val="24"/>
        </w:rPr>
        <w:t>的有关事宜。同时，我公司声明如下：</w:t>
      </w:r>
    </w:p>
    <w:p>
      <w:pPr>
        <w:snapToGrid w:val="0"/>
        <w:spacing w:line="420" w:lineRule="exact"/>
        <w:ind w:firstLine="494" w:firstLineChars="206"/>
        <w:rPr>
          <w:rFonts w:asciiTheme="minorEastAsia" w:hAnsiTheme="minorEastAsia" w:eastAsiaTheme="minorEastAsia"/>
          <w:sz w:val="24"/>
          <w:szCs w:val="24"/>
        </w:rPr>
      </w:pPr>
      <w:r>
        <w:rPr>
          <w:rFonts w:hint="eastAsia" w:asciiTheme="minorEastAsia" w:hAnsiTheme="minorEastAsia" w:eastAsiaTheme="minorEastAsia"/>
          <w:sz w:val="24"/>
          <w:szCs w:val="24"/>
        </w:rPr>
        <w:t>1、我方愿意按照招标文件的一切要求，提供完成该项目的全部内容，我方的投标总价是根据招标文件所确定的</w:t>
      </w: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sz w:val="24"/>
          <w:szCs w:val="24"/>
        </w:rPr>
        <w:t>车辆定点维修、保养、年检等服务采购项目范围内的全部工作人员和内容的价格体现，是为完成招标文件规定的工作所涉及到的一切费用。</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2、我方已经详细审查了全部招标文件，我方已完全清晰理解招标文件的要求，不存在任何含糊不清和误解之处，同意放弃对这些文件所提出的异议和质疑的权利。</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3、我方愿意提供招标文件中要求的所有资料。承诺所有资料文件均真实有效，绝无任何虚假、伪造和夸大的成份。否则，愿承担相应的后果和法律责任。</w:t>
      </w:r>
    </w:p>
    <w:p>
      <w:pPr>
        <w:snapToGrid w:val="0"/>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4、我方提供的投标文件从接收截止之日算起，45个日历天内有效。</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、我方尊重评审小组所作的评定结果，认为你方有权决定中标人，还认为你方有权接受或拒绝所有的投标人，同时也清楚理解到投标报价最低并非意味着必定获得中标资格。</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、我方愿意按招标文件的规定交纳投标保证金，并同意投标人须知中关于没收投标保证金的规定。</w:t>
      </w:r>
    </w:p>
    <w:p>
      <w:pPr>
        <w:snapToGrid w:val="0"/>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、一旦我方中标，我方将根据招标文件的规定，严格履行招标文件中规定的每一项要求，按期、按质、按量履行合同的义务。</w:t>
      </w:r>
    </w:p>
    <w:p>
      <w:pPr>
        <w:snapToGrid w:val="0"/>
        <w:spacing w:line="420" w:lineRule="exact"/>
        <w:ind w:firstLine="480" w:firstLineChars="200"/>
        <w:rPr>
          <w:rFonts w:asciiTheme="minorEastAsia" w:hAnsiTheme="minorEastAsia" w:eastAsiaTheme="minorEastAsia"/>
          <w:sz w:val="24"/>
          <w:szCs w:val="24"/>
        </w:rPr>
      </w:pPr>
    </w:p>
    <w:p>
      <w:pPr>
        <w:snapToGrid w:val="0"/>
        <w:spacing w:line="420" w:lineRule="exact"/>
        <w:ind w:firstLine="2400" w:firstLineChars="100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：（加盖公章）</w:t>
      </w:r>
    </w:p>
    <w:p>
      <w:pPr>
        <w:snapToGrid w:val="0"/>
        <w:spacing w:line="420" w:lineRule="exact"/>
        <w:ind w:firstLine="2400" w:firstLineChars="1000"/>
        <w:jc w:val="right"/>
        <w:rPr>
          <w:rFonts w:asciiTheme="minorEastAsia" w:hAnsiTheme="minorEastAsia" w:eastAsiaTheme="minorEastAsia"/>
          <w:sz w:val="24"/>
          <w:szCs w:val="24"/>
        </w:rPr>
      </w:pPr>
      <w:r>
        <w:rPr>
          <w:rFonts w:asciiTheme="minorEastAsia" w:hAnsiTheme="minorEastAsia" w:eastAsiaTheme="minorEastAsia"/>
          <w:sz w:val="24"/>
          <w:szCs w:val="24"/>
        </w:rPr>
        <w:t>法定代表人或</w:t>
      </w:r>
      <w:r>
        <w:rPr>
          <w:rFonts w:hint="eastAsia" w:asciiTheme="minorEastAsia" w:hAnsiTheme="minorEastAsia" w:eastAsiaTheme="minorEastAsia"/>
          <w:sz w:val="24"/>
          <w:szCs w:val="24"/>
        </w:rPr>
        <w:t>被委托受权人</w:t>
      </w:r>
      <w:r>
        <w:rPr>
          <w:rFonts w:asciiTheme="minorEastAsia" w:hAnsiTheme="minorEastAsia" w:eastAsiaTheme="minorEastAsia"/>
          <w:sz w:val="24"/>
          <w:szCs w:val="24"/>
        </w:rPr>
        <w:t>：（签字）</w:t>
      </w:r>
    </w:p>
    <w:p>
      <w:pPr>
        <w:snapToGrid w:val="0"/>
        <w:spacing w:line="420" w:lineRule="exact"/>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年      月     日</w:t>
      </w:r>
    </w:p>
    <w:p>
      <w:pPr>
        <w:pStyle w:val="21"/>
      </w:pPr>
    </w:p>
    <w:p/>
    <w:p>
      <w:pPr>
        <w:spacing w:line="420" w:lineRule="exact"/>
        <w:ind w:firstLine="1689" w:firstLineChars="701"/>
        <w:rPr>
          <w:rFonts w:hint="eastAsia" w:asciiTheme="minorEastAsia" w:hAnsiTheme="minorEastAsia" w:eastAsiaTheme="minorEastAsia"/>
          <w:b/>
          <w:sz w:val="24"/>
          <w:szCs w:val="24"/>
        </w:rPr>
      </w:pPr>
    </w:p>
    <w:p>
      <w:pPr>
        <w:spacing w:line="420" w:lineRule="exact"/>
        <w:ind w:firstLine="1689" w:firstLineChars="701"/>
        <w:rPr>
          <w:rFonts w:hint="eastAsia" w:asciiTheme="minorEastAsia" w:hAnsiTheme="minorEastAsia" w:eastAsiaTheme="minorEastAsia"/>
          <w:b/>
          <w:sz w:val="24"/>
          <w:szCs w:val="24"/>
        </w:rPr>
      </w:pPr>
    </w:p>
    <w:p>
      <w:pPr>
        <w:spacing w:line="420" w:lineRule="exact"/>
        <w:ind w:firstLine="1689" w:firstLineChars="701"/>
        <w:rPr>
          <w:rFonts w:asciiTheme="minorEastAsia" w:hAnsiTheme="minorEastAsia" w:eastAsiaTheme="minorEastAsia"/>
          <w:b/>
          <w:sz w:val="24"/>
          <w:szCs w:val="24"/>
        </w:rPr>
      </w:pPr>
      <w:r>
        <w:rPr>
          <w:rFonts w:hint="eastAsia" w:asciiTheme="minorEastAsia" w:hAnsiTheme="minorEastAsia" w:eastAsiaTheme="minorEastAsia"/>
          <w:b/>
          <w:sz w:val="24"/>
          <w:szCs w:val="24"/>
        </w:rPr>
        <w:t>2、招标文件第四章评审程序和方法要求提交的其它材料</w:t>
      </w:r>
    </w:p>
    <w:p>
      <w:pPr>
        <w:snapToGrid w:val="0"/>
        <w:spacing w:line="420" w:lineRule="exact"/>
        <w:outlineLvl w:val="2"/>
        <w:rPr>
          <w:rFonts w:hint="eastAsia" w:asciiTheme="minorEastAsia" w:hAnsiTheme="minorEastAsia" w:eastAsiaTheme="minorEastAsia"/>
          <w:b/>
          <w:sz w:val="24"/>
          <w:szCs w:val="24"/>
        </w:rPr>
      </w:pPr>
    </w:p>
    <w:p>
      <w:pPr>
        <w:snapToGrid w:val="0"/>
        <w:spacing w:line="420" w:lineRule="exact"/>
        <w:outlineLvl w:val="2"/>
        <w:rPr>
          <w:rFonts w:hint="eastAsia" w:asciiTheme="minorEastAsia" w:hAnsiTheme="minorEastAsia" w:eastAsiaTheme="minorEastAsia"/>
          <w:b/>
          <w:sz w:val="24"/>
          <w:szCs w:val="24"/>
        </w:rPr>
      </w:pPr>
    </w:p>
    <w:p>
      <w:pPr>
        <w:snapToGrid w:val="0"/>
        <w:spacing w:line="420" w:lineRule="exact"/>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C、价格标响应文件</w:t>
      </w:r>
    </w:p>
    <w:p>
      <w:pPr>
        <w:snapToGrid w:val="0"/>
        <w:spacing w:line="420" w:lineRule="exact"/>
        <w:jc w:val="center"/>
        <w:outlineLvl w:val="3"/>
        <w:rPr>
          <w:rFonts w:asciiTheme="minorEastAsia" w:hAnsiTheme="minorEastAsia" w:eastAsiaTheme="minorEastAsia"/>
          <w:b/>
          <w:sz w:val="24"/>
          <w:szCs w:val="24"/>
        </w:rPr>
      </w:pPr>
    </w:p>
    <w:p>
      <w:pPr>
        <w:snapToGrid w:val="0"/>
        <w:spacing w:line="420" w:lineRule="exact"/>
        <w:jc w:val="center"/>
        <w:outlineLvl w:val="3"/>
        <w:rPr>
          <w:rFonts w:asciiTheme="minorEastAsia" w:hAnsiTheme="minorEastAsia" w:eastAsiaTheme="minorEastAsia"/>
          <w:b/>
          <w:bCs/>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、投标响应报价总表</w:t>
      </w: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项目名称： </w:t>
      </w: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sz w:val="24"/>
          <w:szCs w:val="24"/>
        </w:rPr>
        <w:t>车辆定点维修、保养、年检等服务采购项目</w:t>
      </w:r>
    </w:p>
    <w:tbl>
      <w:tblPr>
        <w:tblStyle w:val="5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8"/>
        <w:gridCol w:w="6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268" w:type="dxa"/>
            <w:tcBorders>
              <w:top w:val="single" w:color="auto" w:sz="4" w:space="0"/>
              <w:left w:val="single" w:color="auto" w:sz="4" w:space="0"/>
              <w:bottom w:val="single" w:color="auto" w:sz="4" w:space="0"/>
            </w:tcBorders>
            <w:vAlign w:val="center"/>
          </w:tcPr>
          <w:p>
            <w:pPr>
              <w:snapToGrid w:val="0"/>
              <w:spacing w:line="420" w:lineRule="exact"/>
              <w:ind w:left="1133" w:hanging="1132" w:hangingChars="47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6391" w:type="dxa"/>
            <w:tcBorders>
              <w:top w:val="single" w:color="auto" w:sz="4" w:space="0"/>
              <w:bottom w:val="single" w:color="auto" w:sz="4" w:space="0"/>
              <w:right w:val="single" w:color="auto" w:sz="4" w:space="0"/>
            </w:tcBorders>
            <w:vAlign w:val="center"/>
          </w:tcPr>
          <w:p>
            <w:pPr>
              <w:snapToGrid w:val="0"/>
              <w:spacing w:line="420" w:lineRule="exact"/>
              <w:ind w:left="1133" w:hanging="1132" w:hangingChars="472"/>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3268" w:type="dxa"/>
            <w:tcBorders>
              <w:top w:val="single" w:color="auto" w:sz="4" w:space="0"/>
              <w:left w:val="single" w:color="auto" w:sz="4" w:space="0"/>
              <w:bottom w:val="single" w:color="auto" w:sz="4" w:space="0"/>
            </w:tcBorders>
            <w:vAlign w:val="center"/>
          </w:tcPr>
          <w:p>
            <w:pPr>
              <w:snapToGrid w:val="0"/>
              <w:spacing w:line="420" w:lineRule="exact"/>
              <w:ind w:left="2"/>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南通市保安服务有限公司</w:t>
            </w:r>
            <w:r>
              <w:rPr>
                <w:rFonts w:hint="eastAsia" w:asciiTheme="minorEastAsia" w:hAnsiTheme="minorEastAsia" w:eastAsiaTheme="minorEastAsia"/>
                <w:sz w:val="24"/>
                <w:szCs w:val="24"/>
              </w:rPr>
              <w:t>车辆定点维修、保养、年检等服务采购项目</w:t>
            </w:r>
          </w:p>
        </w:tc>
        <w:tc>
          <w:tcPr>
            <w:tcW w:w="6391" w:type="dxa"/>
            <w:tcBorders>
              <w:top w:val="single" w:color="auto" w:sz="4" w:space="0"/>
              <w:bottom w:val="single" w:color="auto" w:sz="4" w:space="0"/>
              <w:right w:val="single" w:color="auto" w:sz="4" w:space="0"/>
            </w:tcBorders>
            <w:vAlign w:val="center"/>
          </w:tcPr>
          <w:p>
            <w:pPr>
              <w:snapToGrid w:val="0"/>
              <w:spacing w:line="420" w:lineRule="exact"/>
              <w:rPr>
                <w:rFonts w:hint="default" w:asciiTheme="minorEastAsia" w:hAnsiTheme="minorEastAsia" w:eastAsiaTheme="minorEastAsia"/>
                <w:bCs/>
                <w:sz w:val="24"/>
                <w:szCs w:val="24"/>
                <w:lang w:val="en-US" w:eastAsia="zh-CN"/>
              </w:rPr>
            </w:pPr>
            <w:r>
              <w:rPr>
                <w:rFonts w:hint="eastAsia" w:asciiTheme="minorEastAsia" w:hAnsiTheme="minorEastAsia" w:eastAsiaTheme="minorEastAsia"/>
                <w:b/>
                <w:bCs w:val="0"/>
                <w:sz w:val="24"/>
                <w:szCs w:val="24"/>
                <w:lang w:val="en-US" w:eastAsia="zh-CN"/>
              </w:rPr>
              <w:t>年度工时费报价分+幅度值报价分+预估配件材料费得分</w:t>
            </w:r>
          </w:p>
          <w:p>
            <w:pPr>
              <w:snapToGrid w:val="0"/>
              <w:spacing w:line="42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268" w:type="dxa"/>
            <w:tcBorders>
              <w:top w:val="single" w:color="auto" w:sz="4" w:space="0"/>
              <w:left w:val="single" w:color="auto" w:sz="4" w:space="0"/>
              <w:bottom w:val="single" w:color="auto" w:sz="4" w:space="0"/>
            </w:tcBorders>
            <w:vAlign w:val="center"/>
          </w:tcPr>
          <w:p>
            <w:pPr>
              <w:snapToGrid w:val="0"/>
              <w:spacing w:line="52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val="0"/>
                <w:sz w:val="24"/>
                <w:szCs w:val="24"/>
                <w:lang w:val="en-US" w:eastAsia="zh-CN"/>
              </w:rPr>
              <w:t>年度工时费</w:t>
            </w:r>
          </w:p>
        </w:tc>
        <w:tc>
          <w:tcPr>
            <w:tcW w:w="6391" w:type="dxa"/>
            <w:tcBorders>
              <w:top w:val="single" w:color="auto" w:sz="4" w:space="0"/>
              <w:bottom w:val="single" w:color="auto" w:sz="4" w:space="0"/>
              <w:right w:val="single" w:color="auto" w:sz="4" w:space="0"/>
            </w:tcBorders>
            <w:vAlign w:val="center"/>
          </w:tcPr>
          <w:p>
            <w:pPr>
              <w:snapToGrid w:val="0"/>
              <w:spacing w:line="520" w:lineRule="exact"/>
              <w:jc w:val="center"/>
              <w:rPr>
                <w:rFonts w:asciiTheme="minorEastAsia" w:hAnsiTheme="minorEastAsia" w:eastAsiaTheme="minorEastAsia"/>
                <w:b/>
                <w:bCs/>
                <w:sz w:val="24"/>
                <w:szCs w:val="24"/>
              </w:rPr>
            </w:pP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268" w:type="dxa"/>
            <w:tcBorders>
              <w:top w:val="single" w:color="auto" w:sz="4" w:space="0"/>
              <w:left w:val="single" w:color="auto" w:sz="4" w:space="0"/>
              <w:bottom w:val="single" w:color="auto" w:sz="4" w:space="0"/>
            </w:tcBorders>
            <w:vAlign w:val="center"/>
          </w:tcPr>
          <w:p>
            <w:pPr>
              <w:snapToGrid w:val="0"/>
              <w:spacing w:line="520" w:lineRule="exact"/>
              <w:jc w:val="center"/>
              <w:rPr>
                <w:rFonts w:asciiTheme="minorEastAsia" w:hAnsiTheme="minorEastAsia" w:eastAsiaTheme="minorEastAsia"/>
                <w:sz w:val="24"/>
                <w:szCs w:val="24"/>
              </w:rPr>
            </w:pPr>
            <w:r>
              <w:rPr>
                <w:rFonts w:hint="eastAsia" w:asciiTheme="minorEastAsia" w:hAnsiTheme="minorEastAsia" w:eastAsiaTheme="minorEastAsia"/>
                <w:b/>
                <w:bCs w:val="0"/>
                <w:sz w:val="24"/>
                <w:szCs w:val="24"/>
                <w:lang w:val="en-US" w:eastAsia="zh-CN"/>
              </w:rPr>
              <w:t>幅度值报价</w:t>
            </w:r>
          </w:p>
        </w:tc>
        <w:tc>
          <w:tcPr>
            <w:tcW w:w="6391" w:type="dxa"/>
            <w:tcBorders>
              <w:top w:val="single" w:color="auto" w:sz="4" w:space="0"/>
              <w:bottom w:val="single" w:color="auto" w:sz="4" w:space="0"/>
              <w:right w:val="single" w:color="auto" w:sz="4" w:space="0"/>
            </w:tcBorders>
            <w:vAlign w:val="center"/>
          </w:tcPr>
          <w:p>
            <w:pPr>
              <w:snapToGrid w:val="0"/>
              <w:spacing w:line="520" w:lineRule="exact"/>
              <w:jc w:val="center"/>
              <w:rPr>
                <w:rFonts w:asciiTheme="minorEastAsia" w:hAnsiTheme="minorEastAsia" w:eastAsiaTheme="minorEastAsia"/>
                <w:b/>
                <w:bCs/>
                <w:sz w:val="24"/>
                <w:szCs w:val="24"/>
              </w:rPr>
            </w:pP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268" w:type="dxa"/>
            <w:tcBorders>
              <w:top w:val="single" w:color="auto" w:sz="4" w:space="0"/>
              <w:left w:val="single" w:color="auto" w:sz="4" w:space="0"/>
              <w:bottom w:val="single" w:color="auto" w:sz="4" w:space="0"/>
            </w:tcBorders>
            <w:vAlign w:val="center"/>
          </w:tcPr>
          <w:p>
            <w:pPr>
              <w:snapToGrid w:val="0"/>
              <w:spacing w:line="52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b/>
                <w:bCs w:val="0"/>
                <w:sz w:val="24"/>
                <w:szCs w:val="24"/>
                <w:lang w:val="en-US" w:eastAsia="zh-CN"/>
              </w:rPr>
              <w:t>预估配件材料费</w:t>
            </w:r>
          </w:p>
        </w:tc>
        <w:tc>
          <w:tcPr>
            <w:tcW w:w="6391" w:type="dxa"/>
            <w:tcBorders>
              <w:top w:val="single" w:color="auto" w:sz="4" w:space="0"/>
              <w:bottom w:val="single" w:color="auto" w:sz="4" w:space="0"/>
              <w:right w:val="single" w:color="auto" w:sz="4" w:space="0"/>
            </w:tcBorders>
            <w:vAlign w:val="center"/>
          </w:tcPr>
          <w:p>
            <w:pPr>
              <w:snapToGrid w:val="0"/>
              <w:spacing w:line="520" w:lineRule="exact"/>
              <w:jc w:val="center"/>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268" w:type="dxa"/>
            <w:tcBorders>
              <w:top w:val="single" w:color="auto" w:sz="4" w:space="0"/>
              <w:left w:val="single" w:color="auto" w:sz="4" w:space="0"/>
              <w:bottom w:val="single" w:color="auto" w:sz="4" w:space="0"/>
            </w:tcBorders>
            <w:vAlign w:val="center"/>
          </w:tcPr>
          <w:p>
            <w:pPr>
              <w:snapToGrid w:val="0"/>
              <w:spacing w:line="52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cstheme="minorEastAsia"/>
                <w:sz w:val="24"/>
              </w:rPr>
              <w:t>材料进销差价率</w:t>
            </w:r>
          </w:p>
        </w:tc>
        <w:tc>
          <w:tcPr>
            <w:tcW w:w="6391" w:type="dxa"/>
            <w:tcBorders>
              <w:top w:val="single" w:color="auto" w:sz="4" w:space="0"/>
              <w:bottom w:val="single" w:color="auto" w:sz="4" w:space="0"/>
              <w:right w:val="single" w:color="auto" w:sz="4" w:space="0"/>
            </w:tcBorders>
            <w:vAlign w:val="center"/>
          </w:tcPr>
          <w:p>
            <w:pPr>
              <w:snapToGrid w:val="0"/>
              <w:spacing w:line="520" w:lineRule="exact"/>
              <w:jc w:val="center"/>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268" w:type="dxa"/>
            <w:tcBorders>
              <w:top w:val="single" w:color="auto" w:sz="4" w:space="0"/>
              <w:left w:val="single" w:color="auto" w:sz="4" w:space="0"/>
              <w:bottom w:val="single" w:color="auto" w:sz="4" w:space="0"/>
            </w:tcBorders>
            <w:vAlign w:val="center"/>
          </w:tcPr>
          <w:p>
            <w:pPr>
              <w:snapToGrid w:val="0"/>
              <w:spacing w:line="5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服务期限</w:t>
            </w:r>
          </w:p>
        </w:tc>
        <w:tc>
          <w:tcPr>
            <w:tcW w:w="6391" w:type="dxa"/>
            <w:tcBorders>
              <w:top w:val="single" w:color="auto" w:sz="4" w:space="0"/>
              <w:bottom w:val="single" w:color="auto" w:sz="4" w:space="0"/>
              <w:right w:val="single" w:color="auto" w:sz="4" w:space="0"/>
            </w:tcBorders>
            <w:vAlign w:val="center"/>
          </w:tcPr>
          <w:p>
            <w:pPr>
              <w:snapToGrid w:val="0"/>
              <w:spacing w:line="52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268" w:type="dxa"/>
            <w:tcBorders>
              <w:top w:val="single" w:color="auto" w:sz="4" w:space="0"/>
              <w:left w:val="single" w:color="auto" w:sz="4" w:space="0"/>
              <w:bottom w:val="single" w:color="auto" w:sz="4" w:space="0"/>
            </w:tcBorders>
            <w:vAlign w:val="center"/>
          </w:tcPr>
          <w:p>
            <w:pPr>
              <w:snapToGrid w:val="0"/>
              <w:spacing w:line="52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增值税税率</w:t>
            </w:r>
          </w:p>
        </w:tc>
        <w:tc>
          <w:tcPr>
            <w:tcW w:w="6391" w:type="dxa"/>
            <w:tcBorders>
              <w:top w:val="single" w:color="auto" w:sz="4" w:space="0"/>
              <w:bottom w:val="single" w:color="auto" w:sz="4" w:space="0"/>
              <w:right w:val="single" w:color="auto" w:sz="4" w:space="0"/>
            </w:tcBorders>
            <w:vAlign w:val="center"/>
          </w:tcPr>
          <w:p>
            <w:pPr>
              <w:snapToGrid w:val="0"/>
              <w:spacing w:line="52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tc>
      </w:tr>
    </w:tbl>
    <w:p>
      <w:pPr>
        <w:snapToGrid w:val="0"/>
        <w:spacing w:line="420" w:lineRule="exact"/>
        <w:ind w:left="1133" w:hanging="1132" w:hangingChars="472"/>
        <w:rPr>
          <w:rFonts w:asciiTheme="minorEastAsia" w:hAnsiTheme="minorEastAsia" w:eastAsiaTheme="minorEastAsia"/>
          <w:sz w:val="24"/>
          <w:szCs w:val="24"/>
        </w:rPr>
      </w:pP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投标人：（盖章）             </w:t>
      </w: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法定代表人或被委托受权人（签字）：</w:t>
      </w: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snapToGrid w:val="0"/>
        <w:spacing w:line="420" w:lineRule="exact"/>
        <w:ind w:firstLine="566" w:firstLineChars="236"/>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pStyle w:val="202"/>
        <w:numPr>
          <w:ilvl w:val="0"/>
          <w:numId w:val="5"/>
        </w:numPr>
        <w:snapToGrid w:val="0"/>
        <w:spacing w:line="420" w:lineRule="exact"/>
        <w:ind w:firstLineChars="0"/>
        <w:rPr>
          <w:rFonts w:asciiTheme="minorEastAsia" w:hAnsiTheme="minorEastAsia" w:eastAsiaTheme="minorEastAsia"/>
          <w:bCs/>
          <w:sz w:val="24"/>
        </w:rPr>
      </w:pPr>
      <w:r>
        <w:rPr>
          <w:rFonts w:hint="eastAsia" w:asciiTheme="minorEastAsia" w:hAnsiTheme="minorEastAsia" w:eastAsiaTheme="minorEastAsia"/>
          <w:bCs/>
          <w:sz w:val="24"/>
        </w:rPr>
        <w:t>本项目开标一览表</w:t>
      </w:r>
      <w:r>
        <w:rPr>
          <w:rFonts w:hint="eastAsia" w:asciiTheme="minorEastAsia" w:hAnsiTheme="minorEastAsia" w:eastAsiaTheme="minorEastAsia"/>
          <w:bCs/>
          <w:sz w:val="24"/>
          <w:lang w:val="en-US" w:eastAsia="zh-CN"/>
        </w:rPr>
        <w:t>中的投标总价</w:t>
      </w:r>
      <w:r>
        <w:rPr>
          <w:rFonts w:hint="eastAsia" w:asciiTheme="minorEastAsia" w:hAnsiTheme="minorEastAsia" w:eastAsiaTheme="minorEastAsia"/>
          <w:bCs/>
          <w:sz w:val="24"/>
        </w:rPr>
        <w:t>不作为评审依据，以投标响应报价总表为准。</w:t>
      </w:r>
    </w:p>
    <w:p>
      <w:pPr>
        <w:pStyle w:val="202"/>
        <w:numPr>
          <w:ilvl w:val="0"/>
          <w:numId w:val="5"/>
        </w:numPr>
        <w:snapToGrid w:val="0"/>
        <w:spacing w:line="420" w:lineRule="exact"/>
        <w:ind w:firstLineChars="0"/>
        <w:rPr>
          <w:rFonts w:asciiTheme="minorEastAsia" w:hAnsiTheme="minorEastAsia" w:eastAsiaTheme="minorEastAsia"/>
          <w:bCs/>
          <w:sz w:val="24"/>
        </w:rPr>
      </w:pPr>
      <w:r>
        <w:rPr>
          <w:rFonts w:hint="eastAsia" w:asciiTheme="minorEastAsia" w:hAnsiTheme="minorEastAsia" w:eastAsiaTheme="minorEastAsia"/>
          <w:sz w:val="24"/>
        </w:rPr>
        <w:t>投标响应报价总表为格式表，不得自行改动，必须提供，否则视为未实质性响应招标文件。</w:t>
      </w:r>
    </w:p>
    <w:p>
      <w:pPr>
        <w:snapToGrid w:val="0"/>
        <w:spacing w:line="520" w:lineRule="exact"/>
        <w:jc w:val="center"/>
        <w:rPr>
          <w:rFonts w:hint="eastAsia" w:asciiTheme="minorEastAsia" w:hAnsiTheme="minorEastAsia" w:eastAsiaTheme="minorEastAsia"/>
          <w:b/>
          <w:sz w:val="24"/>
          <w:szCs w:val="24"/>
        </w:rPr>
      </w:pPr>
    </w:p>
    <w:p>
      <w:pPr>
        <w:snapToGrid w:val="0"/>
        <w:spacing w:line="520" w:lineRule="exact"/>
        <w:jc w:val="center"/>
        <w:rPr>
          <w:rFonts w:hint="eastAsia" w:asciiTheme="minorEastAsia" w:hAnsiTheme="minorEastAsia" w:eastAsiaTheme="minorEastAsia"/>
          <w:b/>
          <w:sz w:val="24"/>
          <w:szCs w:val="24"/>
        </w:rPr>
      </w:pPr>
    </w:p>
    <w:p>
      <w:pPr>
        <w:snapToGrid w:val="0"/>
        <w:spacing w:line="520" w:lineRule="exact"/>
        <w:jc w:val="center"/>
        <w:rPr>
          <w:rFonts w:hint="eastAsia" w:asciiTheme="minorEastAsia" w:hAnsiTheme="minorEastAsia" w:eastAsiaTheme="minorEastAsia"/>
          <w:b/>
          <w:sz w:val="24"/>
          <w:szCs w:val="24"/>
        </w:rPr>
      </w:pPr>
    </w:p>
    <w:p>
      <w:pPr>
        <w:snapToGrid w:val="0"/>
        <w:spacing w:line="520" w:lineRule="exact"/>
        <w:jc w:val="center"/>
        <w:rPr>
          <w:rFonts w:hint="eastAsia" w:asciiTheme="minorEastAsia" w:hAnsiTheme="minorEastAsia" w:eastAsiaTheme="minorEastAsia"/>
          <w:b/>
          <w:sz w:val="24"/>
          <w:szCs w:val="24"/>
        </w:rPr>
      </w:pPr>
    </w:p>
    <w:p>
      <w:pPr>
        <w:snapToGrid w:val="0"/>
        <w:spacing w:line="520" w:lineRule="exact"/>
        <w:jc w:val="center"/>
        <w:rPr>
          <w:rFonts w:hint="eastAsia" w:asciiTheme="minorEastAsia" w:hAnsiTheme="minorEastAsia" w:eastAsiaTheme="minorEastAsia"/>
          <w:b/>
          <w:sz w:val="24"/>
          <w:szCs w:val="24"/>
        </w:rPr>
      </w:pPr>
    </w:p>
    <w:p>
      <w:pPr>
        <w:snapToGrid w:val="0"/>
        <w:spacing w:line="520" w:lineRule="exact"/>
        <w:jc w:val="center"/>
        <w:rPr>
          <w:rFonts w:hint="eastAsia" w:asciiTheme="minorEastAsia" w:hAnsiTheme="minorEastAsia" w:eastAsiaTheme="minorEastAsia"/>
          <w:b/>
          <w:sz w:val="24"/>
          <w:szCs w:val="24"/>
        </w:rPr>
      </w:pPr>
    </w:p>
    <w:p>
      <w:pPr>
        <w:snapToGrid w:val="0"/>
        <w:spacing w:line="52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2、报价明细表</w:t>
      </w:r>
    </w:p>
    <w:p>
      <w:pPr>
        <w:pStyle w:val="76"/>
        <w:ind w:firstLine="0" w:firstLineChars="0"/>
        <w:rPr>
          <w:rFonts w:asciiTheme="minorEastAsia" w:hAnsiTheme="minorEastAsia" w:eastAsiaTheme="minorEastAsia"/>
          <w:bCs/>
          <w:sz w:val="24"/>
          <w:szCs w:val="24"/>
        </w:rPr>
      </w:pPr>
      <w:r>
        <w:rPr>
          <w:rFonts w:hint="eastAsia" w:cs="黑体" w:asciiTheme="minorEastAsia" w:hAnsiTheme="minorEastAsia"/>
          <w:b/>
          <w:color w:val="FF0000"/>
          <w:sz w:val="24"/>
          <w:highlight w:val="yellow"/>
        </w:rPr>
        <w:t>注：零配件进价报价将作为最终合同支付参考价格。</w:t>
      </w:r>
    </w:p>
    <w:tbl>
      <w:tblPr>
        <w:tblStyle w:val="56"/>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91"/>
        <w:gridCol w:w="1351"/>
        <w:gridCol w:w="948"/>
        <w:gridCol w:w="82"/>
        <w:gridCol w:w="412"/>
        <w:gridCol w:w="140"/>
        <w:gridCol w:w="1210"/>
        <w:gridCol w:w="195"/>
        <w:gridCol w:w="7"/>
        <w:gridCol w:w="98"/>
        <w:gridCol w:w="1087"/>
        <w:gridCol w:w="355"/>
        <w:gridCol w:w="307"/>
        <w:gridCol w:w="119"/>
        <w:gridCol w:w="779"/>
        <w:gridCol w:w="351"/>
        <w:gridCol w:w="296"/>
        <w:gridCol w:w="9"/>
        <w:gridCol w:w="1326"/>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684" w:type="dxa"/>
            <w:gridSpan w:val="21"/>
            <w:noWrap/>
            <w:vAlign w:val="center"/>
          </w:tcPr>
          <w:p>
            <w:pPr>
              <w:snapToGrid w:val="0"/>
              <w:spacing w:line="300" w:lineRule="exact"/>
              <w:rPr>
                <w:rFonts w:ascii="Times New Roman" w:hAnsi="Times New Roman" w:eastAsia="宋体"/>
                <w:b/>
                <w:bCs/>
                <w:sz w:val="24"/>
              </w:rPr>
            </w:pPr>
            <w:r>
              <w:rPr>
                <w:rFonts w:ascii="Times New Roman" w:hAnsi="Times New Roman" w:eastAsia="宋体"/>
                <w:b/>
                <w:bCs/>
                <w:sz w:val="24"/>
              </w:rPr>
              <w:t>1.</w:t>
            </w:r>
            <w:r>
              <w:rPr>
                <w:rFonts w:ascii="Times New Roman" w:hAnsi="宋体" w:eastAsia="宋体"/>
                <w:b/>
                <w:bCs/>
                <w:sz w:val="24"/>
              </w:rPr>
              <w:t>基本情况一览表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57" w:type="dxa"/>
            <w:gridSpan w:val="3"/>
            <w:noWrap/>
            <w:vAlign w:val="center"/>
          </w:tcPr>
          <w:p>
            <w:pPr>
              <w:spacing w:line="300" w:lineRule="exact"/>
              <w:jc w:val="center"/>
              <w:rPr>
                <w:rFonts w:ascii="Times New Roman" w:hAnsi="Times New Roman" w:eastAsia="宋体"/>
                <w:sz w:val="24"/>
              </w:rPr>
            </w:pPr>
            <w:r>
              <w:rPr>
                <w:rFonts w:ascii="Times New Roman" w:hAnsi="宋体" w:eastAsia="宋体"/>
                <w:sz w:val="24"/>
              </w:rPr>
              <w:t>企业名称</w:t>
            </w:r>
          </w:p>
        </w:tc>
        <w:tc>
          <w:tcPr>
            <w:tcW w:w="4179" w:type="dxa"/>
            <w:gridSpan w:val="9"/>
            <w:noWrap/>
            <w:vAlign w:val="center"/>
          </w:tcPr>
          <w:p>
            <w:pPr>
              <w:spacing w:line="300" w:lineRule="exact"/>
              <w:jc w:val="center"/>
              <w:rPr>
                <w:rFonts w:ascii="Times New Roman" w:hAnsi="Times New Roman" w:eastAsia="宋体"/>
                <w:sz w:val="24"/>
              </w:rPr>
            </w:pPr>
          </w:p>
        </w:tc>
        <w:tc>
          <w:tcPr>
            <w:tcW w:w="1560" w:type="dxa"/>
            <w:gridSpan w:val="4"/>
            <w:noWrap/>
            <w:vAlign w:val="center"/>
          </w:tcPr>
          <w:p>
            <w:pPr>
              <w:spacing w:line="300" w:lineRule="exact"/>
              <w:jc w:val="center"/>
              <w:rPr>
                <w:rFonts w:ascii="Times New Roman" w:hAnsi="Times New Roman" w:eastAsia="宋体"/>
                <w:sz w:val="24"/>
              </w:rPr>
            </w:pPr>
            <w:r>
              <w:rPr>
                <w:rFonts w:ascii="Times New Roman" w:hAnsi="宋体" w:eastAsia="宋体"/>
                <w:sz w:val="24"/>
              </w:rPr>
              <w:t>邮编</w:t>
            </w:r>
          </w:p>
        </w:tc>
        <w:tc>
          <w:tcPr>
            <w:tcW w:w="1988" w:type="dxa"/>
            <w:gridSpan w:val="5"/>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957" w:type="dxa"/>
            <w:gridSpan w:val="3"/>
            <w:noWrap/>
            <w:vAlign w:val="center"/>
          </w:tcPr>
          <w:p>
            <w:pPr>
              <w:spacing w:line="300" w:lineRule="exact"/>
              <w:jc w:val="center"/>
              <w:rPr>
                <w:rFonts w:ascii="Times New Roman" w:hAnsi="Times New Roman" w:eastAsia="宋体"/>
                <w:sz w:val="24"/>
              </w:rPr>
            </w:pPr>
            <w:r>
              <w:rPr>
                <w:rFonts w:ascii="Times New Roman" w:hAnsi="宋体" w:eastAsia="宋体"/>
                <w:sz w:val="24"/>
              </w:rPr>
              <w:t>企业地址</w:t>
            </w:r>
          </w:p>
        </w:tc>
        <w:tc>
          <w:tcPr>
            <w:tcW w:w="4179" w:type="dxa"/>
            <w:gridSpan w:val="9"/>
            <w:noWrap/>
            <w:vAlign w:val="center"/>
          </w:tcPr>
          <w:p>
            <w:pPr>
              <w:spacing w:line="300" w:lineRule="exact"/>
              <w:jc w:val="center"/>
              <w:rPr>
                <w:rFonts w:ascii="Times New Roman" w:hAnsi="Times New Roman" w:eastAsia="宋体"/>
                <w:sz w:val="24"/>
              </w:rPr>
            </w:pPr>
            <w:r>
              <w:rPr>
                <w:rFonts w:ascii="Times New Roman" w:hAnsi="宋体" w:eastAsia="宋体"/>
                <w:sz w:val="24"/>
              </w:rPr>
              <w:t>（区）</w:t>
            </w:r>
          </w:p>
        </w:tc>
        <w:tc>
          <w:tcPr>
            <w:tcW w:w="1560" w:type="dxa"/>
            <w:gridSpan w:val="4"/>
            <w:noWrap/>
            <w:vAlign w:val="center"/>
          </w:tcPr>
          <w:p>
            <w:pPr>
              <w:spacing w:line="300" w:lineRule="exact"/>
              <w:jc w:val="center"/>
              <w:rPr>
                <w:rFonts w:ascii="Times New Roman" w:hAnsi="Times New Roman" w:eastAsia="宋体"/>
                <w:sz w:val="24"/>
              </w:rPr>
            </w:pPr>
            <w:r>
              <w:rPr>
                <w:rFonts w:ascii="Times New Roman" w:hAnsi="宋体" w:eastAsia="宋体"/>
                <w:sz w:val="24"/>
              </w:rPr>
              <w:t>组织机构代码</w:t>
            </w:r>
          </w:p>
        </w:tc>
        <w:tc>
          <w:tcPr>
            <w:tcW w:w="1988" w:type="dxa"/>
            <w:gridSpan w:val="5"/>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57" w:type="dxa"/>
            <w:gridSpan w:val="3"/>
            <w:noWrap/>
            <w:vAlign w:val="center"/>
          </w:tcPr>
          <w:p>
            <w:pPr>
              <w:spacing w:line="300" w:lineRule="exact"/>
              <w:jc w:val="center"/>
              <w:rPr>
                <w:rFonts w:ascii="Times New Roman" w:hAnsi="Times New Roman" w:eastAsia="宋体"/>
                <w:sz w:val="24"/>
              </w:rPr>
            </w:pPr>
            <w:r>
              <w:rPr>
                <w:rFonts w:ascii="Times New Roman" w:hAnsi="宋体" w:eastAsia="宋体"/>
                <w:sz w:val="24"/>
              </w:rPr>
              <w:t>开户银行及账号</w:t>
            </w:r>
          </w:p>
        </w:tc>
        <w:tc>
          <w:tcPr>
            <w:tcW w:w="7727" w:type="dxa"/>
            <w:gridSpan w:val="18"/>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57" w:type="dxa"/>
            <w:gridSpan w:val="3"/>
            <w:noWrap/>
            <w:vAlign w:val="center"/>
          </w:tcPr>
          <w:p>
            <w:pPr>
              <w:spacing w:line="300" w:lineRule="exact"/>
              <w:jc w:val="center"/>
              <w:rPr>
                <w:rFonts w:ascii="Times New Roman" w:hAnsi="Times New Roman" w:eastAsia="宋体"/>
                <w:sz w:val="24"/>
              </w:rPr>
            </w:pPr>
            <w:r>
              <w:rPr>
                <w:rFonts w:ascii="Times New Roman" w:hAnsi="宋体" w:eastAsia="宋体"/>
                <w:sz w:val="24"/>
              </w:rPr>
              <w:t>业务联系人及联系电话</w:t>
            </w:r>
          </w:p>
        </w:tc>
        <w:tc>
          <w:tcPr>
            <w:tcW w:w="7727" w:type="dxa"/>
            <w:gridSpan w:val="18"/>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gridSpan w:val="3"/>
            <w:noWrap/>
            <w:vAlign w:val="center"/>
          </w:tcPr>
          <w:p>
            <w:pPr>
              <w:spacing w:line="300" w:lineRule="exact"/>
              <w:jc w:val="center"/>
              <w:rPr>
                <w:rFonts w:ascii="Times New Roman" w:hAnsi="Times New Roman" w:eastAsia="宋体"/>
                <w:sz w:val="24"/>
              </w:rPr>
            </w:pPr>
            <w:r>
              <w:rPr>
                <w:rFonts w:ascii="Times New Roman" w:hAnsi="宋体" w:eastAsia="宋体"/>
                <w:sz w:val="24"/>
              </w:rPr>
              <w:t>法定代表人</w:t>
            </w:r>
          </w:p>
        </w:tc>
        <w:tc>
          <w:tcPr>
            <w:tcW w:w="1582" w:type="dxa"/>
            <w:gridSpan w:val="4"/>
            <w:noWrap/>
            <w:vAlign w:val="center"/>
          </w:tcPr>
          <w:p>
            <w:pPr>
              <w:spacing w:line="300" w:lineRule="exact"/>
              <w:rPr>
                <w:rFonts w:ascii="Times New Roman" w:hAnsi="Times New Roman" w:eastAsia="宋体"/>
                <w:sz w:val="24"/>
              </w:rPr>
            </w:pPr>
          </w:p>
        </w:tc>
        <w:tc>
          <w:tcPr>
            <w:tcW w:w="1510" w:type="dxa"/>
            <w:gridSpan w:val="4"/>
            <w:noWrap/>
            <w:vAlign w:val="center"/>
          </w:tcPr>
          <w:p>
            <w:pPr>
              <w:spacing w:line="300" w:lineRule="exact"/>
              <w:jc w:val="center"/>
              <w:rPr>
                <w:rFonts w:ascii="Times New Roman" w:hAnsi="Times New Roman" w:eastAsia="宋体"/>
                <w:sz w:val="24"/>
              </w:rPr>
            </w:pPr>
            <w:r>
              <w:rPr>
                <w:rFonts w:ascii="Times New Roman" w:hAnsi="宋体" w:eastAsia="宋体"/>
                <w:sz w:val="24"/>
              </w:rPr>
              <w:t>企业负责人</w:t>
            </w:r>
          </w:p>
        </w:tc>
        <w:tc>
          <w:tcPr>
            <w:tcW w:w="1087" w:type="dxa"/>
            <w:noWrap/>
            <w:vAlign w:val="center"/>
          </w:tcPr>
          <w:p>
            <w:pPr>
              <w:spacing w:line="300" w:lineRule="exact"/>
              <w:rPr>
                <w:rFonts w:ascii="Times New Roman" w:hAnsi="Times New Roman" w:eastAsia="宋体"/>
                <w:sz w:val="24"/>
              </w:rPr>
            </w:pPr>
          </w:p>
        </w:tc>
        <w:tc>
          <w:tcPr>
            <w:tcW w:w="1560" w:type="dxa"/>
            <w:gridSpan w:val="4"/>
            <w:noWrap/>
            <w:vAlign w:val="center"/>
          </w:tcPr>
          <w:p>
            <w:pPr>
              <w:spacing w:line="300" w:lineRule="exact"/>
              <w:rPr>
                <w:rFonts w:ascii="Times New Roman" w:hAnsi="Times New Roman" w:eastAsia="宋体"/>
                <w:sz w:val="24"/>
              </w:rPr>
            </w:pPr>
            <w:r>
              <w:rPr>
                <w:rFonts w:ascii="Times New Roman" w:hAnsi="宋体" w:eastAsia="宋体"/>
                <w:sz w:val="24"/>
              </w:rPr>
              <w:t>企业</w:t>
            </w:r>
          </w:p>
          <w:p>
            <w:pPr>
              <w:spacing w:line="300" w:lineRule="exact"/>
              <w:rPr>
                <w:rFonts w:ascii="Times New Roman" w:hAnsi="Times New Roman" w:eastAsia="宋体"/>
                <w:sz w:val="24"/>
              </w:rPr>
            </w:pPr>
            <w:r>
              <w:rPr>
                <w:rFonts w:ascii="Times New Roman" w:hAnsi="宋体" w:eastAsia="宋体"/>
                <w:sz w:val="24"/>
              </w:rPr>
              <w:t>性质</w:t>
            </w:r>
          </w:p>
        </w:tc>
        <w:tc>
          <w:tcPr>
            <w:tcW w:w="1988" w:type="dxa"/>
            <w:gridSpan w:val="5"/>
            <w:noWrap/>
            <w:vAlign w:val="center"/>
          </w:tcPr>
          <w:p>
            <w:pPr>
              <w:spacing w:line="300" w:lineRule="exact"/>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gridSpan w:val="3"/>
            <w:noWrap/>
            <w:vAlign w:val="center"/>
          </w:tcPr>
          <w:p>
            <w:pPr>
              <w:spacing w:line="300" w:lineRule="exact"/>
              <w:jc w:val="center"/>
              <w:rPr>
                <w:rFonts w:ascii="Times New Roman" w:hAnsi="Times New Roman" w:eastAsia="宋体"/>
                <w:sz w:val="24"/>
              </w:rPr>
            </w:pPr>
            <w:r>
              <w:rPr>
                <w:rFonts w:ascii="Times New Roman" w:hAnsi="宋体" w:eastAsia="宋体"/>
                <w:sz w:val="24"/>
              </w:rPr>
              <w:t>注册资金</w:t>
            </w:r>
          </w:p>
        </w:tc>
        <w:tc>
          <w:tcPr>
            <w:tcW w:w="1582" w:type="dxa"/>
            <w:gridSpan w:val="4"/>
            <w:noWrap/>
            <w:vAlign w:val="center"/>
          </w:tcPr>
          <w:p>
            <w:pPr>
              <w:spacing w:line="300" w:lineRule="exact"/>
              <w:jc w:val="center"/>
              <w:rPr>
                <w:rFonts w:ascii="Times New Roman" w:hAnsi="Times New Roman" w:eastAsia="宋体"/>
                <w:sz w:val="24"/>
              </w:rPr>
            </w:pPr>
            <w:r>
              <w:rPr>
                <w:rFonts w:ascii="Times New Roman" w:hAnsi="宋体" w:eastAsia="宋体"/>
                <w:sz w:val="24"/>
              </w:rPr>
              <w:t>万元</w:t>
            </w:r>
          </w:p>
        </w:tc>
        <w:tc>
          <w:tcPr>
            <w:tcW w:w="1510" w:type="dxa"/>
            <w:gridSpan w:val="4"/>
            <w:noWrap/>
            <w:vAlign w:val="center"/>
          </w:tcPr>
          <w:p>
            <w:pPr>
              <w:spacing w:line="300" w:lineRule="exact"/>
              <w:jc w:val="center"/>
              <w:rPr>
                <w:rFonts w:ascii="Times New Roman" w:hAnsi="Times New Roman" w:eastAsia="宋体"/>
                <w:sz w:val="24"/>
              </w:rPr>
            </w:pPr>
            <w:r>
              <w:rPr>
                <w:rFonts w:ascii="Times New Roman" w:hAnsi="宋体" w:eastAsia="宋体"/>
                <w:sz w:val="24"/>
              </w:rPr>
              <w:t>固定资产</w:t>
            </w:r>
          </w:p>
        </w:tc>
        <w:tc>
          <w:tcPr>
            <w:tcW w:w="4635" w:type="dxa"/>
            <w:gridSpan w:val="10"/>
            <w:noWrap/>
            <w:vAlign w:val="center"/>
          </w:tcPr>
          <w:p>
            <w:pPr>
              <w:spacing w:line="300" w:lineRule="exact"/>
              <w:jc w:val="center"/>
              <w:rPr>
                <w:rFonts w:ascii="Times New Roman" w:hAnsi="Times New Roman" w:eastAsia="宋体"/>
                <w:sz w:val="24"/>
              </w:rPr>
            </w:pPr>
            <w:r>
              <w:rPr>
                <w:rFonts w:ascii="Times New Roman" w:hAnsi="宋体" w:eastAsia="宋体"/>
                <w:sz w:val="24"/>
              </w:rPr>
              <w:t>万元；</w:t>
            </w:r>
          </w:p>
          <w:p>
            <w:pPr>
              <w:spacing w:line="300" w:lineRule="exact"/>
              <w:jc w:val="center"/>
              <w:rPr>
                <w:rFonts w:ascii="Times New Roman" w:hAnsi="Times New Roman" w:eastAsia="宋体"/>
                <w:sz w:val="24"/>
              </w:rPr>
            </w:pPr>
            <w:r>
              <w:rPr>
                <w:rFonts w:ascii="Times New Roman" w:hAnsi="宋体" w:eastAsia="宋体"/>
                <w:sz w:val="24"/>
              </w:rPr>
              <w:t>其中设备：万元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gridSpan w:val="3"/>
            <w:noWrap/>
            <w:vAlign w:val="center"/>
          </w:tcPr>
          <w:p>
            <w:pPr>
              <w:spacing w:line="300" w:lineRule="exact"/>
              <w:rPr>
                <w:rFonts w:ascii="Times New Roman" w:hAnsi="Times New Roman" w:eastAsia="宋体"/>
                <w:sz w:val="24"/>
              </w:rPr>
            </w:pPr>
            <w:r>
              <w:rPr>
                <w:rFonts w:ascii="Times New Roman" w:hAnsi="宋体" w:eastAsia="宋体"/>
                <w:sz w:val="24"/>
              </w:rPr>
              <w:t>职工总数</w:t>
            </w:r>
          </w:p>
        </w:tc>
        <w:tc>
          <w:tcPr>
            <w:tcW w:w="948" w:type="dxa"/>
            <w:noWrap/>
            <w:vAlign w:val="center"/>
          </w:tcPr>
          <w:p>
            <w:pPr>
              <w:spacing w:line="300" w:lineRule="exact"/>
              <w:rPr>
                <w:rFonts w:ascii="Times New Roman" w:hAnsi="Times New Roman" w:eastAsia="宋体"/>
                <w:sz w:val="24"/>
              </w:rPr>
            </w:pPr>
          </w:p>
        </w:tc>
        <w:tc>
          <w:tcPr>
            <w:tcW w:w="2144" w:type="dxa"/>
            <w:gridSpan w:val="7"/>
            <w:noWrap/>
            <w:vAlign w:val="center"/>
          </w:tcPr>
          <w:p>
            <w:pPr>
              <w:spacing w:line="300" w:lineRule="exact"/>
              <w:rPr>
                <w:rFonts w:ascii="Times New Roman" w:hAnsi="Times New Roman" w:eastAsia="宋体"/>
                <w:sz w:val="24"/>
              </w:rPr>
            </w:pPr>
            <w:r>
              <w:rPr>
                <w:rFonts w:ascii="Times New Roman" w:hAnsi="宋体" w:eastAsia="宋体"/>
                <w:sz w:val="24"/>
              </w:rPr>
              <w:t>技术管理人数</w:t>
            </w:r>
          </w:p>
        </w:tc>
        <w:tc>
          <w:tcPr>
            <w:tcW w:w="1442" w:type="dxa"/>
            <w:gridSpan w:val="2"/>
            <w:noWrap/>
            <w:vAlign w:val="center"/>
          </w:tcPr>
          <w:p>
            <w:pPr>
              <w:spacing w:line="300" w:lineRule="exact"/>
              <w:rPr>
                <w:rFonts w:ascii="Times New Roman" w:hAnsi="Times New Roman" w:eastAsia="宋体"/>
                <w:sz w:val="24"/>
              </w:rPr>
            </w:pPr>
          </w:p>
        </w:tc>
        <w:tc>
          <w:tcPr>
            <w:tcW w:w="1205" w:type="dxa"/>
            <w:gridSpan w:val="3"/>
            <w:noWrap/>
            <w:vAlign w:val="center"/>
          </w:tcPr>
          <w:p>
            <w:pPr>
              <w:spacing w:line="300" w:lineRule="exact"/>
              <w:jc w:val="center"/>
              <w:rPr>
                <w:rFonts w:ascii="Times New Roman" w:hAnsi="Times New Roman" w:eastAsia="宋体"/>
                <w:sz w:val="24"/>
              </w:rPr>
            </w:pPr>
            <w:r>
              <w:rPr>
                <w:rFonts w:ascii="Times New Roman" w:hAnsi="宋体" w:eastAsia="宋体"/>
                <w:sz w:val="24"/>
              </w:rPr>
              <w:t>技术工人</w:t>
            </w:r>
          </w:p>
        </w:tc>
        <w:tc>
          <w:tcPr>
            <w:tcW w:w="1988" w:type="dxa"/>
            <w:gridSpan w:val="5"/>
            <w:noWrap/>
            <w:vAlign w:val="center"/>
          </w:tcPr>
          <w:p>
            <w:pPr>
              <w:spacing w:line="300" w:lineRule="exact"/>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684" w:type="dxa"/>
            <w:gridSpan w:val="21"/>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宋体"/>
                <w:sz w:val="24"/>
              </w:rPr>
            </w:pPr>
            <w:r>
              <w:rPr>
                <w:rFonts w:ascii="Times New Roman" w:hAnsi="Times New Roman" w:eastAsia="宋体"/>
                <w:b/>
                <w:bCs/>
                <w:sz w:val="24"/>
              </w:rPr>
              <w:t>2.</w:t>
            </w:r>
            <w:r>
              <w:rPr>
                <w:rFonts w:ascii="Times New Roman" w:hAnsi="宋体" w:eastAsia="宋体"/>
                <w:b/>
                <w:bCs/>
                <w:sz w:val="24"/>
              </w:rPr>
              <w:t>基础设施一览表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宋体"/>
                <w:sz w:val="24"/>
              </w:rPr>
            </w:pPr>
            <w:r>
              <w:rPr>
                <w:rFonts w:ascii="Times New Roman" w:hAnsi="宋体" w:eastAsia="宋体"/>
                <w:sz w:val="24"/>
              </w:rPr>
              <w:t>名称</w:t>
            </w:r>
          </w:p>
        </w:tc>
        <w:tc>
          <w:tcPr>
            <w:tcW w:w="1442"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宋体"/>
                <w:sz w:val="24"/>
              </w:rPr>
            </w:pPr>
            <w:r>
              <w:rPr>
                <w:rFonts w:ascii="Times New Roman" w:hAnsi="宋体" w:eastAsia="宋体"/>
                <w:sz w:val="24"/>
              </w:rPr>
              <w:t>面积</w:t>
            </w:r>
          </w:p>
        </w:tc>
        <w:tc>
          <w:tcPr>
            <w:tcW w:w="1552" w:type="dxa"/>
            <w:gridSpan w:val="4"/>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宋体"/>
                <w:sz w:val="24"/>
              </w:rPr>
            </w:pPr>
            <w:r>
              <w:rPr>
                <w:rFonts w:ascii="Times New Roman" w:hAnsi="宋体" w:eastAsia="宋体"/>
                <w:sz w:val="24"/>
              </w:rPr>
              <w:t>结构</w:t>
            </w:r>
          </w:p>
        </w:tc>
        <w:tc>
          <w:tcPr>
            <w:tcW w:w="1847" w:type="dxa"/>
            <w:gridSpan w:val="4"/>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宋体"/>
                <w:sz w:val="24"/>
              </w:rPr>
            </w:pPr>
            <w:r>
              <w:rPr>
                <w:rFonts w:ascii="Times New Roman" w:hAnsi="宋体" w:eastAsia="宋体"/>
                <w:sz w:val="24"/>
              </w:rPr>
              <w:t>名称</w:t>
            </w:r>
          </w:p>
        </w:tc>
        <w:tc>
          <w:tcPr>
            <w:tcW w:w="1554" w:type="dxa"/>
            <w:gridSpan w:val="5"/>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宋体"/>
                <w:sz w:val="24"/>
              </w:rPr>
            </w:pPr>
            <w:r>
              <w:rPr>
                <w:rFonts w:ascii="Times New Roman" w:hAnsi="宋体" w:eastAsia="宋体"/>
                <w:sz w:val="24"/>
              </w:rPr>
              <w:t>面积</w:t>
            </w:r>
          </w:p>
        </w:tc>
        <w:tc>
          <w:tcPr>
            <w:tcW w:w="1332"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宋体"/>
                <w:sz w:val="24"/>
              </w:rPr>
            </w:pPr>
            <w:r>
              <w:rPr>
                <w:rFonts w:ascii="Times New Roman" w:hAnsi="宋体" w:eastAsia="宋体"/>
                <w:sz w:val="24"/>
              </w:rPr>
              <w:t>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宋体"/>
                <w:sz w:val="24"/>
              </w:rPr>
            </w:pPr>
            <w:r>
              <w:rPr>
                <w:rFonts w:ascii="Times New Roman" w:hAnsi="宋体" w:eastAsia="宋体"/>
                <w:sz w:val="24"/>
              </w:rPr>
              <w:t>厂房、场地总面积</w:t>
            </w:r>
          </w:p>
        </w:tc>
        <w:tc>
          <w:tcPr>
            <w:tcW w:w="1442"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宋体"/>
                <w:sz w:val="24"/>
              </w:rPr>
            </w:pPr>
          </w:p>
        </w:tc>
        <w:tc>
          <w:tcPr>
            <w:tcW w:w="1552" w:type="dxa"/>
            <w:gridSpan w:val="4"/>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宋体"/>
                <w:sz w:val="24"/>
              </w:rPr>
            </w:pPr>
          </w:p>
        </w:tc>
        <w:tc>
          <w:tcPr>
            <w:tcW w:w="1847" w:type="dxa"/>
            <w:gridSpan w:val="4"/>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宋体"/>
                <w:sz w:val="24"/>
              </w:rPr>
            </w:pPr>
            <w:r>
              <w:rPr>
                <w:rFonts w:ascii="Times New Roman" w:hAnsi="宋体" w:eastAsia="宋体"/>
                <w:sz w:val="24"/>
              </w:rPr>
              <w:t>充电房</w:t>
            </w:r>
          </w:p>
        </w:tc>
        <w:tc>
          <w:tcPr>
            <w:tcW w:w="1554" w:type="dxa"/>
            <w:gridSpan w:val="5"/>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宋体"/>
                <w:sz w:val="24"/>
              </w:rPr>
            </w:pPr>
          </w:p>
        </w:tc>
        <w:tc>
          <w:tcPr>
            <w:tcW w:w="1332"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7"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宋体"/>
                <w:sz w:val="24"/>
              </w:rPr>
            </w:pPr>
            <w:r>
              <w:rPr>
                <w:rFonts w:ascii="Times New Roman" w:hAnsi="宋体" w:eastAsia="宋体"/>
                <w:sz w:val="24"/>
              </w:rPr>
              <w:t>主修厂房</w:t>
            </w:r>
          </w:p>
        </w:tc>
        <w:tc>
          <w:tcPr>
            <w:tcW w:w="1442"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宋体"/>
                <w:sz w:val="24"/>
              </w:rPr>
            </w:pPr>
          </w:p>
        </w:tc>
        <w:tc>
          <w:tcPr>
            <w:tcW w:w="1552" w:type="dxa"/>
            <w:gridSpan w:val="4"/>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宋体"/>
                <w:sz w:val="24"/>
              </w:rPr>
            </w:pPr>
          </w:p>
        </w:tc>
        <w:tc>
          <w:tcPr>
            <w:tcW w:w="1847" w:type="dxa"/>
            <w:gridSpan w:val="4"/>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宋体"/>
                <w:sz w:val="24"/>
              </w:rPr>
            </w:pPr>
            <w:r>
              <w:rPr>
                <w:rFonts w:ascii="Times New Roman" w:hAnsi="宋体" w:eastAsia="宋体"/>
                <w:sz w:val="24"/>
              </w:rPr>
              <w:t>业务接待室</w:t>
            </w:r>
          </w:p>
        </w:tc>
        <w:tc>
          <w:tcPr>
            <w:tcW w:w="1554" w:type="dxa"/>
            <w:gridSpan w:val="5"/>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宋体"/>
                <w:sz w:val="24"/>
              </w:rPr>
            </w:pPr>
          </w:p>
        </w:tc>
        <w:tc>
          <w:tcPr>
            <w:tcW w:w="1332"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15" w:type="dxa"/>
            <w:vMerge w:val="restart"/>
            <w:noWrap/>
            <w:vAlign w:val="center"/>
          </w:tcPr>
          <w:p>
            <w:pPr>
              <w:spacing w:line="300" w:lineRule="exact"/>
              <w:jc w:val="center"/>
              <w:rPr>
                <w:rFonts w:ascii="Times New Roman" w:hAnsi="Times New Roman" w:eastAsia="宋体"/>
                <w:sz w:val="24"/>
              </w:rPr>
            </w:pPr>
            <w:r>
              <w:rPr>
                <w:rFonts w:ascii="Times New Roman" w:hAnsi="宋体" w:eastAsia="宋体"/>
                <w:sz w:val="24"/>
              </w:rPr>
              <w:t>辅助间</w:t>
            </w:r>
          </w:p>
        </w:tc>
        <w:tc>
          <w:tcPr>
            <w:tcW w:w="1442" w:type="dxa"/>
            <w:gridSpan w:val="2"/>
            <w:noWrap/>
            <w:vAlign w:val="center"/>
          </w:tcPr>
          <w:p>
            <w:pPr>
              <w:spacing w:line="300" w:lineRule="exact"/>
              <w:jc w:val="center"/>
              <w:rPr>
                <w:rFonts w:ascii="Times New Roman" w:hAnsi="Times New Roman" w:eastAsia="宋体"/>
                <w:sz w:val="24"/>
              </w:rPr>
            </w:pPr>
            <w:r>
              <w:rPr>
                <w:rFonts w:ascii="Times New Roman" w:hAnsi="宋体" w:eastAsia="宋体"/>
                <w:sz w:val="24"/>
              </w:rPr>
              <w:t>发动机间</w:t>
            </w:r>
          </w:p>
        </w:tc>
        <w:tc>
          <w:tcPr>
            <w:tcW w:w="1442" w:type="dxa"/>
            <w:gridSpan w:val="3"/>
            <w:noWrap/>
            <w:vAlign w:val="center"/>
          </w:tcPr>
          <w:p>
            <w:pPr>
              <w:spacing w:line="300" w:lineRule="exact"/>
              <w:jc w:val="center"/>
              <w:rPr>
                <w:rFonts w:ascii="Times New Roman" w:hAnsi="Times New Roman" w:eastAsia="宋体"/>
                <w:sz w:val="24"/>
              </w:rPr>
            </w:pPr>
          </w:p>
        </w:tc>
        <w:tc>
          <w:tcPr>
            <w:tcW w:w="1545" w:type="dxa"/>
            <w:gridSpan w:val="3"/>
            <w:noWrap/>
            <w:vAlign w:val="center"/>
          </w:tcPr>
          <w:p>
            <w:pPr>
              <w:spacing w:line="300" w:lineRule="exact"/>
              <w:jc w:val="center"/>
              <w:rPr>
                <w:rFonts w:ascii="Times New Roman" w:hAnsi="Times New Roman" w:eastAsia="宋体"/>
                <w:sz w:val="24"/>
              </w:rPr>
            </w:pPr>
          </w:p>
        </w:tc>
        <w:tc>
          <w:tcPr>
            <w:tcW w:w="1854" w:type="dxa"/>
            <w:gridSpan w:val="5"/>
            <w:noWrap/>
            <w:vAlign w:val="center"/>
          </w:tcPr>
          <w:p>
            <w:pPr>
              <w:spacing w:line="300" w:lineRule="exact"/>
              <w:jc w:val="center"/>
              <w:rPr>
                <w:rFonts w:ascii="Times New Roman" w:hAnsi="Times New Roman" w:eastAsia="宋体"/>
                <w:sz w:val="24"/>
              </w:rPr>
            </w:pPr>
            <w:r>
              <w:rPr>
                <w:rFonts w:ascii="Times New Roman" w:hAnsi="宋体" w:eastAsia="宋体"/>
                <w:sz w:val="24"/>
              </w:rPr>
              <w:t>办公用房</w:t>
            </w:r>
          </w:p>
        </w:tc>
        <w:tc>
          <w:tcPr>
            <w:tcW w:w="1545" w:type="dxa"/>
            <w:gridSpan w:val="4"/>
            <w:noWrap/>
            <w:vAlign w:val="center"/>
          </w:tcPr>
          <w:p>
            <w:pPr>
              <w:spacing w:line="300" w:lineRule="exact"/>
              <w:jc w:val="center"/>
              <w:rPr>
                <w:rFonts w:ascii="Times New Roman" w:hAnsi="Times New Roman" w:eastAsia="宋体"/>
                <w:sz w:val="24"/>
              </w:rPr>
            </w:pPr>
          </w:p>
        </w:tc>
        <w:tc>
          <w:tcPr>
            <w:tcW w:w="134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15" w:type="dxa"/>
            <w:vMerge w:val="continue"/>
            <w:noWrap/>
            <w:vAlign w:val="center"/>
          </w:tcPr>
          <w:p>
            <w:pPr>
              <w:spacing w:line="300" w:lineRule="exact"/>
              <w:jc w:val="center"/>
              <w:rPr>
                <w:rFonts w:ascii="Times New Roman" w:hAnsi="Times New Roman" w:eastAsia="宋体"/>
                <w:sz w:val="24"/>
              </w:rPr>
            </w:pPr>
          </w:p>
        </w:tc>
        <w:tc>
          <w:tcPr>
            <w:tcW w:w="1442" w:type="dxa"/>
            <w:gridSpan w:val="2"/>
            <w:noWrap/>
            <w:vAlign w:val="center"/>
          </w:tcPr>
          <w:p>
            <w:pPr>
              <w:spacing w:line="300" w:lineRule="exact"/>
              <w:jc w:val="center"/>
              <w:rPr>
                <w:rFonts w:ascii="Times New Roman" w:hAnsi="Times New Roman" w:eastAsia="宋体"/>
                <w:sz w:val="24"/>
              </w:rPr>
            </w:pPr>
            <w:r>
              <w:rPr>
                <w:rFonts w:ascii="Times New Roman" w:hAnsi="宋体" w:eastAsia="宋体"/>
                <w:sz w:val="24"/>
              </w:rPr>
              <w:t>喷漆间</w:t>
            </w:r>
          </w:p>
        </w:tc>
        <w:tc>
          <w:tcPr>
            <w:tcW w:w="1442" w:type="dxa"/>
            <w:gridSpan w:val="3"/>
            <w:noWrap/>
            <w:vAlign w:val="center"/>
          </w:tcPr>
          <w:p>
            <w:pPr>
              <w:spacing w:line="300" w:lineRule="exact"/>
              <w:jc w:val="center"/>
              <w:rPr>
                <w:rFonts w:ascii="Times New Roman" w:hAnsi="Times New Roman" w:eastAsia="宋体"/>
                <w:sz w:val="24"/>
              </w:rPr>
            </w:pPr>
          </w:p>
        </w:tc>
        <w:tc>
          <w:tcPr>
            <w:tcW w:w="1545" w:type="dxa"/>
            <w:gridSpan w:val="3"/>
            <w:noWrap/>
            <w:vAlign w:val="center"/>
          </w:tcPr>
          <w:p>
            <w:pPr>
              <w:spacing w:line="300" w:lineRule="exact"/>
              <w:jc w:val="center"/>
              <w:rPr>
                <w:rFonts w:ascii="Times New Roman" w:hAnsi="Times New Roman" w:eastAsia="宋体"/>
                <w:sz w:val="24"/>
              </w:rPr>
            </w:pPr>
          </w:p>
        </w:tc>
        <w:tc>
          <w:tcPr>
            <w:tcW w:w="1854" w:type="dxa"/>
            <w:gridSpan w:val="5"/>
            <w:noWrap/>
            <w:vAlign w:val="center"/>
          </w:tcPr>
          <w:p>
            <w:pPr>
              <w:spacing w:line="300" w:lineRule="exact"/>
              <w:jc w:val="center"/>
              <w:rPr>
                <w:rFonts w:ascii="Times New Roman" w:hAnsi="Times New Roman" w:eastAsia="宋体"/>
                <w:sz w:val="24"/>
              </w:rPr>
            </w:pPr>
            <w:r>
              <w:rPr>
                <w:rFonts w:ascii="Times New Roman" w:hAnsi="宋体" w:eastAsia="宋体"/>
                <w:sz w:val="24"/>
              </w:rPr>
              <w:t>停车场</w:t>
            </w:r>
          </w:p>
        </w:tc>
        <w:tc>
          <w:tcPr>
            <w:tcW w:w="1545" w:type="dxa"/>
            <w:gridSpan w:val="4"/>
            <w:noWrap/>
            <w:vAlign w:val="center"/>
          </w:tcPr>
          <w:p>
            <w:pPr>
              <w:spacing w:line="300" w:lineRule="exact"/>
              <w:jc w:val="center"/>
              <w:rPr>
                <w:rFonts w:ascii="Times New Roman" w:hAnsi="Times New Roman" w:eastAsia="宋体"/>
                <w:sz w:val="24"/>
              </w:rPr>
            </w:pPr>
          </w:p>
        </w:tc>
        <w:tc>
          <w:tcPr>
            <w:tcW w:w="134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15" w:type="dxa"/>
            <w:vMerge w:val="continue"/>
            <w:noWrap/>
            <w:vAlign w:val="center"/>
          </w:tcPr>
          <w:p>
            <w:pPr>
              <w:spacing w:line="300" w:lineRule="exact"/>
              <w:jc w:val="center"/>
              <w:rPr>
                <w:rFonts w:ascii="Times New Roman" w:hAnsi="Times New Roman" w:eastAsia="宋体"/>
                <w:sz w:val="24"/>
              </w:rPr>
            </w:pPr>
          </w:p>
        </w:tc>
        <w:tc>
          <w:tcPr>
            <w:tcW w:w="1442" w:type="dxa"/>
            <w:gridSpan w:val="2"/>
            <w:noWrap/>
            <w:vAlign w:val="center"/>
          </w:tcPr>
          <w:p>
            <w:pPr>
              <w:spacing w:line="300" w:lineRule="exact"/>
              <w:jc w:val="center"/>
              <w:rPr>
                <w:rFonts w:ascii="Times New Roman" w:hAnsi="Times New Roman" w:eastAsia="宋体"/>
                <w:sz w:val="24"/>
              </w:rPr>
            </w:pPr>
            <w:r>
              <w:rPr>
                <w:rFonts w:ascii="Times New Roman" w:hAnsi="宋体" w:eastAsia="宋体"/>
                <w:sz w:val="24"/>
              </w:rPr>
              <w:t>机加工间</w:t>
            </w:r>
          </w:p>
        </w:tc>
        <w:tc>
          <w:tcPr>
            <w:tcW w:w="1442" w:type="dxa"/>
            <w:gridSpan w:val="3"/>
            <w:noWrap/>
            <w:vAlign w:val="center"/>
          </w:tcPr>
          <w:p>
            <w:pPr>
              <w:spacing w:line="300" w:lineRule="exact"/>
              <w:jc w:val="center"/>
              <w:rPr>
                <w:rFonts w:ascii="Times New Roman" w:hAnsi="Times New Roman" w:eastAsia="宋体"/>
                <w:sz w:val="24"/>
              </w:rPr>
            </w:pPr>
          </w:p>
        </w:tc>
        <w:tc>
          <w:tcPr>
            <w:tcW w:w="1545" w:type="dxa"/>
            <w:gridSpan w:val="3"/>
            <w:noWrap/>
            <w:vAlign w:val="center"/>
          </w:tcPr>
          <w:p>
            <w:pPr>
              <w:spacing w:line="300" w:lineRule="exact"/>
              <w:jc w:val="center"/>
              <w:rPr>
                <w:rFonts w:ascii="Times New Roman" w:hAnsi="Times New Roman" w:eastAsia="宋体"/>
                <w:sz w:val="24"/>
              </w:rPr>
            </w:pPr>
          </w:p>
        </w:tc>
        <w:tc>
          <w:tcPr>
            <w:tcW w:w="1854" w:type="dxa"/>
            <w:gridSpan w:val="5"/>
            <w:noWrap/>
            <w:vAlign w:val="center"/>
          </w:tcPr>
          <w:p>
            <w:pPr>
              <w:spacing w:line="300" w:lineRule="exact"/>
              <w:jc w:val="center"/>
              <w:rPr>
                <w:rFonts w:ascii="Times New Roman" w:hAnsi="Times New Roman" w:eastAsia="宋体"/>
                <w:sz w:val="24"/>
              </w:rPr>
            </w:pPr>
          </w:p>
        </w:tc>
        <w:tc>
          <w:tcPr>
            <w:tcW w:w="1545" w:type="dxa"/>
            <w:gridSpan w:val="4"/>
            <w:noWrap/>
            <w:vAlign w:val="center"/>
          </w:tcPr>
          <w:p>
            <w:pPr>
              <w:spacing w:line="300" w:lineRule="exact"/>
              <w:jc w:val="center"/>
              <w:rPr>
                <w:rFonts w:ascii="Times New Roman" w:hAnsi="Times New Roman" w:eastAsia="宋体"/>
                <w:sz w:val="24"/>
              </w:rPr>
            </w:pPr>
          </w:p>
        </w:tc>
        <w:tc>
          <w:tcPr>
            <w:tcW w:w="134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84" w:type="dxa"/>
            <w:gridSpan w:val="21"/>
            <w:tcBorders>
              <w:bottom w:val="single" w:color="auto" w:sz="4" w:space="0"/>
            </w:tcBorders>
            <w:noWrap/>
            <w:vAlign w:val="center"/>
          </w:tcPr>
          <w:p>
            <w:pPr>
              <w:spacing w:line="300" w:lineRule="exact"/>
              <w:rPr>
                <w:rFonts w:ascii="Times New Roman" w:hAnsi="宋体" w:eastAsia="宋体"/>
                <w:sz w:val="24"/>
              </w:rPr>
            </w:pPr>
          </w:p>
          <w:p>
            <w:pPr>
              <w:spacing w:line="300" w:lineRule="exact"/>
              <w:rPr>
                <w:rFonts w:ascii="Times New Roman" w:hAnsi="宋体" w:eastAsia="宋体"/>
                <w:sz w:val="24"/>
              </w:rPr>
            </w:pPr>
          </w:p>
          <w:p>
            <w:pPr>
              <w:spacing w:line="300" w:lineRule="exact"/>
              <w:rPr>
                <w:rFonts w:ascii="Times New Roman" w:hAnsi="Times New Roman" w:eastAsia="宋体"/>
                <w:sz w:val="24"/>
              </w:rPr>
            </w:pPr>
            <w:r>
              <w:rPr>
                <w:rFonts w:ascii="Times New Roman" w:hAnsi="宋体" w:eastAsia="宋体"/>
                <w:sz w:val="24"/>
              </w:rPr>
              <w:t>经营场所平面示意图：</w:t>
            </w:r>
          </w:p>
          <w:p>
            <w:pPr>
              <w:spacing w:line="300" w:lineRule="exact"/>
              <w:jc w:val="center"/>
              <w:rPr>
                <w:rFonts w:ascii="Times New Roman" w:hAnsi="Times New Roman" w:eastAsia="宋体"/>
                <w:sz w:val="24"/>
              </w:rPr>
            </w:pPr>
          </w:p>
          <w:p>
            <w:pPr>
              <w:spacing w:line="300" w:lineRule="exact"/>
              <w:rPr>
                <w:rFonts w:ascii="Times New Roman" w:hAnsi="Times New Roman" w:eastAsia="宋体"/>
                <w:sz w:val="24"/>
              </w:rPr>
            </w:pPr>
          </w:p>
          <w:p>
            <w:pPr>
              <w:pStyle w:val="76"/>
              <w:ind w:firstLine="520"/>
            </w:pPr>
          </w:p>
          <w:p>
            <w:pPr>
              <w:pStyle w:val="76"/>
              <w:ind w:firstLine="520"/>
            </w:pPr>
          </w:p>
          <w:p>
            <w:pPr>
              <w:spacing w:line="300" w:lineRule="exact"/>
              <w:jc w:val="center"/>
              <w:rPr>
                <w:rFonts w:ascii="Times New Roman" w:hAnsi="Times New Roman" w:eastAsia="宋体"/>
                <w:sz w:val="24"/>
              </w:rPr>
            </w:pPr>
          </w:p>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35" w:hRule="atLeast"/>
          <w:jc w:val="center"/>
        </w:trPr>
        <w:tc>
          <w:tcPr>
            <w:tcW w:w="9678" w:type="dxa"/>
            <w:gridSpan w:val="20"/>
            <w:noWrap/>
            <w:vAlign w:val="center"/>
          </w:tcPr>
          <w:p>
            <w:pPr>
              <w:spacing w:line="300" w:lineRule="exact"/>
              <w:rPr>
                <w:rFonts w:ascii="Times New Roman" w:hAnsi="Times New Roman" w:eastAsia="宋体"/>
                <w:sz w:val="24"/>
              </w:rPr>
            </w:pPr>
            <w:r>
              <w:rPr>
                <w:rFonts w:ascii="Times New Roman" w:hAnsi="Times New Roman" w:eastAsia="宋体"/>
                <w:b/>
                <w:bCs/>
                <w:sz w:val="24"/>
              </w:rPr>
              <w:t>3.</w:t>
            </w:r>
            <w:r>
              <w:rPr>
                <w:rFonts w:hint="eastAsia" w:ascii="Times New Roman" w:hAnsi="Times New Roman" w:eastAsia="宋体"/>
                <w:b/>
                <w:bCs/>
                <w:sz w:val="24"/>
              </w:rPr>
              <w:t>常用</w:t>
            </w:r>
            <w:r>
              <w:rPr>
                <w:rFonts w:ascii="Times New Roman" w:hAnsi="宋体" w:eastAsia="宋体"/>
                <w:b/>
                <w:bCs/>
                <w:sz w:val="24"/>
              </w:rPr>
              <w:t>配件</w:t>
            </w:r>
            <w:r>
              <w:rPr>
                <w:rFonts w:hint="eastAsia" w:ascii="Times New Roman" w:hAnsi="宋体" w:eastAsia="宋体"/>
                <w:b/>
                <w:bCs/>
                <w:sz w:val="24"/>
              </w:rPr>
              <w:t>材料报价及</w:t>
            </w:r>
            <w:r>
              <w:rPr>
                <w:rFonts w:ascii="Times New Roman" w:hAnsi="宋体" w:eastAsia="宋体"/>
                <w:b/>
                <w:bCs/>
                <w:sz w:val="24"/>
              </w:rPr>
              <w:t>质保期承诺表</w:t>
            </w:r>
            <w:r>
              <w:rPr>
                <w:rFonts w:hint="eastAsia" w:ascii="Times New Roman" w:hAnsi="宋体" w:eastAsia="宋体"/>
                <w:b/>
                <w:bCs/>
                <w:color w:val="FF0000"/>
                <w:sz w:val="24"/>
              </w:rPr>
              <w:t>（清单不全，为价格标评分列举）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35" w:hRule="atLeast"/>
          <w:jc w:val="center"/>
        </w:trPr>
        <w:tc>
          <w:tcPr>
            <w:tcW w:w="606" w:type="dxa"/>
            <w:gridSpan w:val="2"/>
            <w:noWrap/>
            <w:vAlign w:val="center"/>
          </w:tcPr>
          <w:p>
            <w:pPr>
              <w:spacing w:line="300" w:lineRule="exact"/>
              <w:jc w:val="center"/>
              <w:rPr>
                <w:rFonts w:ascii="Times New Roman" w:hAnsi="Times New Roman" w:eastAsia="宋体"/>
                <w:sz w:val="24"/>
              </w:rPr>
            </w:pPr>
            <w:r>
              <w:rPr>
                <w:rFonts w:ascii="Times New Roman" w:hAnsi="宋体" w:eastAsia="宋体"/>
                <w:sz w:val="24"/>
              </w:rPr>
              <w:t>序号</w:t>
            </w:r>
          </w:p>
        </w:tc>
        <w:tc>
          <w:tcPr>
            <w:tcW w:w="4143" w:type="dxa"/>
            <w:gridSpan w:val="6"/>
            <w:noWrap/>
            <w:vAlign w:val="center"/>
          </w:tcPr>
          <w:p>
            <w:pPr>
              <w:spacing w:line="300" w:lineRule="exact"/>
              <w:jc w:val="center"/>
              <w:rPr>
                <w:rFonts w:ascii="Times New Roman" w:hAnsi="Times New Roman" w:eastAsia="宋体"/>
                <w:sz w:val="24"/>
              </w:rPr>
            </w:pPr>
            <w:r>
              <w:rPr>
                <w:rFonts w:ascii="Times New Roman" w:hAnsi="宋体" w:eastAsia="宋体"/>
                <w:sz w:val="24"/>
                <w:highlight w:val="none"/>
              </w:rPr>
              <w:t>零配件名称</w:t>
            </w:r>
          </w:p>
        </w:tc>
        <w:tc>
          <w:tcPr>
            <w:tcW w:w="1742" w:type="dxa"/>
            <w:gridSpan w:val="5"/>
            <w:noWrap/>
            <w:vAlign w:val="center"/>
          </w:tcPr>
          <w:p>
            <w:pPr>
              <w:spacing w:line="300" w:lineRule="exact"/>
              <w:jc w:val="center"/>
              <w:rPr>
                <w:rFonts w:ascii="Times New Roman" w:hAnsi="Times New Roman" w:eastAsia="宋体"/>
                <w:sz w:val="24"/>
              </w:rPr>
            </w:pPr>
            <w:r>
              <w:rPr>
                <w:rFonts w:ascii="Times New Roman" w:hAnsi="宋体" w:eastAsia="宋体"/>
                <w:sz w:val="24"/>
              </w:rPr>
              <w:t>价格（进价）</w:t>
            </w:r>
          </w:p>
        </w:tc>
        <w:tc>
          <w:tcPr>
            <w:tcW w:w="1556" w:type="dxa"/>
            <w:gridSpan w:val="4"/>
            <w:noWrap/>
            <w:vAlign w:val="center"/>
          </w:tcPr>
          <w:p>
            <w:pPr>
              <w:spacing w:line="300" w:lineRule="exact"/>
              <w:jc w:val="center"/>
              <w:rPr>
                <w:rFonts w:ascii="Times New Roman" w:hAnsi="Times New Roman" w:eastAsia="宋体"/>
                <w:sz w:val="24"/>
              </w:rPr>
            </w:pPr>
            <w:r>
              <w:rPr>
                <w:rFonts w:ascii="Times New Roman" w:hAnsi="宋体" w:eastAsia="宋体"/>
                <w:sz w:val="24"/>
              </w:rPr>
              <w:t>承诺质保期</w:t>
            </w:r>
          </w:p>
        </w:tc>
        <w:tc>
          <w:tcPr>
            <w:tcW w:w="1631" w:type="dxa"/>
            <w:gridSpan w:val="3"/>
            <w:noWrap/>
            <w:vAlign w:val="center"/>
          </w:tcPr>
          <w:p>
            <w:pPr>
              <w:spacing w:line="300" w:lineRule="exact"/>
              <w:jc w:val="center"/>
              <w:rPr>
                <w:rFonts w:hint="eastAsia" w:ascii="Times New Roman" w:hAnsi="Times New Roman" w:eastAsia="宋体"/>
                <w:sz w:val="24"/>
                <w:lang w:eastAsia="zh-CN"/>
              </w:rPr>
            </w:pPr>
            <w:r>
              <w:rPr>
                <w:rFonts w:hint="eastAsia" w:ascii="Times New Roman" w:hAnsi="宋体" w:eastAsia="宋体"/>
                <w:sz w:val="24"/>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6" w:hRule="atLeast"/>
          <w:jc w:val="center"/>
        </w:trPr>
        <w:tc>
          <w:tcPr>
            <w:tcW w:w="606" w:type="dxa"/>
            <w:gridSpan w:val="2"/>
            <w:noWrap/>
            <w:vAlign w:val="center"/>
          </w:tcPr>
          <w:p>
            <w:pPr>
              <w:keepNext w:val="0"/>
              <w:keepLines w:val="0"/>
              <w:widowControl/>
              <w:suppressLineNumbers w:val="0"/>
              <w:jc w:val="center"/>
              <w:textAlignment w:val="center"/>
              <w:rPr>
                <w:rFonts w:hint="eastAsia" w:ascii="Times New Roman" w:hAnsi="Times New Roman" w:eastAsia="宋体"/>
                <w:sz w:val="24"/>
                <w:lang w:val="en-US" w:eastAsia="zh-CN"/>
              </w:rPr>
            </w:pPr>
            <w:r>
              <w:rPr>
                <w:rFonts w:hint="eastAsia" w:ascii="宋体" w:hAnsi="宋体" w:eastAsia="宋体" w:cs="宋体"/>
                <w:i w:val="0"/>
                <w:iCs w:val="0"/>
                <w:color w:val="000000"/>
                <w:sz w:val="24"/>
                <w:szCs w:val="24"/>
                <w:u w:val="none"/>
                <w:lang w:val="en-US" w:eastAsia="zh-CN"/>
              </w:rPr>
              <w:t xml:space="preserve">  一、</w:t>
            </w:r>
          </w:p>
        </w:tc>
        <w:tc>
          <w:tcPr>
            <w:tcW w:w="4143" w:type="dxa"/>
            <w:gridSpan w:val="6"/>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常用零配件</w:t>
            </w:r>
          </w:p>
        </w:tc>
        <w:tc>
          <w:tcPr>
            <w:tcW w:w="1742" w:type="dxa"/>
            <w:gridSpan w:val="5"/>
            <w:noWrap/>
            <w:vAlign w:val="center"/>
          </w:tcPr>
          <w:p>
            <w:pPr>
              <w:spacing w:line="300" w:lineRule="exact"/>
              <w:jc w:val="center"/>
              <w:rPr>
                <w:rFonts w:ascii="Times New Roman" w:hAnsi="Times New Roman" w:eastAsia="宋体"/>
                <w:sz w:val="24"/>
              </w:rPr>
            </w:pPr>
          </w:p>
        </w:tc>
        <w:tc>
          <w:tcPr>
            <w:tcW w:w="1556" w:type="dxa"/>
            <w:gridSpan w:val="4"/>
            <w:noWrap/>
            <w:vAlign w:val="center"/>
          </w:tcPr>
          <w:p>
            <w:pPr>
              <w:spacing w:line="300" w:lineRule="exact"/>
              <w:jc w:val="center"/>
              <w:rPr>
                <w:rFonts w:ascii="Times New Roman" w:hAnsi="Times New Roman" w:eastAsia="宋体"/>
                <w:sz w:val="24"/>
              </w:rPr>
            </w:pPr>
          </w:p>
        </w:tc>
        <w:tc>
          <w:tcPr>
            <w:tcW w:w="163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6" w:hRule="atLeast"/>
          <w:jc w:val="center"/>
        </w:trPr>
        <w:tc>
          <w:tcPr>
            <w:tcW w:w="606" w:type="dxa"/>
            <w:gridSpan w:val="2"/>
            <w:noWrap/>
            <w:vAlign w:val="center"/>
          </w:tcPr>
          <w:p>
            <w:pPr>
              <w:keepNext w:val="0"/>
              <w:keepLines w:val="0"/>
              <w:widowControl/>
              <w:suppressLineNumbers w:val="0"/>
              <w:jc w:val="center"/>
              <w:textAlignment w:val="center"/>
              <w:rPr>
                <w:rFonts w:hint="eastAsia" w:ascii="Times New Roman" w:hAnsi="Times New Roman" w:eastAsia="宋体"/>
                <w:sz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4143" w:type="dxa"/>
            <w:gridSpan w:val="6"/>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机油</w:t>
            </w:r>
          </w:p>
        </w:tc>
        <w:tc>
          <w:tcPr>
            <w:tcW w:w="1742" w:type="dxa"/>
            <w:gridSpan w:val="5"/>
            <w:noWrap/>
            <w:vAlign w:val="center"/>
          </w:tcPr>
          <w:p>
            <w:pPr>
              <w:spacing w:line="300" w:lineRule="exact"/>
              <w:jc w:val="center"/>
              <w:rPr>
                <w:rFonts w:ascii="Times New Roman" w:hAnsi="Times New Roman" w:eastAsia="宋体"/>
                <w:sz w:val="24"/>
              </w:rPr>
            </w:pPr>
          </w:p>
        </w:tc>
        <w:tc>
          <w:tcPr>
            <w:tcW w:w="1556" w:type="dxa"/>
            <w:gridSpan w:val="4"/>
            <w:noWrap/>
            <w:vAlign w:val="center"/>
          </w:tcPr>
          <w:p>
            <w:pPr>
              <w:spacing w:line="300" w:lineRule="exact"/>
              <w:jc w:val="center"/>
              <w:rPr>
                <w:rFonts w:ascii="Times New Roman" w:hAnsi="Times New Roman" w:eastAsia="宋体"/>
                <w:sz w:val="24"/>
              </w:rPr>
            </w:pPr>
          </w:p>
        </w:tc>
        <w:tc>
          <w:tcPr>
            <w:tcW w:w="163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6" w:hRule="atLeast"/>
          <w:jc w:val="center"/>
        </w:trPr>
        <w:tc>
          <w:tcPr>
            <w:tcW w:w="606" w:type="dxa"/>
            <w:gridSpan w:val="2"/>
            <w:noWrap/>
            <w:vAlign w:val="center"/>
          </w:tcPr>
          <w:p>
            <w:pPr>
              <w:keepNext w:val="0"/>
              <w:keepLines w:val="0"/>
              <w:widowControl/>
              <w:suppressLineNumbers w:val="0"/>
              <w:jc w:val="center"/>
              <w:textAlignment w:val="center"/>
              <w:rPr>
                <w:rFonts w:hint="eastAsia" w:ascii="Times New Roman" w:hAnsi="Times New Roman" w:eastAsia="宋体"/>
                <w:sz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4143" w:type="dxa"/>
            <w:gridSpan w:val="6"/>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机油滤清器</w:t>
            </w:r>
          </w:p>
        </w:tc>
        <w:tc>
          <w:tcPr>
            <w:tcW w:w="1742" w:type="dxa"/>
            <w:gridSpan w:val="5"/>
            <w:noWrap/>
            <w:vAlign w:val="center"/>
          </w:tcPr>
          <w:p>
            <w:pPr>
              <w:spacing w:line="300" w:lineRule="exact"/>
              <w:jc w:val="center"/>
              <w:rPr>
                <w:rFonts w:ascii="Times New Roman" w:hAnsi="Times New Roman" w:eastAsia="宋体"/>
                <w:sz w:val="24"/>
              </w:rPr>
            </w:pPr>
          </w:p>
        </w:tc>
        <w:tc>
          <w:tcPr>
            <w:tcW w:w="1556" w:type="dxa"/>
            <w:gridSpan w:val="4"/>
            <w:noWrap/>
            <w:vAlign w:val="center"/>
          </w:tcPr>
          <w:p>
            <w:pPr>
              <w:spacing w:line="300" w:lineRule="exact"/>
              <w:jc w:val="center"/>
              <w:rPr>
                <w:rFonts w:ascii="Times New Roman" w:hAnsi="Times New Roman" w:eastAsia="宋体"/>
                <w:sz w:val="24"/>
              </w:rPr>
            </w:pPr>
          </w:p>
        </w:tc>
        <w:tc>
          <w:tcPr>
            <w:tcW w:w="163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6" w:hRule="atLeast"/>
          <w:jc w:val="center"/>
        </w:trPr>
        <w:tc>
          <w:tcPr>
            <w:tcW w:w="606" w:type="dxa"/>
            <w:gridSpan w:val="2"/>
            <w:noWrap/>
            <w:vAlign w:val="center"/>
          </w:tcPr>
          <w:p>
            <w:pPr>
              <w:keepNext w:val="0"/>
              <w:keepLines w:val="0"/>
              <w:widowControl/>
              <w:suppressLineNumbers w:val="0"/>
              <w:jc w:val="center"/>
              <w:textAlignment w:val="center"/>
              <w:rPr>
                <w:rFonts w:hint="eastAsia" w:ascii="Times New Roman" w:hAnsi="Times New Roman" w:eastAsia="宋体"/>
                <w:sz w:val="24"/>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4143" w:type="dxa"/>
            <w:gridSpan w:val="6"/>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空气滤芯</w:t>
            </w:r>
          </w:p>
        </w:tc>
        <w:tc>
          <w:tcPr>
            <w:tcW w:w="1742" w:type="dxa"/>
            <w:gridSpan w:val="5"/>
            <w:noWrap/>
            <w:vAlign w:val="center"/>
          </w:tcPr>
          <w:p>
            <w:pPr>
              <w:spacing w:line="300" w:lineRule="exact"/>
              <w:jc w:val="center"/>
              <w:rPr>
                <w:rFonts w:ascii="Times New Roman" w:hAnsi="Times New Roman" w:eastAsia="宋体"/>
                <w:sz w:val="24"/>
              </w:rPr>
            </w:pPr>
          </w:p>
        </w:tc>
        <w:tc>
          <w:tcPr>
            <w:tcW w:w="1556" w:type="dxa"/>
            <w:gridSpan w:val="4"/>
            <w:noWrap/>
            <w:vAlign w:val="center"/>
          </w:tcPr>
          <w:p>
            <w:pPr>
              <w:spacing w:line="300" w:lineRule="exact"/>
              <w:jc w:val="center"/>
              <w:rPr>
                <w:rFonts w:ascii="Times New Roman" w:hAnsi="Times New Roman" w:eastAsia="宋体"/>
                <w:sz w:val="24"/>
              </w:rPr>
            </w:pPr>
          </w:p>
        </w:tc>
        <w:tc>
          <w:tcPr>
            <w:tcW w:w="163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6" w:hRule="atLeast"/>
          <w:jc w:val="center"/>
        </w:trPr>
        <w:tc>
          <w:tcPr>
            <w:tcW w:w="606" w:type="dxa"/>
            <w:gridSpan w:val="2"/>
            <w:noWrap/>
            <w:vAlign w:val="center"/>
          </w:tcPr>
          <w:p>
            <w:pPr>
              <w:keepNext w:val="0"/>
              <w:keepLines w:val="0"/>
              <w:widowControl/>
              <w:suppressLineNumbers w:val="0"/>
              <w:jc w:val="center"/>
              <w:textAlignment w:val="center"/>
              <w:rPr>
                <w:rFonts w:hint="eastAsia" w:ascii="Times New Roman" w:hAnsi="Times New Roman" w:eastAsia="宋体"/>
                <w:sz w:val="24"/>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4143" w:type="dxa"/>
            <w:gridSpan w:val="6"/>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柴滤</w:t>
            </w:r>
          </w:p>
        </w:tc>
        <w:tc>
          <w:tcPr>
            <w:tcW w:w="1742" w:type="dxa"/>
            <w:gridSpan w:val="5"/>
            <w:noWrap/>
            <w:vAlign w:val="center"/>
          </w:tcPr>
          <w:p>
            <w:pPr>
              <w:spacing w:line="300" w:lineRule="exact"/>
              <w:jc w:val="center"/>
              <w:rPr>
                <w:rFonts w:ascii="Times New Roman" w:hAnsi="Times New Roman" w:eastAsia="宋体"/>
                <w:sz w:val="24"/>
              </w:rPr>
            </w:pPr>
          </w:p>
        </w:tc>
        <w:tc>
          <w:tcPr>
            <w:tcW w:w="1556" w:type="dxa"/>
            <w:gridSpan w:val="4"/>
            <w:noWrap/>
            <w:vAlign w:val="center"/>
          </w:tcPr>
          <w:p>
            <w:pPr>
              <w:spacing w:line="300" w:lineRule="exact"/>
              <w:jc w:val="center"/>
              <w:rPr>
                <w:rFonts w:ascii="Times New Roman" w:hAnsi="Times New Roman" w:eastAsia="宋体"/>
                <w:sz w:val="24"/>
              </w:rPr>
            </w:pPr>
          </w:p>
        </w:tc>
        <w:tc>
          <w:tcPr>
            <w:tcW w:w="163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6" w:hRule="atLeast"/>
          <w:jc w:val="center"/>
        </w:trPr>
        <w:tc>
          <w:tcPr>
            <w:tcW w:w="606" w:type="dxa"/>
            <w:gridSpan w:val="2"/>
            <w:noWrap/>
            <w:vAlign w:val="center"/>
          </w:tcPr>
          <w:p>
            <w:pPr>
              <w:keepNext w:val="0"/>
              <w:keepLines w:val="0"/>
              <w:widowControl/>
              <w:suppressLineNumbers w:val="0"/>
              <w:jc w:val="center"/>
              <w:textAlignment w:val="center"/>
              <w:rPr>
                <w:rFonts w:hint="eastAsia" w:ascii="Times New Roman" w:hAnsi="Times New Roman" w:eastAsia="宋体"/>
                <w:sz w:val="24"/>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4143" w:type="dxa"/>
            <w:gridSpan w:val="6"/>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发电机皮带</w:t>
            </w:r>
          </w:p>
        </w:tc>
        <w:tc>
          <w:tcPr>
            <w:tcW w:w="1742" w:type="dxa"/>
            <w:gridSpan w:val="5"/>
            <w:noWrap/>
            <w:vAlign w:val="center"/>
          </w:tcPr>
          <w:p>
            <w:pPr>
              <w:spacing w:line="300" w:lineRule="exact"/>
              <w:jc w:val="center"/>
              <w:rPr>
                <w:rFonts w:ascii="Times New Roman" w:hAnsi="Times New Roman" w:eastAsia="宋体"/>
                <w:sz w:val="24"/>
              </w:rPr>
            </w:pPr>
          </w:p>
        </w:tc>
        <w:tc>
          <w:tcPr>
            <w:tcW w:w="1556" w:type="dxa"/>
            <w:gridSpan w:val="4"/>
            <w:noWrap/>
            <w:vAlign w:val="center"/>
          </w:tcPr>
          <w:p>
            <w:pPr>
              <w:spacing w:line="300" w:lineRule="exact"/>
              <w:jc w:val="center"/>
              <w:rPr>
                <w:rFonts w:ascii="Times New Roman" w:hAnsi="Times New Roman" w:eastAsia="宋体"/>
                <w:sz w:val="24"/>
              </w:rPr>
            </w:pPr>
          </w:p>
        </w:tc>
        <w:tc>
          <w:tcPr>
            <w:tcW w:w="163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6" w:hRule="atLeast"/>
          <w:jc w:val="center"/>
        </w:trPr>
        <w:tc>
          <w:tcPr>
            <w:tcW w:w="606" w:type="dxa"/>
            <w:gridSpan w:val="2"/>
            <w:noWrap/>
            <w:vAlign w:val="center"/>
          </w:tcPr>
          <w:p>
            <w:pPr>
              <w:keepNext w:val="0"/>
              <w:keepLines w:val="0"/>
              <w:widowControl/>
              <w:suppressLineNumbers w:val="0"/>
              <w:jc w:val="center"/>
              <w:textAlignment w:val="center"/>
              <w:rPr>
                <w:rFonts w:hint="eastAsia" w:ascii="Times New Roman" w:hAnsi="Times New Roman" w:eastAsia="宋体"/>
                <w:sz w:val="24"/>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4143" w:type="dxa"/>
            <w:gridSpan w:val="6"/>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空调皮带</w:t>
            </w:r>
          </w:p>
        </w:tc>
        <w:tc>
          <w:tcPr>
            <w:tcW w:w="1742" w:type="dxa"/>
            <w:gridSpan w:val="5"/>
            <w:noWrap/>
            <w:vAlign w:val="center"/>
          </w:tcPr>
          <w:p>
            <w:pPr>
              <w:spacing w:line="300" w:lineRule="exact"/>
              <w:jc w:val="center"/>
              <w:rPr>
                <w:rFonts w:ascii="Times New Roman" w:hAnsi="Times New Roman" w:eastAsia="宋体"/>
                <w:sz w:val="24"/>
              </w:rPr>
            </w:pPr>
          </w:p>
        </w:tc>
        <w:tc>
          <w:tcPr>
            <w:tcW w:w="1556" w:type="dxa"/>
            <w:gridSpan w:val="4"/>
            <w:noWrap/>
            <w:vAlign w:val="center"/>
          </w:tcPr>
          <w:p>
            <w:pPr>
              <w:spacing w:line="300" w:lineRule="exact"/>
              <w:jc w:val="center"/>
              <w:rPr>
                <w:rFonts w:ascii="Times New Roman" w:hAnsi="Times New Roman" w:eastAsia="宋体"/>
                <w:sz w:val="24"/>
              </w:rPr>
            </w:pPr>
          </w:p>
        </w:tc>
        <w:tc>
          <w:tcPr>
            <w:tcW w:w="163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6" w:hRule="atLeast"/>
          <w:jc w:val="center"/>
        </w:trPr>
        <w:tc>
          <w:tcPr>
            <w:tcW w:w="606" w:type="dxa"/>
            <w:gridSpan w:val="2"/>
            <w:noWrap/>
            <w:vAlign w:val="center"/>
          </w:tcPr>
          <w:p>
            <w:pPr>
              <w:keepNext w:val="0"/>
              <w:keepLines w:val="0"/>
              <w:widowControl/>
              <w:suppressLineNumbers w:val="0"/>
              <w:jc w:val="center"/>
              <w:textAlignment w:val="center"/>
              <w:rPr>
                <w:rFonts w:hint="eastAsia" w:ascii="Times New Roman" w:hAnsi="Times New Roman" w:eastAsia="宋体"/>
                <w:sz w:val="24"/>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4143" w:type="dxa"/>
            <w:gridSpan w:val="6"/>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底置冷凝器总成</w:t>
            </w:r>
          </w:p>
        </w:tc>
        <w:tc>
          <w:tcPr>
            <w:tcW w:w="1742" w:type="dxa"/>
            <w:gridSpan w:val="5"/>
            <w:noWrap/>
            <w:vAlign w:val="center"/>
          </w:tcPr>
          <w:p>
            <w:pPr>
              <w:spacing w:line="300" w:lineRule="exact"/>
              <w:jc w:val="center"/>
              <w:rPr>
                <w:rFonts w:ascii="Times New Roman" w:hAnsi="Times New Roman" w:eastAsia="宋体"/>
                <w:sz w:val="24"/>
              </w:rPr>
            </w:pPr>
          </w:p>
        </w:tc>
        <w:tc>
          <w:tcPr>
            <w:tcW w:w="1556" w:type="dxa"/>
            <w:gridSpan w:val="4"/>
            <w:noWrap/>
            <w:vAlign w:val="center"/>
          </w:tcPr>
          <w:p>
            <w:pPr>
              <w:spacing w:line="300" w:lineRule="exact"/>
              <w:jc w:val="center"/>
              <w:rPr>
                <w:rFonts w:ascii="Times New Roman" w:hAnsi="Times New Roman" w:eastAsia="宋体"/>
                <w:sz w:val="24"/>
              </w:rPr>
            </w:pPr>
          </w:p>
        </w:tc>
        <w:tc>
          <w:tcPr>
            <w:tcW w:w="163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6" w:hRule="atLeast"/>
          <w:jc w:val="center"/>
        </w:trPr>
        <w:tc>
          <w:tcPr>
            <w:tcW w:w="606" w:type="dxa"/>
            <w:gridSpan w:val="2"/>
            <w:noWrap/>
            <w:vAlign w:val="center"/>
          </w:tcPr>
          <w:p>
            <w:pPr>
              <w:keepNext w:val="0"/>
              <w:keepLines w:val="0"/>
              <w:widowControl/>
              <w:suppressLineNumbers w:val="0"/>
              <w:jc w:val="center"/>
              <w:textAlignment w:val="center"/>
              <w:rPr>
                <w:rFonts w:hint="eastAsia" w:ascii="Times New Roman" w:hAnsi="Times New Roman" w:eastAsia="宋体"/>
                <w:sz w:val="24"/>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4143" w:type="dxa"/>
            <w:gridSpan w:val="6"/>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方向机总成</w:t>
            </w:r>
          </w:p>
        </w:tc>
        <w:tc>
          <w:tcPr>
            <w:tcW w:w="1742" w:type="dxa"/>
            <w:gridSpan w:val="5"/>
            <w:noWrap/>
            <w:vAlign w:val="center"/>
          </w:tcPr>
          <w:p>
            <w:pPr>
              <w:spacing w:line="300" w:lineRule="exact"/>
              <w:jc w:val="center"/>
              <w:rPr>
                <w:rFonts w:ascii="Times New Roman" w:hAnsi="Times New Roman" w:eastAsia="宋体"/>
                <w:sz w:val="24"/>
              </w:rPr>
            </w:pPr>
          </w:p>
        </w:tc>
        <w:tc>
          <w:tcPr>
            <w:tcW w:w="1556" w:type="dxa"/>
            <w:gridSpan w:val="4"/>
            <w:noWrap/>
            <w:vAlign w:val="center"/>
          </w:tcPr>
          <w:p>
            <w:pPr>
              <w:spacing w:line="300" w:lineRule="exact"/>
              <w:jc w:val="center"/>
              <w:rPr>
                <w:rFonts w:ascii="Times New Roman" w:hAnsi="Times New Roman" w:eastAsia="宋体"/>
                <w:sz w:val="24"/>
              </w:rPr>
            </w:pPr>
          </w:p>
        </w:tc>
        <w:tc>
          <w:tcPr>
            <w:tcW w:w="163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6" w:hRule="atLeast"/>
          <w:jc w:val="center"/>
        </w:trPr>
        <w:tc>
          <w:tcPr>
            <w:tcW w:w="606" w:type="dxa"/>
            <w:gridSpan w:val="2"/>
            <w:noWrap/>
            <w:vAlign w:val="center"/>
          </w:tcPr>
          <w:p>
            <w:pPr>
              <w:keepNext w:val="0"/>
              <w:keepLines w:val="0"/>
              <w:widowControl/>
              <w:suppressLineNumbers w:val="0"/>
              <w:jc w:val="center"/>
              <w:textAlignment w:val="center"/>
              <w:rPr>
                <w:rFonts w:hint="default" w:ascii="Times New Roman" w:hAnsi="Times New Roman" w:eastAsia="宋体"/>
                <w:sz w:val="24"/>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4143" w:type="dxa"/>
            <w:gridSpan w:val="6"/>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传动轴（长轴）</w:t>
            </w:r>
          </w:p>
        </w:tc>
        <w:tc>
          <w:tcPr>
            <w:tcW w:w="1742" w:type="dxa"/>
            <w:gridSpan w:val="5"/>
            <w:noWrap/>
            <w:vAlign w:val="center"/>
          </w:tcPr>
          <w:p>
            <w:pPr>
              <w:spacing w:line="300" w:lineRule="exact"/>
              <w:jc w:val="center"/>
              <w:rPr>
                <w:rFonts w:ascii="Times New Roman" w:hAnsi="Times New Roman" w:eastAsia="宋体"/>
                <w:sz w:val="24"/>
              </w:rPr>
            </w:pPr>
          </w:p>
        </w:tc>
        <w:tc>
          <w:tcPr>
            <w:tcW w:w="1556" w:type="dxa"/>
            <w:gridSpan w:val="4"/>
            <w:noWrap/>
            <w:vAlign w:val="center"/>
          </w:tcPr>
          <w:p>
            <w:pPr>
              <w:spacing w:line="300" w:lineRule="exact"/>
              <w:jc w:val="center"/>
              <w:rPr>
                <w:rFonts w:ascii="Times New Roman" w:hAnsi="Times New Roman" w:eastAsia="宋体"/>
                <w:sz w:val="24"/>
              </w:rPr>
            </w:pPr>
          </w:p>
        </w:tc>
        <w:tc>
          <w:tcPr>
            <w:tcW w:w="163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6" w:hRule="atLeast"/>
          <w:jc w:val="center"/>
        </w:trPr>
        <w:tc>
          <w:tcPr>
            <w:tcW w:w="606" w:type="dxa"/>
            <w:gridSpan w:val="2"/>
            <w:noWrap/>
            <w:vAlign w:val="center"/>
          </w:tcPr>
          <w:p>
            <w:pPr>
              <w:keepNext w:val="0"/>
              <w:keepLines w:val="0"/>
              <w:widowControl/>
              <w:suppressLineNumbers w:val="0"/>
              <w:jc w:val="center"/>
              <w:textAlignment w:val="center"/>
              <w:rPr>
                <w:rFonts w:hint="default" w:ascii="Times New Roman" w:hAnsi="Times New Roman" w:eastAsia="宋体"/>
                <w:sz w:val="24"/>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4143" w:type="dxa"/>
            <w:gridSpan w:val="6"/>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高压共轨</w:t>
            </w:r>
          </w:p>
        </w:tc>
        <w:tc>
          <w:tcPr>
            <w:tcW w:w="1742" w:type="dxa"/>
            <w:gridSpan w:val="5"/>
            <w:noWrap/>
            <w:vAlign w:val="center"/>
          </w:tcPr>
          <w:p>
            <w:pPr>
              <w:spacing w:line="300" w:lineRule="exact"/>
              <w:jc w:val="center"/>
              <w:rPr>
                <w:rFonts w:ascii="Times New Roman" w:hAnsi="Times New Roman" w:eastAsia="宋体"/>
                <w:sz w:val="24"/>
              </w:rPr>
            </w:pPr>
          </w:p>
        </w:tc>
        <w:tc>
          <w:tcPr>
            <w:tcW w:w="1556" w:type="dxa"/>
            <w:gridSpan w:val="4"/>
            <w:noWrap/>
            <w:vAlign w:val="center"/>
          </w:tcPr>
          <w:p>
            <w:pPr>
              <w:spacing w:line="300" w:lineRule="exact"/>
              <w:jc w:val="center"/>
              <w:rPr>
                <w:rFonts w:ascii="Times New Roman" w:hAnsi="Times New Roman" w:eastAsia="宋体"/>
                <w:sz w:val="24"/>
              </w:rPr>
            </w:pPr>
          </w:p>
        </w:tc>
        <w:tc>
          <w:tcPr>
            <w:tcW w:w="163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6" w:hRule="atLeast"/>
          <w:jc w:val="center"/>
        </w:trPr>
        <w:tc>
          <w:tcPr>
            <w:tcW w:w="606" w:type="dxa"/>
            <w:gridSpan w:val="2"/>
            <w:noWrap/>
            <w:vAlign w:val="center"/>
          </w:tcPr>
          <w:p>
            <w:pPr>
              <w:keepNext w:val="0"/>
              <w:keepLines w:val="0"/>
              <w:widowControl/>
              <w:suppressLineNumbers w:val="0"/>
              <w:jc w:val="center"/>
              <w:textAlignment w:val="center"/>
              <w:rPr>
                <w:rFonts w:hint="default" w:ascii="Times New Roman" w:hAnsi="Times New Roman" w:eastAsia="宋体"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4143" w:type="dxa"/>
            <w:gridSpan w:val="6"/>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压差传感器</w:t>
            </w:r>
          </w:p>
        </w:tc>
        <w:tc>
          <w:tcPr>
            <w:tcW w:w="1742" w:type="dxa"/>
            <w:gridSpan w:val="5"/>
            <w:noWrap/>
            <w:vAlign w:val="center"/>
          </w:tcPr>
          <w:p>
            <w:pPr>
              <w:spacing w:line="300" w:lineRule="exact"/>
              <w:jc w:val="center"/>
              <w:rPr>
                <w:rFonts w:ascii="Times New Roman" w:hAnsi="Times New Roman" w:eastAsia="宋体"/>
                <w:sz w:val="24"/>
              </w:rPr>
            </w:pPr>
          </w:p>
        </w:tc>
        <w:tc>
          <w:tcPr>
            <w:tcW w:w="1556" w:type="dxa"/>
            <w:gridSpan w:val="4"/>
            <w:noWrap/>
            <w:vAlign w:val="center"/>
          </w:tcPr>
          <w:p>
            <w:pPr>
              <w:spacing w:line="300" w:lineRule="exact"/>
              <w:jc w:val="center"/>
              <w:rPr>
                <w:rFonts w:ascii="Times New Roman" w:hAnsi="Times New Roman" w:eastAsia="宋体"/>
                <w:sz w:val="24"/>
              </w:rPr>
            </w:pPr>
          </w:p>
        </w:tc>
        <w:tc>
          <w:tcPr>
            <w:tcW w:w="163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6" w:hRule="atLeast"/>
          <w:jc w:val="center"/>
        </w:trPr>
        <w:tc>
          <w:tcPr>
            <w:tcW w:w="606" w:type="dxa"/>
            <w:gridSpan w:val="2"/>
            <w:noWrap/>
            <w:vAlign w:val="center"/>
          </w:tcPr>
          <w:p>
            <w:pPr>
              <w:keepNext w:val="0"/>
              <w:keepLines w:val="0"/>
              <w:widowControl/>
              <w:suppressLineNumbers w:val="0"/>
              <w:jc w:val="center"/>
              <w:textAlignment w:val="center"/>
              <w:rPr>
                <w:rFonts w:hint="default" w:ascii="Times New Roman" w:hAnsi="Times New Roman" w:eastAsia="宋体"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4143" w:type="dxa"/>
            <w:gridSpan w:val="6"/>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高压燃油轨道电磁阀</w:t>
            </w:r>
          </w:p>
        </w:tc>
        <w:tc>
          <w:tcPr>
            <w:tcW w:w="1742" w:type="dxa"/>
            <w:gridSpan w:val="5"/>
            <w:noWrap/>
            <w:vAlign w:val="center"/>
          </w:tcPr>
          <w:p>
            <w:pPr>
              <w:spacing w:line="300" w:lineRule="exact"/>
              <w:jc w:val="center"/>
              <w:rPr>
                <w:rFonts w:ascii="Times New Roman" w:hAnsi="Times New Roman" w:eastAsia="宋体"/>
                <w:sz w:val="24"/>
              </w:rPr>
            </w:pPr>
          </w:p>
        </w:tc>
        <w:tc>
          <w:tcPr>
            <w:tcW w:w="1556" w:type="dxa"/>
            <w:gridSpan w:val="4"/>
            <w:noWrap/>
            <w:vAlign w:val="center"/>
          </w:tcPr>
          <w:p>
            <w:pPr>
              <w:spacing w:line="300" w:lineRule="exact"/>
              <w:jc w:val="center"/>
              <w:rPr>
                <w:rFonts w:ascii="Times New Roman" w:hAnsi="Times New Roman" w:eastAsia="宋体"/>
                <w:sz w:val="24"/>
              </w:rPr>
            </w:pPr>
          </w:p>
        </w:tc>
        <w:tc>
          <w:tcPr>
            <w:tcW w:w="163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6" w:hRule="atLeast"/>
          <w:jc w:val="center"/>
        </w:trPr>
        <w:tc>
          <w:tcPr>
            <w:tcW w:w="606" w:type="dxa"/>
            <w:gridSpan w:val="2"/>
            <w:noWrap/>
            <w:vAlign w:val="center"/>
          </w:tcPr>
          <w:p>
            <w:pPr>
              <w:keepNext w:val="0"/>
              <w:keepLines w:val="0"/>
              <w:widowControl/>
              <w:suppressLineNumbers w:val="0"/>
              <w:jc w:val="center"/>
              <w:textAlignment w:val="center"/>
              <w:rPr>
                <w:rFonts w:hint="default" w:ascii="Times New Roman" w:hAnsi="Times New Roman" w:eastAsia="宋体"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13</w:t>
            </w:r>
          </w:p>
        </w:tc>
        <w:tc>
          <w:tcPr>
            <w:tcW w:w="4143" w:type="dxa"/>
            <w:gridSpan w:val="6"/>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喷油嘴总成</w:t>
            </w:r>
          </w:p>
        </w:tc>
        <w:tc>
          <w:tcPr>
            <w:tcW w:w="1742" w:type="dxa"/>
            <w:gridSpan w:val="5"/>
            <w:noWrap/>
            <w:vAlign w:val="center"/>
          </w:tcPr>
          <w:p>
            <w:pPr>
              <w:spacing w:line="300" w:lineRule="exact"/>
              <w:jc w:val="center"/>
              <w:rPr>
                <w:rFonts w:ascii="Times New Roman" w:hAnsi="Times New Roman" w:eastAsia="宋体"/>
                <w:sz w:val="24"/>
              </w:rPr>
            </w:pPr>
          </w:p>
        </w:tc>
        <w:tc>
          <w:tcPr>
            <w:tcW w:w="1556" w:type="dxa"/>
            <w:gridSpan w:val="4"/>
            <w:noWrap/>
            <w:vAlign w:val="center"/>
          </w:tcPr>
          <w:p>
            <w:pPr>
              <w:spacing w:line="300" w:lineRule="exact"/>
              <w:jc w:val="center"/>
              <w:rPr>
                <w:rFonts w:ascii="Times New Roman" w:hAnsi="Times New Roman" w:eastAsia="宋体"/>
                <w:sz w:val="24"/>
              </w:rPr>
            </w:pPr>
          </w:p>
        </w:tc>
        <w:tc>
          <w:tcPr>
            <w:tcW w:w="163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6" w:hRule="atLeast"/>
          <w:jc w:val="center"/>
        </w:trPr>
        <w:tc>
          <w:tcPr>
            <w:tcW w:w="606" w:type="dxa"/>
            <w:gridSpan w:val="2"/>
            <w:noWrap/>
            <w:vAlign w:val="center"/>
          </w:tcPr>
          <w:p>
            <w:pPr>
              <w:keepNext w:val="0"/>
              <w:keepLines w:val="0"/>
              <w:widowControl/>
              <w:suppressLineNumbers w:val="0"/>
              <w:jc w:val="center"/>
              <w:textAlignment w:val="center"/>
              <w:rPr>
                <w:rFonts w:hint="default" w:ascii="Times New Roman" w:hAnsi="Times New Roman" w:eastAsia="宋体"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14</w:t>
            </w:r>
          </w:p>
        </w:tc>
        <w:tc>
          <w:tcPr>
            <w:tcW w:w="4143" w:type="dxa"/>
            <w:gridSpan w:val="6"/>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尿素泵总成</w:t>
            </w:r>
          </w:p>
        </w:tc>
        <w:tc>
          <w:tcPr>
            <w:tcW w:w="1742" w:type="dxa"/>
            <w:gridSpan w:val="5"/>
            <w:noWrap/>
            <w:vAlign w:val="center"/>
          </w:tcPr>
          <w:p>
            <w:pPr>
              <w:spacing w:line="300" w:lineRule="exact"/>
              <w:jc w:val="center"/>
              <w:rPr>
                <w:rFonts w:ascii="Times New Roman" w:hAnsi="Times New Roman" w:eastAsia="宋体"/>
                <w:sz w:val="24"/>
              </w:rPr>
            </w:pPr>
          </w:p>
        </w:tc>
        <w:tc>
          <w:tcPr>
            <w:tcW w:w="1556" w:type="dxa"/>
            <w:gridSpan w:val="4"/>
            <w:noWrap/>
            <w:vAlign w:val="center"/>
          </w:tcPr>
          <w:p>
            <w:pPr>
              <w:spacing w:line="300" w:lineRule="exact"/>
              <w:jc w:val="center"/>
              <w:rPr>
                <w:rFonts w:ascii="Times New Roman" w:hAnsi="Times New Roman" w:eastAsia="宋体"/>
                <w:sz w:val="24"/>
              </w:rPr>
            </w:pPr>
          </w:p>
        </w:tc>
        <w:tc>
          <w:tcPr>
            <w:tcW w:w="163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76" w:hRule="atLeast"/>
          <w:jc w:val="center"/>
        </w:trPr>
        <w:tc>
          <w:tcPr>
            <w:tcW w:w="606" w:type="dxa"/>
            <w:gridSpan w:val="2"/>
            <w:noWrap/>
            <w:vAlign w:val="center"/>
          </w:tcPr>
          <w:p>
            <w:pPr>
              <w:keepNext w:val="0"/>
              <w:keepLines w:val="0"/>
              <w:widowControl/>
              <w:suppressLineNumbers w:val="0"/>
              <w:jc w:val="center"/>
              <w:textAlignment w:val="center"/>
              <w:rPr>
                <w:rFonts w:hint="default" w:ascii="Times New Roman" w:hAnsi="Times New Roman" w:eastAsia="宋体" w:cs="Times New Roman"/>
                <w:kern w:val="2"/>
                <w:sz w:val="24"/>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4143" w:type="dxa"/>
            <w:gridSpan w:val="6"/>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尿素泵底盘线束</w:t>
            </w:r>
          </w:p>
        </w:tc>
        <w:tc>
          <w:tcPr>
            <w:tcW w:w="1742" w:type="dxa"/>
            <w:gridSpan w:val="5"/>
            <w:noWrap/>
            <w:vAlign w:val="center"/>
          </w:tcPr>
          <w:p>
            <w:pPr>
              <w:spacing w:line="300" w:lineRule="exact"/>
              <w:jc w:val="center"/>
              <w:rPr>
                <w:rFonts w:ascii="Times New Roman" w:hAnsi="Times New Roman" w:eastAsia="宋体"/>
                <w:sz w:val="24"/>
              </w:rPr>
            </w:pPr>
          </w:p>
        </w:tc>
        <w:tc>
          <w:tcPr>
            <w:tcW w:w="1556" w:type="dxa"/>
            <w:gridSpan w:val="4"/>
            <w:noWrap/>
            <w:vAlign w:val="center"/>
          </w:tcPr>
          <w:p>
            <w:pPr>
              <w:spacing w:line="300" w:lineRule="exact"/>
              <w:jc w:val="center"/>
              <w:rPr>
                <w:rFonts w:ascii="Times New Roman" w:hAnsi="Times New Roman" w:eastAsia="宋体"/>
                <w:sz w:val="24"/>
              </w:rPr>
            </w:pPr>
          </w:p>
        </w:tc>
        <w:tc>
          <w:tcPr>
            <w:tcW w:w="1631" w:type="dxa"/>
            <w:gridSpan w:val="3"/>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46" w:hRule="atLeast"/>
          <w:jc w:val="center"/>
        </w:trPr>
        <w:tc>
          <w:tcPr>
            <w:tcW w:w="606" w:type="dxa"/>
            <w:gridSpan w:val="2"/>
            <w:noWrap/>
            <w:vAlign w:val="center"/>
          </w:tcPr>
          <w:p>
            <w:pPr>
              <w:spacing w:line="300" w:lineRule="exact"/>
              <w:jc w:val="center"/>
              <w:rPr>
                <w:rFonts w:hint="default" w:ascii="Times New Roman" w:hAnsi="Times New Roman" w:eastAsia="宋体"/>
                <w:sz w:val="24"/>
                <w:lang w:val="en-US" w:eastAsia="zh-CN"/>
              </w:rPr>
            </w:pPr>
            <w:r>
              <w:rPr>
                <w:rFonts w:hint="eastAsia" w:ascii="Times New Roman" w:hAnsi="Times New Roman" w:eastAsia="宋体"/>
                <w:sz w:val="24"/>
                <w:lang w:val="en-US" w:eastAsia="zh-CN"/>
              </w:rPr>
              <w:t>16</w:t>
            </w:r>
          </w:p>
        </w:tc>
        <w:tc>
          <w:tcPr>
            <w:tcW w:w="4143" w:type="dxa"/>
            <w:gridSpan w:val="6"/>
            <w:noWrap/>
            <w:vAlign w:val="center"/>
          </w:tcPr>
          <w:p>
            <w:pPr>
              <w:spacing w:line="300" w:lineRule="exact"/>
              <w:jc w:val="center"/>
              <w:rPr>
                <w:rFonts w:cs="黑体" w:asciiTheme="minorEastAsia" w:hAnsiTheme="minorEastAsia" w:eastAsiaTheme="minorEastAsia"/>
                <w:b/>
                <w:bCs/>
                <w:sz w:val="24"/>
              </w:rPr>
            </w:pPr>
            <w:r>
              <w:rPr>
                <w:rFonts w:hint="eastAsia" w:cs="黑体" w:asciiTheme="minorEastAsia" w:hAnsiTheme="minorEastAsia" w:eastAsiaTheme="minorEastAsia"/>
                <w:b/>
                <w:bCs/>
                <w:sz w:val="24"/>
              </w:rPr>
              <w:t>合计综合报价</w:t>
            </w:r>
          </w:p>
          <w:p>
            <w:pPr>
              <w:spacing w:line="300" w:lineRule="exact"/>
              <w:jc w:val="center"/>
              <w:rPr>
                <w:rFonts w:cs="黑体" w:asciiTheme="minorEastAsia" w:hAnsiTheme="minorEastAsia" w:eastAsiaTheme="minorEastAsia"/>
                <w:b/>
                <w:bCs/>
                <w:sz w:val="24"/>
              </w:rPr>
            </w:pPr>
            <w:r>
              <w:rPr>
                <w:rFonts w:hint="eastAsia" w:cs="黑体" w:asciiTheme="minorEastAsia" w:hAnsiTheme="minorEastAsia" w:eastAsiaTheme="minorEastAsia"/>
                <w:b/>
                <w:bCs/>
                <w:sz w:val="24"/>
              </w:rPr>
              <w:t>（含材料进销差价率）</w:t>
            </w:r>
          </w:p>
        </w:tc>
        <w:tc>
          <w:tcPr>
            <w:tcW w:w="4929" w:type="dxa"/>
            <w:gridSpan w:val="12"/>
            <w:noWrap/>
            <w:vAlign w:val="center"/>
          </w:tcPr>
          <w:p>
            <w:pPr>
              <w:spacing w:line="300" w:lineRule="exact"/>
              <w:jc w:val="center"/>
              <w:rPr>
                <w:rFonts w:cs="黑体" w:asciiTheme="minorEastAsia" w:hAnsiTheme="minorEastAsia" w:eastAsiaTheme="minorEastAsia"/>
                <w:b/>
                <w:bCs/>
                <w:sz w:val="24"/>
              </w:rPr>
            </w:pPr>
            <w:r>
              <w:rPr>
                <w:rFonts w:hint="eastAsia" w:cs="黑体" w:asciiTheme="minorEastAsia" w:hAnsiTheme="minorEastAsia" w:eastAsiaTheme="minorEastAsia"/>
                <w:b/>
                <w:bCs/>
                <w:sz w:val="24"/>
              </w:rPr>
              <w:t xml:space="preserve">  </w:t>
            </w:r>
            <w:r>
              <w:rPr>
                <w:rFonts w:hint="eastAsia" w:cs="黑体" w:asciiTheme="minorEastAsia" w:hAnsiTheme="minorEastAsia" w:eastAsiaTheme="minorEastAsia"/>
                <w:b/>
                <w:bCs/>
                <w:sz w:val="24"/>
                <w:u w:val="single"/>
              </w:rPr>
              <w:t xml:space="preserve">   </w:t>
            </w:r>
            <w:r>
              <w:rPr>
                <w:rFonts w:cs="黑体" w:asciiTheme="minorEastAsia" w:hAnsiTheme="minorEastAsia" w:eastAsiaTheme="minorEastAsia"/>
                <w:b/>
                <w:bCs/>
                <w:sz w:val="24"/>
                <w:u w:val="single"/>
              </w:rPr>
              <w:t xml:space="preserve">        </w:t>
            </w:r>
            <w:r>
              <w:rPr>
                <w:rFonts w:hint="eastAsia" w:cs="黑体" w:asciiTheme="minorEastAsia" w:hAnsiTheme="minorEastAsia" w:eastAsiaTheme="minorEastAsia"/>
                <w:b/>
                <w:bCs/>
                <w:sz w:val="24"/>
                <w:u w:val="single"/>
              </w:rPr>
              <w:t xml:space="preserve">  </w:t>
            </w:r>
            <w:r>
              <w:rPr>
                <w:rFonts w:hint="eastAsia" w:cs="黑体" w:asciiTheme="minorEastAsia" w:hAnsiTheme="minorEastAsia" w:eastAsiaTheme="minorEastAsia"/>
                <w:b/>
                <w:bCs/>
                <w:sz w:val="24"/>
              </w:rPr>
              <w:t>元</w:t>
            </w:r>
          </w:p>
          <w:p>
            <w:pPr>
              <w:spacing w:line="300" w:lineRule="exact"/>
              <w:jc w:val="center"/>
              <w:rPr>
                <w:rFonts w:cs="黑体" w:asciiTheme="minorEastAsia" w:hAnsiTheme="minorEastAsia" w:eastAsiaTheme="minorEastAsia"/>
                <w:b/>
                <w:bCs/>
                <w:sz w:val="24"/>
              </w:rPr>
            </w:pPr>
            <w:r>
              <w:rPr>
                <w:rFonts w:hint="eastAsia" w:cs="黑体" w:asciiTheme="minorEastAsia" w:hAnsiTheme="minorEastAsia" w:eastAsiaTheme="minorEastAsia"/>
                <w:b/>
                <w:bCs/>
                <w:sz w:val="24"/>
              </w:rPr>
              <w:t>（不分购进地区材料进销差收取比例</w:t>
            </w:r>
            <w:r>
              <w:rPr>
                <w:rFonts w:hint="eastAsia" w:cs="黑体" w:asciiTheme="minorEastAsia" w:hAnsiTheme="minorEastAsia" w:eastAsiaTheme="minorEastAsia"/>
                <w:b/>
                <w:bCs/>
                <w:sz w:val="24"/>
                <w:u w:val="single"/>
              </w:rPr>
              <w:t xml:space="preserve">  </w:t>
            </w:r>
            <w:r>
              <w:rPr>
                <w:rFonts w:hint="eastAsia" w:cs="黑体" w:asciiTheme="minorEastAsia" w:hAnsiTheme="minorEastAsia" w:eastAsiaTheme="minorEastAsia"/>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02" w:hRule="atLeast"/>
          <w:jc w:val="center"/>
        </w:trPr>
        <w:tc>
          <w:tcPr>
            <w:tcW w:w="9678" w:type="dxa"/>
            <w:gridSpan w:val="20"/>
            <w:noWrap/>
            <w:vAlign w:val="center"/>
          </w:tcPr>
          <w:p>
            <w:pPr>
              <w:spacing w:line="300" w:lineRule="exact"/>
              <w:rPr>
                <w:rFonts w:ascii="Times New Roman" w:hAnsi="Times New Roman" w:eastAsia="宋体"/>
                <w:sz w:val="24"/>
              </w:rPr>
            </w:pPr>
            <w:r>
              <w:rPr>
                <w:rFonts w:ascii="Times New Roman" w:hAnsi="Times New Roman" w:eastAsia="宋体"/>
                <w:b/>
                <w:bCs/>
                <w:sz w:val="24"/>
              </w:rPr>
              <w:t>4.</w:t>
            </w:r>
            <w:r>
              <w:rPr>
                <w:rFonts w:hint="eastAsia" w:ascii="Times New Roman" w:hAnsi="Times New Roman" w:eastAsia="宋体"/>
                <w:b/>
                <w:bCs/>
                <w:sz w:val="24"/>
              </w:rPr>
              <w:t>主修车型及维修零件</w:t>
            </w:r>
            <w:r>
              <w:rPr>
                <w:rFonts w:hint="eastAsia" w:ascii="Times New Roman" w:hAnsi="宋体" w:eastAsia="宋体"/>
                <w:b/>
                <w:bCs/>
                <w:sz w:val="24"/>
              </w:rPr>
              <w:t>来源</w:t>
            </w:r>
            <w:r>
              <w:rPr>
                <w:rFonts w:ascii="Times New Roman" w:hAnsi="宋体" w:eastAsia="宋体"/>
                <w:b/>
                <w:bCs/>
                <w:sz w:val="24"/>
              </w:rPr>
              <w:t>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987" w:type="dxa"/>
            <w:gridSpan w:val="5"/>
            <w:noWrap/>
            <w:vAlign w:val="center"/>
          </w:tcPr>
          <w:p>
            <w:pPr>
              <w:spacing w:line="300" w:lineRule="exact"/>
              <w:jc w:val="center"/>
              <w:rPr>
                <w:rFonts w:ascii="Times New Roman" w:hAnsi="Times New Roman" w:eastAsia="宋体"/>
                <w:sz w:val="24"/>
              </w:rPr>
            </w:pPr>
            <w:r>
              <w:rPr>
                <w:rFonts w:ascii="Times New Roman" w:hAnsi="宋体" w:eastAsia="宋体"/>
                <w:sz w:val="24"/>
              </w:rPr>
              <w:t>主修车型</w:t>
            </w:r>
          </w:p>
        </w:tc>
        <w:tc>
          <w:tcPr>
            <w:tcW w:w="3930" w:type="dxa"/>
            <w:gridSpan w:val="10"/>
            <w:noWrap/>
            <w:vAlign w:val="center"/>
          </w:tcPr>
          <w:p>
            <w:pPr>
              <w:spacing w:line="300" w:lineRule="exact"/>
              <w:jc w:val="center"/>
              <w:rPr>
                <w:rFonts w:ascii="Times New Roman" w:hAnsi="Times New Roman" w:eastAsia="宋体"/>
                <w:sz w:val="24"/>
              </w:rPr>
            </w:pPr>
            <w:r>
              <w:rPr>
                <w:rFonts w:ascii="Times New Roman" w:hAnsi="宋体" w:eastAsia="宋体"/>
                <w:sz w:val="24"/>
              </w:rPr>
              <w:t>主要零件来源</w:t>
            </w:r>
          </w:p>
        </w:tc>
        <w:tc>
          <w:tcPr>
            <w:tcW w:w="2761" w:type="dxa"/>
            <w:gridSpan w:val="5"/>
            <w:noWrap/>
            <w:vAlign w:val="center"/>
          </w:tcPr>
          <w:p>
            <w:pPr>
              <w:spacing w:line="300" w:lineRule="exact"/>
              <w:ind w:left="-374" w:leftChars="-144" w:firstLine="225" w:firstLineChars="94"/>
              <w:jc w:val="center"/>
              <w:rPr>
                <w:rFonts w:ascii="Times New Roman" w:hAnsi="Times New Roman" w:eastAsia="宋体"/>
                <w:sz w:val="24"/>
              </w:rPr>
            </w:pPr>
            <w:r>
              <w:rPr>
                <w:rFonts w:ascii="Times New Roman" w:hAnsi="宋体" w:eastAsia="宋体"/>
                <w:sz w:val="24"/>
              </w:rPr>
              <w:t>证明材料</w:t>
            </w:r>
          </w:p>
          <w:p>
            <w:pPr>
              <w:spacing w:line="300" w:lineRule="exact"/>
              <w:ind w:left="-374" w:leftChars="-144" w:firstLine="225" w:firstLineChars="94"/>
              <w:jc w:val="center"/>
              <w:rPr>
                <w:rFonts w:ascii="Times New Roman" w:hAnsi="Times New Roman" w:eastAsia="宋体"/>
                <w:sz w:val="24"/>
              </w:rPr>
            </w:pPr>
            <w:r>
              <w:rPr>
                <w:rFonts w:ascii="Times New Roman" w:hAnsi="宋体" w:eastAsia="宋体"/>
                <w:sz w:val="24"/>
              </w:rPr>
              <w:t>（协议或证书）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987" w:type="dxa"/>
            <w:gridSpan w:val="5"/>
            <w:noWrap/>
            <w:vAlign w:val="center"/>
          </w:tcPr>
          <w:p>
            <w:pPr>
              <w:spacing w:line="300" w:lineRule="exact"/>
              <w:jc w:val="center"/>
              <w:rPr>
                <w:rFonts w:ascii="Times New Roman" w:hAnsi="Times New Roman" w:eastAsia="宋体"/>
                <w:sz w:val="24"/>
              </w:rPr>
            </w:pPr>
          </w:p>
        </w:tc>
        <w:tc>
          <w:tcPr>
            <w:tcW w:w="3930" w:type="dxa"/>
            <w:gridSpan w:val="10"/>
            <w:noWrap/>
            <w:vAlign w:val="center"/>
          </w:tcPr>
          <w:p>
            <w:pPr>
              <w:spacing w:line="300" w:lineRule="exact"/>
              <w:jc w:val="center"/>
              <w:rPr>
                <w:rFonts w:ascii="Times New Roman" w:hAnsi="Times New Roman" w:eastAsia="宋体"/>
                <w:sz w:val="24"/>
              </w:rPr>
            </w:pPr>
          </w:p>
        </w:tc>
        <w:tc>
          <w:tcPr>
            <w:tcW w:w="2761" w:type="dxa"/>
            <w:gridSpan w:val="5"/>
            <w:noWrap/>
            <w:vAlign w:val="center"/>
          </w:tcPr>
          <w:p>
            <w:pPr>
              <w:spacing w:line="300" w:lineRule="exact"/>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987" w:type="dxa"/>
            <w:gridSpan w:val="5"/>
            <w:noWrap/>
            <w:vAlign w:val="center"/>
          </w:tcPr>
          <w:p>
            <w:pPr>
              <w:spacing w:line="300" w:lineRule="exact"/>
              <w:jc w:val="center"/>
              <w:rPr>
                <w:rFonts w:ascii="Times New Roman" w:hAnsi="Times New Roman" w:eastAsia="宋体"/>
                <w:sz w:val="24"/>
              </w:rPr>
            </w:pPr>
            <w:r>
              <w:rPr>
                <w:rFonts w:hint="eastAsia" w:ascii="Times New Roman" w:hAnsi="Times New Roman" w:eastAsia="宋体"/>
                <w:sz w:val="24"/>
              </w:rPr>
              <w:t>...</w:t>
            </w:r>
          </w:p>
        </w:tc>
        <w:tc>
          <w:tcPr>
            <w:tcW w:w="3930" w:type="dxa"/>
            <w:gridSpan w:val="10"/>
            <w:noWrap/>
            <w:vAlign w:val="center"/>
          </w:tcPr>
          <w:p>
            <w:pPr>
              <w:spacing w:line="300" w:lineRule="exact"/>
              <w:jc w:val="center"/>
              <w:rPr>
                <w:rFonts w:ascii="Times New Roman" w:hAnsi="Times New Roman" w:eastAsia="宋体"/>
                <w:sz w:val="24"/>
              </w:rPr>
            </w:pPr>
            <w:r>
              <w:rPr>
                <w:rFonts w:hint="eastAsia" w:ascii="Times New Roman" w:hAnsi="Times New Roman" w:eastAsia="宋体"/>
                <w:sz w:val="24"/>
              </w:rPr>
              <w:t>....</w:t>
            </w:r>
          </w:p>
        </w:tc>
        <w:tc>
          <w:tcPr>
            <w:tcW w:w="2761" w:type="dxa"/>
            <w:gridSpan w:val="5"/>
            <w:noWrap/>
            <w:vAlign w:val="center"/>
          </w:tcPr>
          <w:p>
            <w:pPr>
              <w:spacing w:line="300" w:lineRule="exact"/>
              <w:jc w:val="center"/>
              <w:rPr>
                <w:rFonts w:ascii="Times New Roman" w:hAnsi="Times New Roman" w:eastAsia="宋体"/>
                <w:sz w:val="24"/>
              </w:rPr>
            </w:pPr>
            <w:r>
              <w:rPr>
                <w:rFonts w:hint="eastAsia" w:ascii="Times New Roman" w:hAnsi="Times New Roman" w:eastAsia="宋体"/>
                <w:sz w:val="24"/>
              </w:rPr>
              <w:t>...</w:t>
            </w:r>
          </w:p>
        </w:tc>
      </w:tr>
    </w:tbl>
    <w:p>
      <w:pPr>
        <w:spacing w:line="360" w:lineRule="exac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注：1.主修车型填写投标人维修有优势的各类车型；</w:t>
      </w:r>
    </w:p>
    <w:p>
      <w:pPr>
        <w:snapToGrid w:val="0"/>
        <w:spacing w:line="360" w:lineRule="exact"/>
        <w:outlineLvl w:val="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2.主要零件来源指投标人维修主修车型时的零配件的进货来源；如投标人提供的进货来源与实际不符，一旦查实，将取消中标资格。</w:t>
      </w:r>
    </w:p>
    <w:p>
      <w:pPr>
        <w:snapToGrid w:val="0"/>
        <w:spacing w:line="360" w:lineRule="exact"/>
        <w:outlineLvl w:val="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3.中标单位签订合同时，需附常用零件配件报价清单（当年度）。</w:t>
      </w: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投标人：（盖章）             </w:t>
      </w: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法定代表人或被委托受权人（签字）：</w:t>
      </w:r>
    </w:p>
    <w:p>
      <w:pPr>
        <w:snapToGrid w:val="0"/>
        <w:spacing w:line="420" w:lineRule="exact"/>
        <w:ind w:left="1133" w:hanging="1132" w:hangingChars="472"/>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overflowPunct w:val="0"/>
        <w:spacing w:line="420" w:lineRule="exact"/>
        <w:jc w:val="center"/>
        <w:textAlignment w:val="baseline"/>
        <w:rPr>
          <w:rFonts w:asciiTheme="minorEastAsia" w:hAnsiTheme="minorEastAsia" w:eastAsiaTheme="minorEastAsia"/>
          <w:bCs/>
          <w:sz w:val="24"/>
          <w:szCs w:val="24"/>
        </w:rPr>
      </w:pPr>
    </w:p>
    <w:p>
      <w:pPr>
        <w:overflowPunct w:val="0"/>
        <w:spacing w:line="420" w:lineRule="exact"/>
        <w:jc w:val="center"/>
        <w:textAlignment w:val="baseline"/>
        <w:rPr>
          <w:rFonts w:asciiTheme="minorEastAsia" w:hAnsiTheme="minorEastAsia" w:eastAsiaTheme="minorEastAsia"/>
          <w:bCs/>
          <w:sz w:val="24"/>
          <w:szCs w:val="24"/>
        </w:rPr>
      </w:pPr>
      <w:r>
        <w:rPr>
          <w:rFonts w:hint="eastAsia" w:asciiTheme="minorEastAsia" w:hAnsiTheme="minorEastAsia" w:eastAsiaTheme="minorEastAsia"/>
          <w:bCs/>
          <w:sz w:val="24"/>
          <w:szCs w:val="24"/>
        </w:rPr>
        <w:t>……全文结束……</w:t>
      </w:r>
    </w:p>
    <w:sectPr>
      <w:footerReference r:id="rId11" w:type="default"/>
      <w:pgSz w:w="11906" w:h="16838"/>
      <w:pgMar w:top="1239" w:right="851" w:bottom="851" w:left="1418" w:header="851" w:footer="522" w:gutter="0"/>
      <w:pgNumType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Menlo">
    <w:altName w:val="微软雅黑"/>
    <w:panose1 w:val="00000000000000000000"/>
    <w:charset w:val="00"/>
    <w:family w:val="auto"/>
    <w:pitch w:val="default"/>
    <w:sig w:usb0="00000000" w:usb1="00000000" w:usb2="00000000" w:usb3="00000000" w:csb0="00040001" w:csb1="00000000"/>
  </w:font>
  <w:font w:name="Univers">
    <w:altName w:val="Arial"/>
    <w:panose1 w:val="00000000000000000000"/>
    <w:charset w:val="00"/>
    <w:family w:val="swiss"/>
    <w:pitch w:val="default"/>
    <w:sig w:usb0="00000000"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4"/>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180"/>
      <w:jc w:val="center"/>
      <w:rPr>
        <w:kern w:val="0"/>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4"/>
      <w:rPr>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180"/>
      <w:jc w:val="center"/>
      <w:rPr>
        <w:kern w:val="0"/>
        <w:szCs w:val="18"/>
      </w:rP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3"/>
                </w:pPr>
                <w:r>
                  <w:fldChar w:fldCharType="begin"/>
                </w:r>
                <w:r>
                  <w:instrText xml:space="preserve"> PAGE  \* MERGEFORMAT </w:instrText>
                </w:r>
                <w:r>
                  <w:fldChar w:fldCharType="separate"/>
                </w:r>
                <w:r>
                  <w:t>20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4"/>
      <w:rPr>
        <w:szCs w:val="18"/>
      </w:rP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3"/>
                </w:pPr>
                <w:r>
                  <w:fldChar w:fldCharType="begin"/>
                </w:r>
                <w:r>
                  <w:instrText xml:space="preserve"> PAGE  \* MERGEFORMAT </w:instrText>
                </w:r>
                <w:r>
                  <w:fldChar w:fldCharType="separate"/>
                </w:r>
                <w:r>
                  <w:t>39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rPr>
        <w:szCs w:val="18"/>
      </w:rPr>
    </w:pPr>
    <w:r>
      <w:rPr>
        <w:rFonts w:hint="eastAsia"/>
        <w:szCs w:val="18"/>
        <w:lang w:eastAsia="zh-CN"/>
      </w:rPr>
      <w:t>南通市保安服务有限公司</w:t>
    </w:r>
    <w:r>
      <w:rPr>
        <w:rFonts w:hint="eastAsia"/>
        <w:szCs w:val="18"/>
      </w:rPr>
      <w:t>车辆定点维修、保养、年检等服务采购项目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rPr>
        <w:szCs w:val="18"/>
      </w:rPr>
    </w:pPr>
    <w:r>
      <w:rPr>
        <w:rFonts w:hint="eastAsia"/>
        <w:szCs w:val="18"/>
        <w:lang w:eastAsia="zh-CN"/>
      </w:rPr>
      <w:t>南通市保安服务有限公司</w:t>
    </w:r>
    <w:r>
      <w:rPr>
        <w:rFonts w:hint="eastAsia"/>
        <w:szCs w:val="18"/>
      </w:rPr>
      <w:t>车辆定点维修、保养、年检等服务采购项目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40528"/>
    <w:multiLevelType w:val="singleLevel"/>
    <w:tmpl w:val="CCA40528"/>
    <w:lvl w:ilvl="0" w:tentative="0">
      <w:start w:val="2"/>
      <w:numFmt w:val="chineseCounting"/>
      <w:suff w:val="nothing"/>
      <w:lvlText w:val="（%1）"/>
      <w:lvlJc w:val="left"/>
      <w:pPr>
        <w:ind w:left="-482"/>
      </w:pPr>
      <w:rPr>
        <w:rFonts w:hint="eastAsia"/>
      </w:rPr>
    </w:lvl>
  </w:abstractNum>
  <w:abstractNum w:abstractNumId="1">
    <w:nsid w:val="0000000B"/>
    <w:multiLevelType w:val="multilevel"/>
    <w:tmpl w:val="0000000B"/>
    <w:lvl w:ilvl="0" w:tentative="0">
      <w:start w:val="1"/>
      <w:numFmt w:val="decimal"/>
      <w:suff w:val="nothing"/>
      <w:lvlText w:val="%1、"/>
      <w:lvlJc w:val="left"/>
      <w:pPr>
        <w:ind w:left="237" w:firstLine="560"/>
      </w:pPr>
      <w:rPr>
        <w:rFonts w:hint="default"/>
        <w:b w:val="0"/>
        <w:sz w:val="24"/>
        <w:szCs w:val="24"/>
      </w:rPr>
    </w:lvl>
    <w:lvl w:ilvl="1" w:tentative="0">
      <w:start w:val="1"/>
      <w:numFmt w:val="lowerLetter"/>
      <w:lvlText w:val="%2)"/>
      <w:lvlJc w:val="left"/>
      <w:pPr>
        <w:ind w:left="1381" w:hanging="420"/>
      </w:pPr>
    </w:lvl>
    <w:lvl w:ilvl="2" w:tentative="0">
      <w:start w:val="1"/>
      <w:numFmt w:val="lowerRoman"/>
      <w:lvlText w:val="%3."/>
      <w:lvlJc w:val="right"/>
      <w:pPr>
        <w:ind w:left="1801" w:hanging="420"/>
      </w:pPr>
    </w:lvl>
    <w:lvl w:ilvl="3" w:tentative="0">
      <w:start w:val="1"/>
      <w:numFmt w:val="decimal"/>
      <w:lvlText w:val="%4."/>
      <w:lvlJc w:val="left"/>
      <w:pPr>
        <w:ind w:left="2221" w:hanging="420"/>
      </w:pPr>
    </w:lvl>
    <w:lvl w:ilvl="4" w:tentative="0">
      <w:start w:val="1"/>
      <w:numFmt w:val="lowerLetter"/>
      <w:lvlText w:val="%5)"/>
      <w:lvlJc w:val="left"/>
      <w:pPr>
        <w:ind w:left="2641" w:hanging="420"/>
      </w:pPr>
    </w:lvl>
    <w:lvl w:ilvl="5" w:tentative="0">
      <w:start w:val="1"/>
      <w:numFmt w:val="lowerRoman"/>
      <w:lvlText w:val="%6."/>
      <w:lvlJc w:val="right"/>
      <w:pPr>
        <w:ind w:left="3061" w:hanging="420"/>
      </w:pPr>
    </w:lvl>
    <w:lvl w:ilvl="6" w:tentative="0">
      <w:start w:val="1"/>
      <w:numFmt w:val="decimal"/>
      <w:lvlText w:val="%7."/>
      <w:lvlJc w:val="left"/>
      <w:pPr>
        <w:ind w:left="3481" w:hanging="420"/>
      </w:pPr>
    </w:lvl>
    <w:lvl w:ilvl="7" w:tentative="0">
      <w:start w:val="1"/>
      <w:numFmt w:val="lowerLetter"/>
      <w:lvlText w:val="%8)"/>
      <w:lvlJc w:val="left"/>
      <w:pPr>
        <w:ind w:left="3901" w:hanging="420"/>
      </w:pPr>
    </w:lvl>
    <w:lvl w:ilvl="8" w:tentative="0">
      <w:start w:val="1"/>
      <w:numFmt w:val="lowerRoman"/>
      <w:lvlText w:val="%9."/>
      <w:lvlJc w:val="right"/>
      <w:pPr>
        <w:ind w:left="4321" w:hanging="420"/>
      </w:pPr>
    </w:lvl>
  </w:abstractNum>
  <w:abstractNum w:abstractNumId="2">
    <w:nsid w:val="0A4228F0"/>
    <w:multiLevelType w:val="multilevel"/>
    <w:tmpl w:val="0A4228F0"/>
    <w:lvl w:ilvl="0" w:tentative="0">
      <w:start w:val="1"/>
      <w:numFmt w:val="decimal"/>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3">
    <w:nsid w:val="19E93177"/>
    <w:multiLevelType w:val="multilevel"/>
    <w:tmpl w:val="19E93177"/>
    <w:lvl w:ilvl="0" w:tentative="0">
      <w:start w:val="1"/>
      <w:numFmt w:val="decimal"/>
      <w:lvlText w:val="%1、"/>
      <w:lvlJc w:val="left"/>
      <w:pPr>
        <w:ind w:left="1182"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4">
    <w:nsid w:val="65C419C0"/>
    <w:multiLevelType w:val="singleLevel"/>
    <w:tmpl w:val="65C419C0"/>
    <w:lvl w:ilvl="0" w:tentative="0">
      <w:start w:val="5"/>
      <w:numFmt w:val="decimal"/>
      <w:suff w:val="nothing"/>
      <w:lvlText w:val="%1、"/>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attachedTemplate r:id="rId1"/>
  <w:documentProtection w:enforcement="0"/>
  <w:defaultTabStop w:val="425"/>
  <w:drawingGridHorizontalSpacing w:val="0"/>
  <w:drawingGridVerticalSpacing w:val="190"/>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mYxOTZiZTA5NGE2N2ZiZTY0YjVkMWYyZGIzNGU0MGIifQ=="/>
  </w:docVars>
  <w:rsids>
    <w:rsidRoot w:val="00172A27"/>
    <w:rsid w:val="000023C2"/>
    <w:rsid w:val="00004177"/>
    <w:rsid w:val="00005BEB"/>
    <w:rsid w:val="000165F2"/>
    <w:rsid w:val="0002194C"/>
    <w:rsid w:val="000223F7"/>
    <w:rsid w:val="0002499A"/>
    <w:rsid w:val="0002729A"/>
    <w:rsid w:val="00030745"/>
    <w:rsid w:val="000332E4"/>
    <w:rsid w:val="000353EA"/>
    <w:rsid w:val="000374D2"/>
    <w:rsid w:val="00040B44"/>
    <w:rsid w:val="0004377F"/>
    <w:rsid w:val="00045B63"/>
    <w:rsid w:val="00052F18"/>
    <w:rsid w:val="00054574"/>
    <w:rsid w:val="00054F1E"/>
    <w:rsid w:val="00055762"/>
    <w:rsid w:val="00055E9B"/>
    <w:rsid w:val="00055EAE"/>
    <w:rsid w:val="00057B9A"/>
    <w:rsid w:val="000663A5"/>
    <w:rsid w:val="00067E7E"/>
    <w:rsid w:val="00071298"/>
    <w:rsid w:val="0007268B"/>
    <w:rsid w:val="00072AF9"/>
    <w:rsid w:val="00081E88"/>
    <w:rsid w:val="00083EF3"/>
    <w:rsid w:val="00086343"/>
    <w:rsid w:val="0009184C"/>
    <w:rsid w:val="00091B9B"/>
    <w:rsid w:val="00092319"/>
    <w:rsid w:val="00093177"/>
    <w:rsid w:val="00097DC7"/>
    <w:rsid w:val="000A14F5"/>
    <w:rsid w:val="000A47E6"/>
    <w:rsid w:val="000A64E3"/>
    <w:rsid w:val="000A77BD"/>
    <w:rsid w:val="000B20AF"/>
    <w:rsid w:val="000B50DC"/>
    <w:rsid w:val="000B5364"/>
    <w:rsid w:val="000B5BC9"/>
    <w:rsid w:val="000C44D4"/>
    <w:rsid w:val="000C464C"/>
    <w:rsid w:val="000C6DD6"/>
    <w:rsid w:val="000D422E"/>
    <w:rsid w:val="000D6F04"/>
    <w:rsid w:val="000E0355"/>
    <w:rsid w:val="000E7035"/>
    <w:rsid w:val="000E784B"/>
    <w:rsid w:val="000F106E"/>
    <w:rsid w:val="000F2A02"/>
    <w:rsid w:val="000F5026"/>
    <w:rsid w:val="000F60F3"/>
    <w:rsid w:val="0010360A"/>
    <w:rsid w:val="001037BE"/>
    <w:rsid w:val="001043CD"/>
    <w:rsid w:val="00105021"/>
    <w:rsid w:val="001058D4"/>
    <w:rsid w:val="00111BDD"/>
    <w:rsid w:val="001165C0"/>
    <w:rsid w:val="00117CDB"/>
    <w:rsid w:val="0012163E"/>
    <w:rsid w:val="00125327"/>
    <w:rsid w:val="001315C1"/>
    <w:rsid w:val="00132914"/>
    <w:rsid w:val="00132F1B"/>
    <w:rsid w:val="00136758"/>
    <w:rsid w:val="00137DAB"/>
    <w:rsid w:val="00141BBA"/>
    <w:rsid w:val="001431C1"/>
    <w:rsid w:val="00144017"/>
    <w:rsid w:val="0014778E"/>
    <w:rsid w:val="001525E8"/>
    <w:rsid w:val="00156E70"/>
    <w:rsid w:val="001608DD"/>
    <w:rsid w:val="00161C05"/>
    <w:rsid w:val="001652D1"/>
    <w:rsid w:val="00172A27"/>
    <w:rsid w:val="00182FA5"/>
    <w:rsid w:val="0018334C"/>
    <w:rsid w:val="00186674"/>
    <w:rsid w:val="001914CF"/>
    <w:rsid w:val="0019184B"/>
    <w:rsid w:val="001A241E"/>
    <w:rsid w:val="001A324E"/>
    <w:rsid w:val="001A4E52"/>
    <w:rsid w:val="001A6253"/>
    <w:rsid w:val="001A69B6"/>
    <w:rsid w:val="001A7C1D"/>
    <w:rsid w:val="001B0B46"/>
    <w:rsid w:val="001B776F"/>
    <w:rsid w:val="001D09C1"/>
    <w:rsid w:val="001D0ED8"/>
    <w:rsid w:val="001D1957"/>
    <w:rsid w:val="001D24A8"/>
    <w:rsid w:val="001D38BC"/>
    <w:rsid w:val="001D3D4E"/>
    <w:rsid w:val="001D7596"/>
    <w:rsid w:val="001E0125"/>
    <w:rsid w:val="001E33FA"/>
    <w:rsid w:val="001E37AB"/>
    <w:rsid w:val="001E7111"/>
    <w:rsid w:val="001E7EDB"/>
    <w:rsid w:val="001F0E41"/>
    <w:rsid w:val="001F46CC"/>
    <w:rsid w:val="00203C97"/>
    <w:rsid w:val="002054E2"/>
    <w:rsid w:val="00205CAD"/>
    <w:rsid w:val="00206C6F"/>
    <w:rsid w:val="00206FA3"/>
    <w:rsid w:val="00210D3F"/>
    <w:rsid w:val="00213B68"/>
    <w:rsid w:val="00215764"/>
    <w:rsid w:val="002202DA"/>
    <w:rsid w:val="00221244"/>
    <w:rsid w:val="0022293A"/>
    <w:rsid w:val="00227BEF"/>
    <w:rsid w:val="002312C3"/>
    <w:rsid w:val="00232600"/>
    <w:rsid w:val="0023768B"/>
    <w:rsid w:val="00240452"/>
    <w:rsid w:val="0024123F"/>
    <w:rsid w:val="00241F40"/>
    <w:rsid w:val="002466F2"/>
    <w:rsid w:val="002508AF"/>
    <w:rsid w:val="00251700"/>
    <w:rsid w:val="00251B76"/>
    <w:rsid w:val="00252CB3"/>
    <w:rsid w:val="00252CDD"/>
    <w:rsid w:val="0025403A"/>
    <w:rsid w:val="0025782C"/>
    <w:rsid w:val="00261064"/>
    <w:rsid w:val="0026630D"/>
    <w:rsid w:val="002675A1"/>
    <w:rsid w:val="00271021"/>
    <w:rsid w:val="00275AC6"/>
    <w:rsid w:val="0028301F"/>
    <w:rsid w:val="00284F8E"/>
    <w:rsid w:val="00290056"/>
    <w:rsid w:val="0029013A"/>
    <w:rsid w:val="00290B56"/>
    <w:rsid w:val="00292D3A"/>
    <w:rsid w:val="002A08A0"/>
    <w:rsid w:val="002A12C8"/>
    <w:rsid w:val="002A1FD2"/>
    <w:rsid w:val="002A7AF3"/>
    <w:rsid w:val="002B2BA5"/>
    <w:rsid w:val="002B2EF8"/>
    <w:rsid w:val="002B444E"/>
    <w:rsid w:val="002B77B8"/>
    <w:rsid w:val="002C52C7"/>
    <w:rsid w:val="002D003A"/>
    <w:rsid w:val="002D4115"/>
    <w:rsid w:val="002D6864"/>
    <w:rsid w:val="002E0EB1"/>
    <w:rsid w:val="002E3E90"/>
    <w:rsid w:val="002E440F"/>
    <w:rsid w:val="002E724C"/>
    <w:rsid w:val="002F181A"/>
    <w:rsid w:val="002F1D39"/>
    <w:rsid w:val="002F3923"/>
    <w:rsid w:val="002F392B"/>
    <w:rsid w:val="002F3A4F"/>
    <w:rsid w:val="002F48DF"/>
    <w:rsid w:val="002F4A91"/>
    <w:rsid w:val="002F6E69"/>
    <w:rsid w:val="002F7463"/>
    <w:rsid w:val="002F7716"/>
    <w:rsid w:val="003006B4"/>
    <w:rsid w:val="003010BE"/>
    <w:rsid w:val="00301FA9"/>
    <w:rsid w:val="00312DA9"/>
    <w:rsid w:val="00314F92"/>
    <w:rsid w:val="00315AFC"/>
    <w:rsid w:val="00317BDB"/>
    <w:rsid w:val="003211E3"/>
    <w:rsid w:val="00323C3A"/>
    <w:rsid w:val="00324B6E"/>
    <w:rsid w:val="00327DFE"/>
    <w:rsid w:val="00336476"/>
    <w:rsid w:val="0033769F"/>
    <w:rsid w:val="0034142B"/>
    <w:rsid w:val="0034439F"/>
    <w:rsid w:val="00346478"/>
    <w:rsid w:val="00347699"/>
    <w:rsid w:val="0035144C"/>
    <w:rsid w:val="00351C38"/>
    <w:rsid w:val="00352A1A"/>
    <w:rsid w:val="00352B9C"/>
    <w:rsid w:val="003536CC"/>
    <w:rsid w:val="00353AC5"/>
    <w:rsid w:val="00353D59"/>
    <w:rsid w:val="003541D9"/>
    <w:rsid w:val="003549B5"/>
    <w:rsid w:val="0035614B"/>
    <w:rsid w:val="00357A5B"/>
    <w:rsid w:val="00362A3A"/>
    <w:rsid w:val="0036491A"/>
    <w:rsid w:val="00365A6D"/>
    <w:rsid w:val="00365A71"/>
    <w:rsid w:val="00370FBD"/>
    <w:rsid w:val="003757EB"/>
    <w:rsid w:val="00380D2E"/>
    <w:rsid w:val="0038506E"/>
    <w:rsid w:val="00386D2E"/>
    <w:rsid w:val="00387636"/>
    <w:rsid w:val="003948C6"/>
    <w:rsid w:val="003A06C8"/>
    <w:rsid w:val="003A0BDF"/>
    <w:rsid w:val="003A0E40"/>
    <w:rsid w:val="003A1CC1"/>
    <w:rsid w:val="003A2920"/>
    <w:rsid w:val="003A34AC"/>
    <w:rsid w:val="003A3B0E"/>
    <w:rsid w:val="003A5977"/>
    <w:rsid w:val="003A601C"/>
    <w:rsid w:val="003A69BD"/>
    <w:rsid w:val="003A6F91"/>
    <w:rsid w:val="003B1918"/>
    <w:rsid w:val="003B3A31"/>
    <w:rsid w:val="003B7355"/>
    <w:rsid w:val="003C040F"/>
    <w:rsid w:val="003C0D1A"/>
    <w:rsid w:val="003C5C63"/>
    <w:rsid w:val="003C6658"/>
    <w:rsid w:val="003C781A"/>
    <w:rsid w:val="003D1FA1"/>
    <w:rsid w:val="003D25DE"/>
    <w:rsid w:val="003D2746"/>
    <w:rsid w:val="003E01F5"/>
    <w:rsid w:val="003E0890"/>
    <w:rsid w:val="003E0963"/>
    <w:rsid w:val="003E11A0"/>
    <w:rsid w:val="003E11AE"/>
    <w:rsid w:val="003E2522"/>
    <w:rsid w:val="003E25FF"/>
    <w:rsid w:val="003E2638"/>
    <w:rsid w:val="003E5AC2"/>
    <w:rsid w:val="003E7310"/>
    <w:rsid w:val="003F1540"/>
    <w:rsid w:val="003F1939"/>
    <w:rsid w:val="003F1BB6"/>
    <w:rsid w:val="003F2052"/>
    <w:rsid w:val="003F215A"/>
    <w:rsid w:val="003F2199"/>
    <w:rsid w:val="003F21FB"/>
    <w:rsid w:val="003F3B5E"/>
    <w:rsid w:val="003F744F"/>
    <w:rsid w:val="00401527"/>
    <w:rsid w:val="004042FA"/>
    <w:rsid w:val="004051EC"/>
    <w:rsid w:val="00406A24"/>
    <w:rsid w:val="0041070D"/>
    <w:rsid w:val="00411FDD"/>
    <w:rsid w:val="0041260F"/>
    <w:rsid w:val="00413C1E"/>
    <w:rsid w:val="004164EF"/>
    <w:rsid w:val="004174D8"/>
    <w:rsid w:val="00417FB8"/>
    <w:rsid w:val="0042666F"/>
    <w:rsid w:val="00427C4C"/>
    <w:rsid w:val="00433083"/>
    <w:rsid w:val="00433AD3"/>
    <w:rsid w:val="0043580F"/>
    <w:rsid w:val="00446350"/>
    <w:rsid w:val="0044779B"/>
    <w:rsid w:val="00451E84"/>
    <w:rsid w:val="00452260"/>
    <w:rsid w:val="004536DF"/>
    <w:rsid w:val="004550AB"/>
    <w:rsid w:val="0046048F"/>
    <w:rsid w:val="004643BB"/>
    <w:rsid w:val="00465C3A"/>
    <w:rsid w:val="00467378"/>
    <w:rsid w:val="00470038"/>
    <w:rsid w:val="00471499"/>
    <w:rsid w:val="00471E9A"/>
    <w:rsid w:val="00472B6E"/>
    <w:rsid w:val="004731CC"/>
    <w:rsid w:val="004749B5"/>
    <w:rsid w:val="00476F31"/>
    <w:rsid w:val="00477980"/>
    <w:rsid w:val="00481DBC"/>
    <w:rsid w:val="00482FE8"/>
    <w:rsid w:val="00484CB4"/>
    <w:rsid w:val="00484D5B"/>
    <w:rsid w:val="0048508F"/>
    <w:rsid w:val="004904C9"/>
    <w:rsid w:val="00494BCA"/>
    <w:rsid w:val="004A18E6"/>
    <w:rsid w:val="004A2674"/>
    <w:rsid w:val="004A30AD"/>
    <w:rsid w:val="004A3651"/>
    <w:rsid w:val="004A3F5B"/>
    <w:rsid w:val="004A57A7"/>
    <w:rsid w:val="004A67B4"/>
    <w:rsid w:val="004A6877"/>
    <w:rsid w:val="004B01E8"/>
    <w:rsid w:val="004B5E33"/>
    <w:rsid w:val="004B73B9"/>
    <w:rsid w:val="004C0167"/>
    <w:rsid w:val="004C064D"/>
    <w:rsid w:val="004C3526"/>
    <w:rsid w:val="004C4B35"/>
    <w:rsid w:val="004C64AB"/>
    <w:rsid w:val="004C753D"/>
    <w:rsid w:val="004D2A6C"/>
    <w:rsid w:val="004D4402"/>
    <w:rsid w:val="004D520F"/>
    <w:rsid w:val="004D5AA7"/>
    <w:rsid w:val="004D5C11"/>
    <w:rsid w:val="004E0791"/>
    <w:rsid w:val="004E29AE"/>
    <w:rsid w:val="004E2B66"/>
    <w:rsid w:val="004E4B61"/>
    <w:rsid w:val="004E7A2E"/>
    <w:rsid w:val="004E7A3A"/>
    <w:rsid w:val="004F011C"/>
    <w:rsid w:val="004F07CD"/>
    <w:rsid w:val="004F0AEA"/>
    <w:rsid w:val="004F0C65"/>
    <w:rsid w:val="004F4DE1"/>
    <w:rsid w:val="004F7C54"/>
    <w:rsid w:val="00502169"/>
    <w:rsid w:val="00506895"/>
    <w:rsid w:val="00512392"/>
    <w:rsid w:val="00514515"/>
    <w:rsid w:val="0051539A"/>
    <w:rsid w:val="005157C5"/>
    <w:rsid w:val="00515CE9"/>
    <w:rsid w:val="00517757"/>
    <w:rsid w:val="00517C56"/>
    <w:rsid w:val="00523B1D"/>
    <w:rsid w:val="005242D3"/>
    <w:rsid w:val="005251DB"/>
    <w:rsid w:val="005257FE"/>
    <w:rsid w:val="005326FB"/>
    <w:rsid w:val="005350E2"/>
    <w:rsid w:val="005378EA"/>
    <w:rsid w:val="00541A4E"/>
    <w:rsid w:val="00541EA5"/>
    <w:rsid w:val="0054351C"/>
    <w:rsid w:val="00543741"/>
    <w:rsid w:val="00543A60"/>
    <w:rsid w:val="005440AB"/>
    <w:rsid w:val="00546EF0"/>
    <w:rsid w:val="00550E36"/>
    <w:rsid w:val="00551B8F"/>
    <w:rsid w:val="00552B8C"/>
    <w:rsid w:val="005562E4"/>
    <w:rsid w:val="005659DF"/>
    <w:rsid w:val="005663AB"/>
    <w:rsid w:val="00567176"/>
    <w:rsid w:val="00567B73"/>
    <w:rsid w:val="0057277D"/>
    <w:rsid w:val="00575064"/>
    <w:rsid w:val="00575901"/>
    <w:rsid w:val="00575BCB"/>
    <w:rsid w:val="00575E95"/>
    <w:rsid w:val="00576309"/>
    <w:rsid w:val="00581A92"/>
    <w:rsid w:val="00582149"/>
    <w:rsid w:val="0058442C"/>
    <w:rsid w:val="00592949"/>
    <w:rsid w:val="005938F1"/>
    <w:rsid w:val="00593981"/>
    <w:rsid w:val="0059710C"/>
    <w:rsid w:val="005A0DFC"/>
    <w:rsid w:val="005A5FDD"/>
    <w:rsid w:val="005A60B1"/>
    <w:rsid w:val="005A7DDD"/>
    <w:rsid w:val="005B005D"/>
    <w:rsid w:val="005B23AC"/>
    <w:rsid w:val="005B336C"/>
    <w:rsid w:val="005B3755"/>
    <w:rsid w:val="005B6499"/>
    <w:rsid w:val="005C3717"/>
    <w:rsid w:val="005C4811"/>
    <w:rsid w:val="005D091A"/>
    <w:rsid w:val="005D226A"/>
    <w:rsid w:val="005D2716"/>
    <w:rsid w:val="005D3603"/>
    <w:rsid w:val="005D4022"/>
    <w:rsid w:val="005D4ADC"/>
    <w:rsid w:val="005D75A7"/>
    <w:rsid w:val="005E2345"/>
    <w:rsid w:val="005E28CF"/>
    <w:rsid w:val="005E318D"/>
    <w:rsid w:val="005E4468"/>
    <w:rsid w:val="005E70D7"/>
    <w:rsid w:val="005F13F1"/>
    <w:rsid w:val="005F2DBE"/>
    <w:rsid w:val="005F3218"/>
    <w:rsid w:val="00600C22"/>
    <w:rsid w:val="00601336"/>
    <w:rsid w:val="00602680"/>
    <w:rsid w:val="00613840"/>
    <w:rsid w:val="00620B2E"/>
    <w:rsid w:val="00621983"/>
    <w:rsid w:val="006267F1"/>
    <w:rsid w:val="00627CFD"/>
    <w:rsid w:val="00634FCA"/>
    <w:rsid w:val="0063562F"/>
    <w:rsid w:val="00636029"/>
    <w:rsid w:val="006362F2"/>
    <w:rsid w:val="00636DBA"/>
    <w:rsid w:val="00637FD0"/>
    <w:rsid w:val="006403B0"/>
    <w:rsid w:val="0064333C"/>
    <w:rsid w:val="00652D24"/>
    <w:rsid w:val="006563A8"/>
    <w:rsid w:val="0066228F"/>
    <w:rsid w:val="0067376E"/>
    <w:rsid w:val="00677FDE"/>
    <w:rsid w:val="00681636"/>
    <w:rsid w:val="006849D0"/>
    <w:rsid w:val="00685ECC"/>
    <w:rsid w:val="00686377"/>
    <w:rsid w:val="00686E7D"/>
    <w:rsid w:val="00687482"/>
    <w:rsid w:val="00687F62"/>
    <w:rsid w:val="00693DFF"/>
    <w:rsid w:val="00694A7B"/>
    <w:rsid w:val="00695231"/>
    <w:rsid w:val="00695362"/>
    <w:rsid w:val="00697095"/>
    <w:rsid w:val="006971BA"/>
    <w:rsid w:val="006A3B84"/>
    <w:rsid w:val="006A4F73"/>
    <w:rsid w:val="006B6114"/>
    <w:rsid w:val="006C0A5D"/>
    <w:rsid w:val="006C0EF8"/>
    <w:rsid w:val="006C35F2"/>
    <w:rsid w:val="006C54B5"/>
    <w:rsid w:val="006C5A50"/>
    <w:rsid w:val="006C5BD5"/>
    <w:rsid w:val="006C6B70"/>
    <w:rsid w:val="006D05F7"/>
    <w:rsid w:val="006D198A"/>
    <w:rsid w:val="006D4808"/>
    <w:rsid w:val="006E039E"/>
    <w:rsid w:val="006E0AC4"/>
    <w:rsid w:val="006E0D06"/>
    <w:rsid w:val="006E5426"/>
    <w:rsid w:val="006E5D40"/>
    <w:rsid w:val="006F28C3"/>
    <w:rsid w:val="006F53A3"/>
    <w:rsid w:val="007011BA"/>
    <w:rsid w:val="007025F7"/>
    <w:rsid w:val="007051F7"/>
    <w:rsid w:val="007052AB"/>
    <w:rsid w:val="00706A4D"/>
    <w:rsid w:val="007101C2"/>
    <w:rsid w:val="0071020F"/>
    <w:rsid w:val="00712E34"/>
    <w:rsid w:val="00724326"/>
    <w:rsid w:val="00732C49"/>
    <w:rsid w:val="00734D06"/>
    <w:rsid w:val="00734FB2"/>
    <w:rsid w:val="007350D4"/>
    <w:rsid w:val="00735AA2"/>
    <w:rsid w:val="00737113"/>
    <w:rsid w:val="00740941"/>
    <w:rsid w:val="007430D0"/>
    <w:rsid w:val="007434CE"/>
    <w:rsid w:val="0074497B"/>
    <w:rsid w:val="00745378"/>
    <w:rsid w:val="00745E40"/>
    <w:rsid w:val="00747580"/>
    <w:rsid w:val="00747A74"/>
    <w:rsid w:val="007510D1"/>
    <w:rsid w:val="007513E4"/>
    <w:rsid w:val="00751E13"/>
    <w:rsid w:val="00752BF1"/>
    <w:rsid w:val="007532D9"/>
    <w:rsid w:val="00754B2E"/>
    <w:rsid w:val="007614B4"/>
    <w:rsid w:val="00761691"/>
    <w:rsid w:val="00764FAE"/>
    <w:rsid w:val="0076583D"/>
    <w:rsid w:val="00771B86"/>
    <w:rsid w:val="007740FA"/>
    <w:rsid w:val="007747B1"/>
    <w:rsid w:val="00774B85"/>
    <w:rsid w:val="00775F3E"/>
    <w:rsid w:val="0077609C"/>
    <w:rsid w:val="0079094C"/>
    <w:rsid w:val="007925DB"/>
    <w:rsid w:val="00794CC6"/>
    <w:rsid w:val="0079516F"/>
    <w:rsid w:val="0079662B"/>
    <w:rsid w:val="00796DAC"/>
    <w:rsid w:val="007974F6"/>
    <w:rsid w:val="007A1BA2"/>
    <w:rsid w:val="007A4AC8"/>
    <w:rsid w:val="007A58A8"/>
    <w:rsid w:val="007B064C"/>
    <w:rsid w:val="007B324E"/>
    <w:rsid w:val="007B5F5E"/>
    <w:rsid w:val="007C17DC"/>
    <w:rsid w:val="007C3DD7"/>
    <w:rsid w:val="007C6ACB"/>
    <w:rsid w:val="007C6F19"/>
    <w:rsid w:val="007C7425"/>
    <w:rsid w:val="007D16FC"/>
    <w:rsid w:val="007D1DD2"/>
    <w:rsid w:val="007F1719"/>
    <w:rsid w:val="007F3FEE"/>
    <w:rsid w:val="007F66E5"/>
    <w:rsid w:val="007F69DC"/>
    <w:rsid w:val="007F7311"/>
    <w:rsid w:val="00800D75"/>
    <w:rsid w:val="00805A91"/>
    <w:rsid w:val="00810FBF"/>
    <w:rsid w:val="00813551"/>
    <w:rsid w:val="00816D93"/>
    <w:rsid w:val="008216F9"/>
    <w:rsid w:val="00821756"/>
    <w:rsid w:val="008227E8"/>
    <w:rsid w:val="008232AE"/>
    <w:rsid w:val="00823C24"/>
    <w:rsid w:val="00825B46"/>
    <w:rsid w:val="008306E2"/>
    <w:rsid w:val="0083532D"/>
    <w:rsid w:val="00836C23"/>
    <w:rsid w:val="008447B9"/>
    <w:rsid w:val="008448F7"/>
    <w:rsid w:val="00845C08"/>
    <w:rsid w:val="00846989"/>
    <w:rsid w:val="00847CAE"/>
    <w:rsid w:val="00847F42"/>
    <w:rsid w:val="00850E9C"/>
    <w:rsid w:val="008526F8"/>
    <w:rsid w:val="00852E62"/>
    <w:rsid w:val="0085498C"/>
    <w:rsid w:val="0085783B"/>
    <w:rsid w:val="00860580"/>
    <w:rsid w:val="008607D0"/>
    <w:rsid w:val="00867C97"/>
    <w:rsid w:val="008729B5"/>
    <w:rsid w:val="008743A2"/>
    <w:rsid w:val="008777CF"/>
    <w:rsid w:val="00877A8A"/>
    <w:rsid w:val="00877CC6"/>
    <w:rsid w:val="008812AA"/>
    <w:rsid w:val="00882F64"/>
    <w:rsid w:val="00885B60"/>
    <w:rsid w:val="00885C76"/>
    <w:rsid w:val="00885E40"/>
    <w:rsid w:val="00886D08"/>
    <w:rsid w:val="00890ACD"/>
    <w:rsid w:val="008A1D0F"/>
    <w:rsid w:val="008A4F4C"/>
    <w:rsid w:val="008A645A"/>
    <w:rsid w:val="008B1FF6"/>
    <w:rsid w:val="008B3220"/>
    <w:rsid w:val="008B3560"/>
    <w:rsid w:val="008C438A"/>
    <w:rsid w:val="008C7FF9"/>
    <w:rsid w:val="008D624A"/>
    <w:rsid w:val="008D6AA9"/>
    <w:rsid w:val="008D7EE2"/>
    <w:rsid w:val="008E0196"/>
    <w:rsid w:val="008E11CD"/>
    <w:rsid w:val="008E16C5"/>
    <w:rsid w:val="008E44CB"/>
    <w:rsid w:val="008E4556"/>
    <w:rsid w:val="008E545B"/>
    <w:rsid w:val="008F2220"/>
    <w:rsid w:val="008F2A9A"/>
    <w:rsid w:val="008F4C41"/>
    <w:rsid w:val="008F7DB8"/>
    <w:rsid w:val="009016E9"/>
    <w:rsid w:val="00904A2E"/>
    <w:rsid w:val="00905E18"/>
    <w:rsid w:val="009071BA"/>
    <w:rsid w:val="009103E9"/>
    <w:rsid w:val="00911312"/>
    <w:rsid w:val="00911C56"/>
    <w:rsid w:val="00914732"/>
    <w:rsid w:val="0091799A"/>
    <w:rsid w:val="00922AAE"/>
    <w:rsid w:val="00927076"/>
    <w:rsid w:val="0093070E"/>
    <w:rsid w:val="009311A2"/>
    <w:rsid w:val="009324C4"/>
    <w:rsid w:val="0093277D"/>
    <w:rsid w:val="009329EC"/>
    <w:rsid w:val="00933363"/>
    <w:rsid w:val="00934904"/>
    <w:rsid w:val="00934D59"/>
    <w:rsid w:val="00935157"/>
    <w:rsid w:val="00936983"/>
    <w:rsid w:val="0094238C"/>
    <w:rsid w:val="00945E71"/>
    <w:rsid w:val="00947844"/>
    <w:rsid w:val="0095102F"/>
    <w:rsid w:val="00951DBA"/>
    <w:rsid w:val="009522BF"/>
    <w:rsid w:val="009535EA"/>
    <w:rsid w:val="009555AE"/>
    <w:rsid w:val="00955970"/>
    <w:rsid w:val="009562B4"/>
    <w:rsid w:val="00960D5D"/>
    <w:rsid w:val="00962EF8"/>
    <w:rsid w:val="00963CF4"/>
    <w:rsid w:val="00966313"/>
    <w:rsid w:val="00967502"/>
    <w:rsid w:val="00973ED2"/>
    <w:rsid w:val="0097502E"/>
    <w:rsid w:val="00975356"/>
    <w:rsid w:val="00976BE9"/>
    <w:rsid w:val="00980593"/>
    <w:rsid w:val="00981B76"/>
    <w:rsid w:val="0098318A"/>
    <w:rsid w:val="00986567"/>
    <w:rsid w:val="00986C08"/>
    <w:rsid w:val="0099405D"/>
    <w:rsid w:val="00996E87"/>
    <w:rsid w:val="009977FE"/>
    <w:rsid w:val="009A184C"/>
    <w:rsid w:val="009A277E"/>
    <w:rsid w:val="009A35B4"/>
    <w:rsid w:val="009A471B"/>
    <w:rsid w:val="009A4E0B"/>
    <w:rsid w:val="009A7DB1"/>
    <w:rsid w:val="009B05D0"/>
    <w:rsid w:val="009B073A"/>
    <w:rsid w:val="009B16A6"/>
    <w:rsid w:val="009B3501"/>
    <w:rsid w:val="009C33CE"/>
    <w:rsid w:val="009C34ED"/>
    <w:rsid w:val="009C5446"/>
    <w:rsid w:val="009C6600"/>
    <w:rsid w:val="009C7BE8"/>
    <w:rsid w:val="009D2205"/>
    <w:rsid w:val="009D2DBD"/>
    <w:rsid w:val="009E1883"/>
    <w:rsid w:val="009E2DEF"/>
    <w:rsid w:val="009E3941"/>
    <w:rsid w:val="009E4019"/>
    <w:rsid w:val="009E5539"/>
    <w:rsid w:val="009F177D"/>
    <w:rsid w:val="009F4845"/>
    <w:rsid w:val="009F5C0D"/>
    <w:rsid w:val="009F7543"/>
    <w:rsid w:val="00A01ADD"/>
    <w:rsid w:val="00A0285C"/>
    <w:rsid w:val="00A0675F"/>
    <w:rsid w:val="00A07F4B"/>
    <w:rsid w:val="00A12188"/>
    <w:rsid w:val="00A125F4"/>
    <w:rsid w:val="00A13CD3"/>
    <w:rsid w:val="00A14414"/>
    <w:rsid w:val="00A166F7"/>
    <w:rsid w:val="00A25F52"/>
    <w:rsid w:val="00A3392F"/>
    <w:rsid w:val="00A347E5"/>
    <w:rsid w:val="00A401BC"/>
    <w:rsid w:val="00A41B80"/>
    <w:rsid w:val="00A4224D"/>
    <w:rsid w:val="00A42D60"/>
    <w:rsid w:val="00A4301D"/>
    <w:rsid w:val="00A4327D"/>
    <w:rsid w:val="00A507E9"/>
    <w:rsid w:val="00A545CC"/>
    <w:rsid w:val="00A54FD6"/>
    <w:rsid w:val="00A60E82"/>
    <w:rsid w:val="00A64AC4"/>
    <w:rsid w:val="00A67F9C"/>
    <w:rsid w:val="00A71A4F"/>
    <w:rsid w:val="00A725D7"/>
    <w:rsid w:val="00A74A99"/>
    <w:rsid w:val="00A76738"/>
    <w:rsid w:val="00A8119C"/>
    <w:rsid w:val="00A83B9C"/>
    <w:rsid w:val="00AA29D3"/>
    <w:rsid w:val="00AA6495"/>
    <w:rsid w:val="00AB1661"/>
    <w:rsid w:val="00AB2B18"/>
    <w:rsid w:val="00AB3237"/>
    <w:rsid w:val="00AB3672"/>
    <w:rsid w:val="00AB56A3"/>
    <w:rsid w:val="00AC4585"/>
    <w:rsid w:val="00AC60C5"/>
    <w:rsid w:val="00AD104E"/>
    <w:rsid w:val="00AD1E76"/>
    <w:rsid w:val="00AD2464"/>
    <w:rsid w:val="00AD262A"/>
    <w:rsid w:val="00AD72A9"/>
    <w:rsid w:val="00AE33D8"/>
    <w:rsid w:val="00AE3A10"/>
    <w:rsid w:val="00AE5828"/>
    <w:rsid w:val="00AE6415"/>
    <w:rsid w:val="00AF07B4"/>
    <w:rsid w:val="00AF5235"/>
    <w:rsid w:val="00AF7210"/>
    <w:rsid w:val="00B0226F"/>
    <w:rsid w:val="00B02A75"/>
    <w:rsid w:val="00B02F8C"/>
    <w:rsid w:val="00B0389E"/>
    <w:rsid w:val="00B04D96"/>
    <w:rsid w:val="00B06FC6"/>
    <w:rsid w:val="00B104A1"/>
    <w:rsid w:val="00B11C08"/>
    <w:rsid w:val="00B11C0F"/>
    <w:rsid w:val="00B13D5B"/>
    <w:rsid w:val="00B145BB"/>
    <w:rsid w:val="00B16A3F"/>
    <w:rsid w:val="00B17282"/>
    <w:rsid w:val="00B232E8"/>
    <w:rsid w:val="00B250BF"/>
    <w:rsid w:val="00B259AB"/>
    <w:rsid w:val="00B27FF3"/>
    <w:rsid w:val="00B3017A"/>
    <w:rsid w:val="00B3023D"/>
    <w:rsid w:val="00B308EB"/>
    <w:rsid w:val="00B309F4"/>
    <w:rsid w:val="00B35A9A"/>
    <w:rsid w:val="00B376F2"/>
    <w:rsid w:val="00B37F55"/>
    <w:rsid w:val="00B40A2F"/>
    <w:rsid w:val="00B4623B"/>
    <w:rsid w:val="00B463D0"/>
    <w:rsid w:val="00B4714E"/>
    <w:rsid w:val="00B50B18"/>
    <w:rsid w:val="00B51AD3"/>
    <w:rsid w:val="00B537F1"/>
    <w:rsid w:val="00B56153"/>
    <w:rsid w:val="00B572B7"/>
    <w:rsid w:val="00B632C2"/>
    <w:rsid w:val="00B638CE"/>
    <w:rsid w:val="00B6414E"/>
    <w:rsid w:val="00B65FF7"/>
    <w:rsid w:val="00B67CDC"/>
    <w:rsid w:val="00B71B55"/>
    <w:rsid w:val="00B72E65"/>
    <w:rsid w:val="00B7478F"/>
    <w:rsid w:val="00B74DE2"/>
    <w:rsid w:val="00B82BC3"/>
    <w:rsid w:val="00B84A77"/>
    <w:rsid w:val="00B86C33"/>
    <w:rsid w:val="00B87367"/>
    <w:rsid w:val="00B90D5C"/>
    <w:rsid w:val="00B96097"/>
    <w:rsid w:val="00B97410"/>
    <w:rsid w:val="00BA43B0"/>
    <w:rsid w:val="00BA4932"/>
    <w:rsid w:val="00BA7939"/>
    <w:rsid w:val="00BB0346"/>
    <w:rsid w:val="00BB1E56"/>
    <w:rsid w:val="00BB2505"/>
    <w:rsid w:val="00BB4C15"/>
    <w:rsid w:val="00BB56C9"/>
    <w:rsid w:val="00BB74DD"/>
    <w:rsid w:val="00BB7DBA"/>
    <w:rsid w:val="00BC2FAA"/>
    <w:rsid w:val="00BC5958"/>
    <w:rsid w:val="00BD0D1F"/>
    <w:rsid w:val="00BD2602"/>
    <w:rsid w:val="00BD58F6"/>
    <w:rsid w:val="00BD69B7"/>
    <w:rsid w:val="00BE1045"/>
    <w:rsid w:val="00BE2286"/>
    <w:rsid w:val="00BE5DF9"/>
    <w:rsid w:val="00BE6885"/>
    <w:rsid w:val="00BE6D9F"/>
    <w:rsid w:val="00BE6EE0"/>
    <w:rsid w:val="00BF098C"/>
    <w:rsid w:val="00BF0EDA"/>
    <w:rsid w:val="00BF1B66"/>
    <w:rsid w:val="00BF2932"/>
    <w:rsid w:val="00BF305C"/>
    <w:rsid w:val="00BF4AF0"/>
    <w:rsid w:val="00BF4C3F"/>
    <w:rsid w:val="00BF5CFF"/>
    <w:rsid w:val="00BF78DF"/>
    <w:rsid w:val="00C0003E"/>
    <w:rsid w:val="00C06C17"/>
    <w:rsid w:val="00C104DA"/>
    <w:rsid w:val="00C1251F"/>
    <w:rsid w:val="00C12A68"/>
    <w:rsid w:val="00C14C7D"/>
    <w:rsid w:val="00C15740"/>
    <w:rsid w:val="00C1665A"/>
    <w:rsid w:val="00C17C09"/>
    <w:rsid w:val="00C237A4"/>
    <w:rsid w:val="00C25029"/>
    <w:rsid w:val="00C26997"/>
    <w:rsid w:val="00C3233A"/>
    <w:rsid w:val="00C3292E"/>
    <w:rsid w:val="00C366BA"/>
    <w:rsid w:val="00C370F6"/>
    <w:rsid w:val="00C41B50"/>
    <w:rsid w:val="00C435BA"/>
    <w:rsid w:val="00C44A31"/>
    <w:rsid w:val="00C4767F"/>
    <w:rsid w:val="00C51004"/>
    <w:rsid w:val="00C54C57"/>
    <w:rsid w:val="00C66AF2"/>
    <w:rsid w:val="00C67D00"/>
    <w:rsid w:val="00C71165"/>
    <w:rsid w:val="00C71F7C"/>
    <w:rsid w:val="00C76CEB"/>
    <w:rsid w:val="00C80A16"/>
    <w:rsid w:val="00C81547"/>
    <w:rsid w:val="00C821DC"/>
    <w:rsid w:val="00C84180"/>
    <w:rsid w:val="00C900FB"/>
    <w:rsid w:val="00CA00BA"/>
    <w:rsid w:val="00CA17CD"/>
    <w:rsid w:val="00CB0113"/>
    <w:rsid w:val="00CB1751"/>
    <w:rsid w:val="00CB3589"/>
    <w:rsid w:val="00CB41BF"/>
    <w:rsid w:val="00CB5641"/>
    <w:rsid w:val="00CB610C"/>
    <w:rsid w:val="00CC11D3"/>
    <w:rsid w:val="00CC2DE2"/>
    <w:rsid w:val="00CC31DA"/>
    <w:rsid w:val="00CC5FC4"/>
    <w:rsid w:val="00CD048F"/>
    <w:rsid w:val="00CD0FD2"/>
    <w:rsid w:val="00CD15DF"/>
    <w:rsid w:val="00CD3720"/>
    <w:rsid w:val="00CE04BB"/>
    <w:rsid w:val="00CE0C66"/>
    <w:rsid w:val="00CE263A"/>
    <w:rsid w:val="00CE5693"/>
    <w:rsid w:val="00CF0BE6"/>
    <w:rsid w:val="00CF1275"/>
    <w:rsid w:val="00CF141E"/>
    <w:rsid w:val="00CF3004"/>
    <w:rsid w:val="00CF7447"/>
    <w:rsid w:val="00CF758C"/>
    <w:rsid w:val="00D01D20"/>
    <w:rsid w:val="00D1359E"/>
    <w:rsid w:val="00D136C9"/>
    <w:rsid w:val="00D14464"/>
    <w:rsid w:val="00D2005A"/>
    <w:rsid w:val="00D27930"/>
    <w:rsid w:val="00D33378"/>
    <w:rsid w:val="00D37763"/>
    <w:rsid w:val="00D406F8"/>
    <w:rsid w:val="00D460FC"/>
    <w:rsid w:val="00D46C2B"/>
    <w:rsid w:val="00D47465"/>
    <w:rsid w:val="00D47EB9"/>
    <w:rsid w:val="00D50533"/>
    <w:rsid w:val="00D51326"/>
    <w:rsid w:val="00D545F7"/>
    <w:rsid w:val="00D54B28"/>
    <w:rsid w:val="00D555A4"/>
    <w:rsid w:val="00D60717"/>
    <w:rsid w:val="00D60736"/>
    <w:rsid w:val="00D617BE"/>
    <w:rsid w:val="00D6433C"/>
    <w:rsid w:val="00D64867"/>
    <w:rsid w:val="00D64B4E"/>
    <w:rsid w:val="00D64F44"/>
    <w:rsid w:val="00D67448"/>
    <w:rsid w:val="00D71C9C"/>
    <w:rsid w:val="00D767FA"/>
    <w:rsid w:val="00D77C77"/>
    <w:rsid w:val="00D80087"/>
    <w:rsid w:val="00D82EF9"/>
    <w:rsid w:val="00D832D2"/>
    <w:rsid w:val="00D8493A"/>
    <w:rsid w:val="00D84E72"/>
    <w:rsid w:val="00D860E4"/>
    <w:rsid w:val="00D87D2D"/>
    <w:rsid w:val="00D9004F"/>
    <w:rsid w:val="00D9387A"/>
    <w:rsid w:val="00D94D5D"/>
    <w:rsid w:val="00D97F29"/>
    <w:rsid w:val="00DA0F81"/>
    <w:rsid w:val="00DA3338"/>
    <w:rsid w:val="00DA41DE"/>
    <w:rsid w:val="00DA63B1"/>
    <w:rsid w:val="00DB7DC3"/>
    <w:rsid w:val="00DC2177"/>
    <w:rsid w:val="00DC3C81"/>
    <w:rsid w:val="00DC3F17"/>
    <w:rsid w:val="00DC4889"/>
    <w:rsid w:val="00DD22CA"/>
    <w:rsid w:val="00DD3683"/>
    <w:rsid w:val="00DD7746"/>
    <w:rsid w:val="00DD7B4E"/>
    <w:rsid w:val="00DD7DE0"/>
    <w:rsid w:val="00DE44D5"/>
    <w:rsid w:val="00DE74E9"/>
    <w:rsid w:val="00DF2D23"/>
    <w:rsid w:val="00DF3258"/>
    <w:rsid w:val="00DF7A9A"/>
    <w:rsid w:val="00E00A16"/>
    <w:rsid w:val="00E00B8A"/>
    <w:rsid w:val="00E06549"/>
    <w:rsid w:val="00E11BAD"/>
    <w:rsid w:val="00E13700"/>
    <w:rsid w:val="00E222F3"/>
    <w:rsid w:val="00E23028"/>
    <w:rsid w:val="00E231BE"/>
    <w:rsid w:val="00E248B7"/>
    <w:rsid w:val="00E24F4C"/>
    <w:rsid w:val="00E25859"/>
    <w:rsid w:val="00E330CF"/>
    <w:rsid w:val="00E354E1"/>
    <w:rsid w:val="00E3700F"/>
    <w:rsid w:val="00E40225"/>
    <w:rsid w:val="00E408B6"/>
    <w:rsid w:val="00E42029"/>
    <w:rsid w:val="00E42884"/>
    <w:rsid w:val="00E43CE8"/>
    <w:rsid w:val="00E44ECD"/>
    <w:rsid w:val="00E462D9"/>
    <w:rsid w:val="00E511BE"/>
    <w:rsid w:val="00E5607A"/>
    <w:rsid w:val="00E60089"/>
    <w:rsid w:val="00E60E0F"/>
    <w:rsid w:val="00E62244"/>
    <w:rsid w:val="00E62831"/>
    <w:rsid w:val="00E62EC0"/>
    <w:rsid w:val="00E631EF"/>
    <w:rsid w:val="00E65BAC"/>
    <w:rsid w:val="00E73762"/>
    <w:rsid w:val="00E75B92"/>
    <w:rsid w:val="00E80B7C"/>
    <w:rsid w:val="00E86E4F"/>
    <w:rsid w:val="00E91043"/>
    <w:rsid w:val="00E92441"/>
    <w:rsid w:val="00E92846"/>
    <w:rsid w:val="00E92B54"/>
    <w:rsid w:val="00E9320E"/>
    <w:rsid w:val="00E94BB5"/>
    <w:rsid w:val="00EA103E"/>
    <w:rsid w:val="00EA2583"/>
    <w:rsid w:val="00EA4831"/>
    <w:rsid w:val="00EA702C"/>
    <w:rsid w:val="00EB0C9D"/>
    <w:rsid w:val="00EB0E9B"/>
    <w:rsid w:val="00EB7D09"/>
    <w:rsid w:val="00EC2092"/>
    <w:rsid w:val="00EC3F96"/>
    <w:rsid w:val="00ED0E65"/>
    <w:rsid w:val="00EE0396"/>
    <w:rsid w:val="00EE08B5"/>
    <w:rsid w:val="00EE13A2"/>
    <w:rsid w:val="00EE418C"/>
    <w:rsid w:val="00EF0CAE"/>
    <w:rsid w:val="00EF385C"/>
    <w:rsid w:val="00EF540A"/>
    <w:rsid w:val="00EF682E"/>
    <w:rsid w:val="00F00267"/>
    <w:rsid w:val="00F009FD"/>
    <w:rsid w:val="00F019A0"/>
    <w:rsid w:val="00F0289A"/>
    <w:rsid w:val="00F10701"/>
    <w:rsid w:val="00F11FB9"/>
    <w:rsid w:val="00F12CD4"/>
    <w:rsid w:val="00F13001"/>
    <w:rsid w:val="00F20285"/>
    <w:rsid w:val="00F204A1"/>
    <w:rsid w:val="00F221DD"/>
    <w:rsid w:val="00F2432B"/>
    <w:rsid w:val="00F24A9C"/>
    <w:rsid w:val="00F2527D"/>
    <w:rsid w:val="00F25628"/>
    <w:rsid w:val="00F261D5"/>
    <w:rsid w:val="00F26EDA"/>
    <w:rsid w:val="00F2712F"/>
    <w:rsid w:val="00F3083E"/>
    <w:rsid w:val="00F323F0"/>
    <w:rsid w:val="00F37E12"/>
    <w:rsid w:val="00F41CF5"/>
    <w:rsid w:val="00F423B6"/>
    <w:rsid w:val="00F44CA4"/>
    <w:rsid w:val="00F45E17"/>
    <w:rsid w:val="00F47801"/>
    <w:rsid w:val="00F53281"/>
    <w:rsid w:val="00F57350"/>
    <w:rsid w:val="00F60B50"/>
    <w:rsid w:val="00F62D5C"/>
    <w:rsid w:val="00F638D3"/>
    <w:rsid w:val="00F650A9"/>
    <w:rsid w:val="00F669E1"/>
    <w:rsid w:val="00F7075F"/>
    <w:rsid w:val="00F70F7D"/>
    <w:rsid w:val="00F75922"/>
    <w:rsid w:val="00F763C8"/>
    <w:rsid w:val="00F77329"/>
    <w:rsid w:val="00F8024B"/>
    <w:rsid w:val="00F83E50"/>
    <w:rsid w:val="00F84CFC"/>
    <w:rsid w:val="00F9381E"/>
    <w:rsid w:val="00F96ADC"/>
    <w:rsid w:val="00FA5ABD"/>
    <w:rsid w:val="00FB30AC"/>
    <w:rsid w:val="00FB7686"/>
    <w:rsid w:val="00FC1EFA"/>
    <w:rsid w:val="00FC2B73"/>
    <w:rsid w:val="00FC2D0E"/>
    <w:rsid w:val="00FC3E11"/>
    <w:rsid w:val="00FC3FC8"/>
    <w:rsid w:val="00FC6930"/>
    <w:rsid w:val="00FD252F"/>
    <w:rsid w:val="00FD2B98"/>
    <w:rsid w:val="00FD4694"/>
    <w:rsid w:val="00FD5DA5"/>
    <w:rsid w:val="00FD7BF4"/>
    <w:rsid w:val="00FE2F66"/>
    <w:rsid w:val="00FF0F2F"/>
    <w:rsid w:val="00FF203C"/>
    <w:rsid w:val="00FF391A"/>
    <w:rsid w:val="00FF6BCE"/>
    <w:rsid w:val="014B2DCB"/>
    <w:rsid w:val="01A7608C"/>
    <w:rsid w:val="01CC7370"/>
    <w:rsid w:val="01DD1DDB"/>
    <w:rsid w:val="029A187E"/>
    <w:rsid w:val="02DC4C0E"/>
    <w:rsid w:val="03B156B5"/>
    <w:rsid w:val="03BA1B83"/>
    <w:rsid w:val="03C76312"/>
    <w:rsid w:val="03D175E8"/>
    <w:rsid w:val="04051437"/>
    <w:rsid w:val="04907368"/>
    <w:rsid w:val="04D33B67"/>
    <w:rsid w:val="04DB23B5"/>
    <w:rsid w:val="0536626E"/>
    <w:rsid w:val="058C7450"/>
    <w:rsid w:val="05934DF8"/>
    <w:rsid w:val="05A75A44"/>
    <w:rsid w:val="05FC4841"/>
    <w:rsid w:val="06006C4E"/>
    <w:rsid w:val="06B84C89"/>
    <w:rsid w:val="075C3970"/>
    <w:rsid w:val="07BF5A55"/>
    <w:rsid w:val="08006357"/>
    <w:rsid w:val="080A045C"/>
    <w:rsid w:val="087E2C8E"/>
    <w:rsid w:val="0913304C"/>
    <w:rsid w:val="097E2834"/>
    <w:rsid w:val="09AA5D69"/>
    <w:rsid w:val="09E50C6F"/>
    <w:rsid w:val="09FB5160"/>
    <w:rsid w:val="0B4034BA"/>
    <w:rsid w:val="0BDA49B3"/>
    <w:rsid w:val="0CAA523C"/>
    <w:rsid w:val="0CCE2319"/>
    <w:rsid w:val="0D1F37D1"/>
    <w:rsid w:val="0DBB0E2A"/>
    <w:rsid w:val="0DF878E7"/>
    <w:rsid w:val="0DFD4A91"/>
    <w:rsid w:val="0E0632C6"/>
    <w:rsid w:val="0E0B1B42"/>
    <w:rsid w:val="0E4D5B60"/>
    <w:rsid w:val="0E645DF2"/>
    <w:rsid w:val="0F975E1D"/>
    <w:rsid w:val="0F9F69E2"/>
    <w:rsid w:val="0FE47E65"/>
    <w:rsid w:val="10D96841"/>
    <w:rsid w:val="11097DAB"/>
    <w:rsid w:val="122F2B53"/>
    <w:rsid w:val="12847191"/>
    <w:rsid w:val="12904491"/>
    <w:rsid w:val="12BA07A5"/>
    <w:rsid w:val="12CB7703"/>
    <w:rsid w:val="131830AA"/>
    <w:rsid w:val="13CA1B57"/>
    <w:rsid w:val="14086DC9"/>
    <w:rsid w:val="142A1BD3"/>
    <w:rsid w:val="145E57EA"/>
    <w:rsid w:val="14D062CA"/>
    <w:rsid w:val="14D91198"/>
    <w:rsid w:val="15512484"/>
    <w:rsid w:val="159266A5"/>
    <w:rsid w:val="15996C0B"/>
    <w:rsid w:val="15CC2D06"/>
    <w:rsid w:val="15DA7749"/>
    <w:rsid w:val="15E73501"/>
    <w:rsid w:val="16296478"/>
    <w:rsid w:val="168035E6"/>
    <w:rsid w:val="16AF4443"/>
    <w:rsid w:val="16CA1252"/>
    <w:rsid w:val="17676F8F"/>
    <w:rsid w:val="17764F54"/>
    <w:rsid w:val="17F92C9E"/>
    <w:rsid w:val="181E7944"/>
    <w:rsid w:val="18A65C13"/>
    <w:rsid w:val="18F8172D"/>
    <w:rsid w:val="19205A29"/>
    <w:rsid w:val="199E2E6B"/>
    <w:rsid w:val="19B05DCE"/>
    <w:rsid w:val="19DE1512"/>
    <w:rsid w:val="1A11228E"/>
    <w:rsid w:val="1B100058"/>
    <w:rsid w:val="1BD45342"/>
    <w:rsid w:val="1C1D5C5C"/>
    <w:rsid w:val="1C9B44C8"/>
    <w:rsid w:val="1CB0280E"/>
    <w:rsid w:val="1D6F2958"/>
    <w:rsid w:val="1D942276"/>
    <w:rsid w:val="1DE972FF"/>
    <w:rsid w:val="1E216945"/>
    <w:rsid w:val="1E2E4982"/>
    <w:rsid w:val="1E2F20D9"/>
    <w:rsid w:val="1E405EF4"/>
    <w:rsid w:val="1E7C34AE"/>
    <w:rsid w:val="1E8342C6"/>
    <w:rsid w:val="1EC93D1A"/>
    <w:rsid w:val="1ED6378A"/>
    <w:rsid w:val="1EDF6DFF"/>
    <w:rsid w:val="1F247A0C"/>
    <w:rsid w:val="1F6A67BE"/>
    <w:rsid w:val="1F844CA8"/>
    <w:rsid w:val="1FD170E7"/>
    <w:rsid w:val="201257DF"/>
    <w:rsid w:val="20942AF0"/>
    <w:rsid w:val="20A978A1"/>
    <w:rsid w:val="20B96FC5"/>
    <w:rsid w:val="21213DCA"/>
    <w:rsid w:val="21760A05"/>
    <w:rsid w:val="21BE0F4D"/>
    <w:rsid w:val="222136D6"/>
    <w:rsid w:val="22803E19"/>
    <w:rsid w:val="22810BCB"/>
    <w:rsid w:val="22A27C17"/>
    <w:rsid w:val="233B50FF"/>
    <w:rsid w:val="235A04AF"/>
    <w:rsid w:val="23613054"/>
    <w:rsid w:val="237C3160"/>
    <w:rsid w:val="239B4777"/>
    <w:rsid w:val="23A075BC"/>
    <w:rsid w:val="246C7D08"/>
    <w:rsid w:val="24A728A3"/>
    <w:rsid w:val="24D93B00"/>
    <w:rsid w:val="251F7D23"/>
    <w:rsid w:val="25A12C23"/>
    <w:rsid w:val="25D64D05"/>
    <w:rsid w:val="263D6608"/>
    <w:rsid w:val="267D2917"/>
    <w:rsid w:val="26981CD4"/>
    <w:rsid w:val="26A52995"/>
    <w:rsid w:val="26A62D06"/>
    <w:rsid w:val="26B1178E"/>
    <w:rsid w:val="26D51193"/>
    <w:rsid w:val="27242DCF"/>
    <w:rsid w:val="279940DA"/>
    <w:rsid w:val="27C20D3D"/>
    <w:rsid w:val="28143BCE"/>
    <w:rsid w:val="28166395"/>
    <w:rsid w:val="28397580"/>
    <w:rsid w:val="283A3F0F"/>
    <w:rsid w:val="288F29DA"/>
    <w:rsid w:val="28B67DBD"/>
    <w:rsid w:val="291D1213"/>
    <w:rsid w:val="2939686F"/>
    <w:rsid w:val="29422343"/>
    <w:rsid w:val="299054D8"/>
    <w:rsid w:val="29C1586F"/>
    <w:rsid w:val="2B217352"/>
    <w:rsid w:val="2B9E594C"/>
    <w:rsid w:val="2BA05CBC"/>
    <w:rsid w:val="2BF20F38"/>
    <w:rsid w:val="2CE4523D"/>
    <w:rsid w:val="2D12256D"/>
    <w:rsid w:val="2DB7308A"/>
    <w:rsid w:val="2E020ED5"/>
    <w:rsid w:val="2E260344"/>
    <w:rsid w:val="2E734141"/>
    <w:rsid w:val="2EDF4302"/>
    <w:rsid w:val="2F2663C7"/>
    <w:rsid w:val="2FCF2577"/>
    <w:rsid w:val="30736A4F"/>
    <w:rsid w:val="30817D16"/>
    <w:rsid w:val="30FB6020"/>
    <w:rsid w:val="31412795"/>
    <w:rsid w:val="326E7E4D"/>
    <w:rsid w:val="32B833AF"/>
    <w:rsid w:val="32DE33FD"/>
    <w:rsid w:val="33070D20"/>
    <w:rsid w:val="33923E41"/>
    <w:rsid w:val="341A12FC"/>
    <w:rsid w:val="3424781D"/>
    <w:rsid w:val="34496377"/>
    <w:rsid w:val="3473097F"/>
    <w:rsid w:val="34750DEC"/>
    <w:rsid w:val="35762C76"/>
    <w:rsid w:val="35A13572"/>
    <w:rsid w:val="35DE058B"/>
    <w:rsid w:val="35EA64FD"/>
    <w:rsid w:val="35FA36E0"/>
    <w:rsid w:val="361F1D5C"/>
    <w:rsid w:val="36877708"/>
    <w:rsid w:val="368C402E"/>
    <w:rsid w:val="369013EA"/>
    <w:rsid w:val="36CC7811"/>
    <w:rsid w:val="37167388"/>
    <w:rsid w:val="371C7987"/>
    <w:rsid w:val="37572072"/>
    <w:rsid w:val="37573E39"/>
    <w:rsid w:val="3758743B"/>
    <w:rsid w:val="37DC3A83"/>
    <w:rsid w:val="386C20C4"/>
    <w:rsid w:val="38700706"/>
    <w:rsid w:val="387C3025"/>
    <w:rsid w:val="38813E94"/>
    <w:rsid w:val="38B36EDA"/>
    <w:rsid w:val="38CC5B33"/>
    <w:rsid w:val="38DA6B9F"/>
    <w:rsid w:val="38FA1379"/>
    <w:rsid w:val="39333B77"/>
    <w:rsid w:val="39816359"/>
    <w:rsid w:val="39981C2C"/>
    <w:rsid w:val="39A41D45"/>
    <w:rsid w:val="3A1C6673"/>
    <w:rsid w:val="3A6B32AC"/>
    <w:rsid w:val="3AA550E6"/>
    <w:rsid w:val="3AEB67D8"/>
    <w:rsid w:val="3B1D23AE"/>
    <w:rsid w:val="3B443FFD"/>
    <w:rsid w:val="3B800F73"/>
    <w:rsid w:val="3B9E18B6"/>
    <w:rsid w:val="3BB30288"/>
    <w:rsid w:val="3CCD7DE2"/>
    <w:rsid w:val="3CFF5069"/>
    <w:rsid w:val="3D087767"/>
    <w:rsid w:val="3D124969"/>
    <w:rsid w:val="3D3A6A47"/>
    <w:rsid w:val="3DAD4E3F"/>
    <w:rsid w:val="3DB94650"/>
    <w:rsid w:val="3E0C6502"/>
    <w:rsid w:val="3E346E42"/>
    <w:rsid w:val="3E832165"/>
    <w:rsid w:val="3E943839"/>
    <w:rsid w:val="3EC50D1B"/>
    <w:rsid w:val="3EE20135"/>
    <w:rsid w:val="3EFF350C"/>
    <w:rsid w:val="3F40766C"/>
    <w:rsid w:val="3F4567E1"/>
    <w:rsid w:val="3F6F71A7"/>
    <w:rsid w:val="3F7406FA"/>
    <w:rsid w:val="3FDB27D6"/>
    <w:rsid w:val="4044666A"/>
    <w:rsid w:val="406E5D14"/>
    <w:rsid w:val="40785296"/>
    <w:rsid w:val="40931EAC"/>
    <w:rsid w:val="40A84E4B"/>
    <w:rsid w:val="40E62E7D"/>
    <w:rsid w:val="40F52DC0"/>
    <w:rsid w:val="41123315"/>
    <w:rsid w:val="41753925"/>
    <w:rsid w:val="41B958AF"/>
    <w:rsid w:val="42116D5D"/>
    <w:rsid w:val="427F7C80"/>
    <w:rsid w:val="42876CE2"/>
    <w:rsid w:val="42AB228D"/>
    <w:rsid w:val="42D13EC8"/>
    <w:rsid w:val="435F435D"/>
    <w:rsid w:val="43707776"/>
    <w:rsid w:val="43F13BDE"/>
    <w:rsid w:val="43F73F6D"/>
    <w:rsid w:val="443A40BF"/>
    <w:rsid w:val="447B1447"/>
    <w:rsid w:val="453452D6"/>
    <w:rsid w:val="454637E1"/>
    <w:rsid w:val="45782CDC"/>
    <w:rsid w:val="45873CEF"/>
    <w:rsid w:val="46615AF6"/>
    <w:rsid w:val="46A61BF8"/>
    <w:rsid w:val="46CB6236"/>
    <w:rsid w:val="47942B0E"/>
    <w:rsid w:val="479E0B1D"/>
    <w:rsid w:val="47B75973"/>
    <w:rsid w:val="47C87B80"/>
    <w:rsid w:val="48FC406E"/>
    <w:rsid w:val="48FD37D9"/>
    <w:rsid w:val="494B0A69"/>
    <w:rsid w:val="49AC48A3"/>
    <w:rsid w:val="49B4660E"/>
    <w:rsid w:val="49C74B68"/>
    <w:rsid w:val="49FB5243"/>
    <w:rsid w:val="4A6C513B"/>
    <w:rsid w:val="4A852E89"/>
    <w:rsid w:val="4AC27642"/>
    <w:rsid w:val="4ADB14EE"/>
    <w:rsid w:val="4B24334B"/>
    <w:rsid w:val="4BD765E4"/>
    <w:rsid w:val="4BED4059"/>
    <w:rsid w:val="4C822EDB"/>
    <w:rsid w:val="4C956993"/>
    <w:rsid w:val="4CF8661D"/>
    <w:rsid w:val="4CFD78A8"/>
    <w:rsid w:val="4DCB03CA"/>
    <w:rsid w:val="4E3F2E89"/>
    <w:rsid w:val="4E7454B3"/>
    <w:rsid w:val="4F5A7C58"/>
    <w:rsid w:val="4F986150"/>
    <w:rsid w:val="4FB3436A"/>
    <w:rsid w:val="4FD179D6"/>
    <w:rsid w:val="50011C36"/>
    <w:rsid w:val="500357BB"/>
    <w:rsid w:val="504F73BD"/>
    <w:rsid w:val="50503EBC"/>
    <w:rsid w:val="50973D4D"/>
    <w:rsid w:val="50BC3FFA"/>
    <w:rsid w:val="50F005E4"/>
    <w:rsid w:val="51A645A1"/>
    <w:rsid w:val="51BC3CE7"/>
    <w:rsid w:val="51F43356"/>
    <w:rsid w:val="52354064"/>
    <w:rsid w:val="525E2FBB"/>
    <w:rsid w:val="52AF2B69"/>
    <w:rsid w:val="530575AA"/>
    <w:rsid w:val="535E7980"/>
    <w:rsid w:val="536A25E3"/>
    <w:rsid w:val="53D333E6"/>
    <w:rsid w:val="53ED60EC"/>
    <w:rsid w:val="53FE6F40"/>
    <w:rsid w:val="54254490"/>
    <w:rsid w:val="54273965"/>
    <w:rsid w:val="54980746"/>
    <w:rsid w:val="54EF47C6"/>
    <w:rsid w:val="54FE72D7"/>
    <w:rsid w:val="550333CD"/>
    <w:rsid w:val="551B40D3"/>
    <w:rsid w:val="55575F45"/>
    <w:rsid w:val="55F4043A"/>
    <w:rsid w:val="56CA7081"/>
    <w:rsid w:val="56F7053C"/>
    <w:rsid w:val="57240366"/>
    <w:rsid w:val="575A72CB"/>
    <w:rsid w:val="576D1B64"/>
    <w:rsid w:val="58232C8C"/>
    <w:rsid w:val="58F9403E"/>
    <w:rsid w:val="59116D72"/>
    <w:rsid w:val="591946E0"/>
    <w:rsid w:val="592B4413"/>
    <w:rsid w:val="593E7E74"/>
    <w:rsid w:val="594B3864"/>
    <w:rsid w:val="597F67EE"/>
    <w:rsid w:val="59F20A8D"/>
    <w:rsid w:val="5A531560"/>
    <w:rsid w:val="5A972928"/>
    <w:rsid w:val="5AA56E6D"/>
    <w:rsid w:val="5AB20948"/>
    <w:rsid w:val="5B5C6B06"/>
    <w:rsid w:val="5B757CDE"/>
    <w:rsid w:val="5BA774BB"/>
    <w:rsid w:val="5C210A58"/>
    <w:rsid w:val="5C354F4B"/>
    <w:rsid w:val="5C4A5809"/>
    <w:rsid w:val="5C6B5784"/>
    <w:rsid w:val="5CC57632"/>
    <w:rsid w:val="5D1B4587"/>
    <w:rsid w:val="5D573A29"/>
    <w:rsid w:val="5DF24353"/>
    <w:rsid w:val="5E5D3327"/>
    <w:rsid w:val="5E5E7823"/>
    <w:rsid w:val="5E7244D1"/>
    <w:rsid w:val="5F3B33B7"/>
    <w:rsid w:val="5FAB51B7"/>
    <w:rsid w:val="5FB57C29"/>
    <w:rsid w:val="5FC04721"/>
    <w:rsid w:val="5FD83359"/>
    <w:rsid w:val="60076895"/>
    <w:rsid w:val="607F3749"/>
    <w:rsid w:val="617B1B6A"/>
    <w:rsid w:val="61E408FB"/>
    <w:rsid w:val="6208709F"/>
    <w:rsid w:val="629D3C8C"/>
    <w:rsid w:val="62D37937"/>
    <w:rsid w:val="6318036C"/>
    <w:rsid w:val="63FF642B"/>
    <w:rsid w:val="641937E6"/>
    <w:rsid w:val="647E3DD7"/>
    <w:rsid w:val="648B01E9"/>
    <w:rsid w:val="64A73C6C"/>
    <w:rsid w:val="64FE5CD8"/>
    <w:rsid w:val="65077AE2"/>
    <w:rsid w:val="652206E1"/>
    <w:rsid w:val="655E40F7"/>
    <w:rsid w:val="65C332FC"/>
    <w:rsid w:val="65DF0A5F"/>
    <w:rsid w:val="66082841"/>
    <w:rsid w:val="660B53B0"/>
    <w:rsid w:val="66660838"/>
    <w:rsid w:val="66723681"/>
    <w:rsid w:val="66961313"/>
    <w:rsid w:val="66A21C90"/>
    <w:rsid w:val="66D73CFB"/>
    <w:rsid w:val="66DB4D83"/>
    <w:rsid w:val="67202F15"/>
    <w:rsid w:val="673F5C02"/>
    <w:rsid w:val="67943DE6"/>
    <w:rsid w:val="68D51218"/>
    <w:rsid w:val="698060B5"/>
    <w:rsid w:val="69942A14"/>
    <w:rsid w:val="69BD10B7"/>
    <w:rsid w:val="69DF4EFF"/>
    <w:rsid w:val="69E97A77"/>
    <w:rsid w:val="6A05091A"/>
    <w:rsid w:val="6A08010A"/>
    <w:rsid w:val="6A43285E"/>
    <w:rsid w:val="6AA77A38"/>
    <w:rsid w:val="6B27473B"/>
    <w:rsid w:val="6B720F44"/>
    <w:rsid w:val="6BC340DD"/>
    <w:rsid w:val="6BD57552"/>
    <w:rsid w:val="6BD968B3"/>
    <w:rsid w:val="6CBE1932"/>
    <w:rsid w:val="6CCA178D"/>
    <w:rsid w:val="6D00746A"/>
    <w:rsid w:val="6D067FDA"/>
    <w:rsid w:val="6D34028B"/>
    <w:rsid w:val="6D9D3795"/>
    <w:rsid w:val="6DD3357E"/>
    <w:rsid w:val="6DDB5FB0"/>
    <w:rsid w:val="6DFB0A52"/>
    <w:rsid w:val="6E9A5523"/>
    <w:rsid w:val="6EBA3E17"/>
    <w:rsid w:val="6EBB4C82"/>
    <w:rsid w:val="6ED86674"/>
    <w:rsid w:val="6F2D7C26"/>
    <w:rsid w:val="6FAC723E"/>
    <w:rsid w:val="705C654C"/>
    <w:rsid w:val="70CB2626"/>
    <w:rsid w:val="70EE5FFA"/>
    <w:rsid w:val="715268C4"/>
    <w:rsid w:val="724518E0"/>
    <w:rsid w:val="725D3765"/>
    <w:rsid w:val="72E2059D"/>
    <w:rsid w:val="738E1C0C"/>
    <w:rsid w:val="74281F5B"/>
    <w:rsid w:val="74AE2A93"/>
    <w:rsid w:val="74D74B23"/>
    <w:rsid w:val="759768DC"/>
    <w:rsid w:val="75B12021"/>
    <w:rsid w:val="75B54BB8"/>
    <w:rsid w:val="76245AB2"/>
    <w:rsid w:val="7645296C"/>
    <w:rsid w:val="765B60A8"/>
    <w:rsid w:val="76A37917"/>
    <w:rsid w:val="76DE3FBD"/>
    <w:rsid w:val="770A5210"/>
    <w:rsid w:val="778B75B0"/>
    <w:rsid w:val="77A83B40"/>
    <w:rsid w:val="77FD6317"/>
    <w:rsid w:val="7804491A"/>
    <w:rsid w:val="78765F1B"/>
    <w:rsid w:val="78A82F32"/>
    <w:rsid w:val="78A91BD1"/>
    <w:rsid w:val="78B50366"/>
    <w:rsid w:val="78CA4C57"/>
    <w:rsid w:val="78D44D38"/>
    <w:rsid w:val="78EA4451"/>
    <w:rsid w:val="79464FE0"/>
    <w:rsid w:val="79552F84"/>
    <w:rsid w:val="79975481"/>
    <w:rsid w:val="79D77D74"/>
    <w:rsid w:val="79F31C00"/>
    <w:rsid w:val="7A016D9E"/>
    <w:rsid w:val="7AC97A44"/>
    <w:rsid w:val="7AFE6A2D"/>
    <w:rsid w:val="7B00752B"/>
    <w:rsid w:val="7B1B3E90"/>
    <w:rsid w:val="7B3F255A"/>
    <w:rsid w:val="7B715DF7"/>
    <w:rsid w:val="7BD20183"/>
    <w:rsid w:val="7BEE6EAE"/>
    <w:rsid w:val="7BF81ADB"/>
    <w:rsid w:val="7C2A6D0C"/>
    <w:rsid w:val="7C4116D4"/>
    <w:rsid w:val="7D5C45F2"/>
    <w:rsid w:val="7D5D42EC"/>
    <w:rsid w:val="7D876AD5"/>
    <w:rsid w:val="7DFF14C6"/>
    <w:rsid w:val="7E171ACD"/>
    <w:rsid w:val="7E585053"/>
    <w:rsid w:val="7E5A7A0C"/>
    <w:rsid w:val="7EAB6839"/>
    <w:rsid w:val="7ED67840"/>
    <w:rsid w:val="7EDD76E2"/>
    <w:rsid w:val="7EF64C0A"/>
    <w:rsid w:val="7FC17DD5"/>
    <w:rsid w:val="7FE37E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楷体_GB2312" w:cs="Times New Roman"/>
      <w:kern w:val="2"/>
      <w:sz w:val="26"/>
      <w:lang w:val="en-US" w:eastAsia="zh-CN" w:bidi="ar-SA"/>
    </w:rPr>
  </w:style>
  <w:style w:type="paragraph" w:styleId="2">
    <w:name w:val="heading 1"/>
    <w:basedOn w:val="1"/>
    <w:next w:val="3"/>
    <w:link w:val="78"/>
    <w:autoRedefine/>
    <w:qFormat/>
    <w:uiPriority w:val="0"/>
    <w:pPr>
      <w:keepNext/>
      <w:keepLines/>
      <w:spacing w:before="340" w:after="330" w:line="578" w:lineRule="auto"/>
      <w:outlineLvl w:val="0"/>
    </w:pPr>
    <w:rPr>
      <w:rFonts w:ascii="Times New Roman" w:hAnsi="Times New Roman"/>
      <w:b/>
      <w:kern w:val="44"/>
      <w:sz w:val="44"/>
    </w:rPr>
  </w:style>
  <w:style w:type="paragraph" w:styleId="4">
    <w:name w:val="heading 2"/>
    <w:basedOn w:val="1"/>
    <w:next w:val="1"/>
    <w:link w:val="79"/>
    <w:autoRedefine/>
    <w:qFormat/>
    <w:uiPriority w:val="0"/>
    <w:pPr>
      <w:keepNext/>
      <w:keepLines/>
      <w:overflowPunct w:val="0"/>
      <w:adjustRightInd w:val="0"/>
      <w:jc w:val="left"/>
      <w:textAlignment w:val="baseline"/>
      <w:outlineLvl w:val="1"/>
    </w:pPr>
    <w:rPr>
      <w:rFonts w:ascii="宋体" w:hAnsi="宋体"/>
      <w:b/>
    </w:rPr>
  </w:style>
  <w:style w:type="paragraph" w:styleId="5">
    <w:name w:val="heading 3"/>
    <w:basedOn w:val="1"/>
    <w:next w:val="3"/>
    <w:link w:val="80"/>
    <w:autoRedefine/>
    <w:qFormat/>
    <w:uiPriority w:val="0"/>
    <w:pPr>
      <w:keepNext/>
      <w:keepLines/>
      <w:adjustRightInd w:val="0"/>
      <w:jc w:val="left"/>
      <w:textAlignment w:val="baseline"/>
      <w:outlineLvl w:val="2"/>
    </w:pPr>
    <w:rPr>
      <w:rFonts w:ascii="Times New Roman" w:hAnsi="Times New Roman"/>
      <w:b/>
    </w:rPr>
  </w:style>
  <w:style w:type="paragraph" w:styleId="6">
    <w:name w:val="heading 4"/>
    <w:basedOn w:val="1"/>
    <w:next w:val="1"/>
    <w:link w:val="8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3"/>
    <w:link w:val="83"/>
    <w:autoRedefine/>
    <w:qFormat/>
    <w:uiPriority w:val="0"/>
    <w:pPr>
      <w:keepNext/>
      <w:keepLines/>
      <w:tabs>
        <w:tab w:val="left" w:pos="1008"/>
      </w:tabs>
      <w:spacing w:before="280" w:after="290" w:line="376" w:lineRule="auto"/>
      <w:ind w:left="1008" w:hanging="1008"/>
      <w:outlineLvl w:val="4"/>
    </w:pPr>
    <w:rPr>
      <w:rFonts w:ascii="宋体" w:hAnsi="Times New Roman" w:eastAsia="宋体"/>
      <w:b/>
      <w:spacing w:val="-2"/>
      <w:position w:val="-6"/>
      <w:sz w:val="28"/>
    </w:rPr>
  </w:style>
  <w:style w:type="paragraph" w:styleId="8">
    <w:name w:val="heading 6"/>
    <w:basedOn w:val="1"/>
    <w:next w:val="3"/>
    <w:link w:val="84"/>
    <w:qFormat/>
    <w:uiPriority w:val="0"/>
    <w:pPr>
      <w:keepNext/>
      <w:keepLines/>
      <w:tabs>
        <w:tab w:val="left" w:pos="1152"/>
      </w:tabs>
      <w:spacing w:before="240" w:after="64" w:line="320" w:lineRule="auto"/>
      <w:ind w:left="1152" w:hanging="1152"/>
      <w:outlineLvl w:val="5"/>
    </w:pPr>
    <w:rPr>
      <w:rFonts w:ascii="Arial" w:hAnsi="Arial" w:eastAsia="黑体"/>
      <w:b/>
      <w:spacing w:val="-2"/>
      <w:position w:val="-6"/>
      <w:sz w:val="24"/>
    </w:rPr>
  </w:style>
  <w:style w:type="paragraph" w:styleId="9">
    <w:name w:val="heading 7"/>
    <w:basedOn w:val="1"/>
    <w:next w:val="3"/>
    <w:link w:val="85"/>
    <w:autoRedefine/>
    <w:qFormat/>
    <w:uiPriority w:val="0"/>
    <w:pPr>
      <w:keepNext/>
      <w:keepLines/>
      <w:tabs>
        <w:tab w:val="left" w:pos="1296"/>
      </w:tabs>
      <w:spacing w:before="240" w:after="64" w:line="320" w:lineRule="auto"/>
      <w:ind w:left="1296" w:hanging="1296"/>
      <w:outlineLvl w:val="6"/>
    </w:pPr>
    <w:rPr>
      <w:rFonts w:ascii="宋体" w:hAnsi="Times New Roman" w:eastAsia="宋体"/>
      <w:b/>
      <w:spacing w:val="-2"/>
      <w:position w:val="-6"/>
      <w:sz w:val="24"/>
    </w:rPr>
  </w:style>
  <w:style w:type="paragraph" w:styleId="10">
    <w:name w:val="heading 8"/>
    <w:basedOn w:val="1"/>
    <w:next w:val="3"/>
    <w:link w:val="86"/>
    <w:autoRedefine/>
    <w:qFormat/>
    <w:uiPriority w:val="0"/>
    <w:pPr>
      <w:keepNext/>
      <w:keepLines/>
      <w:tabs>
        <w:tab w:val="left" w:pos="1440"/>
      </w:tabs>
      <w:spacing w:before="240" w:after="64" w:line="320" w:lineRule="auto"/>
      <w:ind w:left="1440" w:hanging="1440"/>
      <w:outlineLvl w:val="7"/>
    </w:pPr>
    <w:rPr>
      <w:rFonts w:ascii="Arial" w:hAnsi="Arial" w:eastAsia="黑体"/>
      <w:spacing w:val="-2"/>
      <w:position w:val="-6"/>
      <w:sz w:val="24"/>
    </w:rPr>
  </w:style>
  <w:style w:type="paragraph" w:styleId="11">
    <w:name w:val="heading 9"/>
    <w:basedOn w:val="1"/>
    <w:next w:val="3"/>
    <w:link w:val="87"/>
    <w:autoRedefine/>
    <w:qFormat/>
    <w:uiPriority w:val="0"/>
    <w:pPr>
      <w:keepNext/>
      <w:keepLines/>
      <w:tabs>
        <w:tab w:val="left" w:pos="1584"/>
      </w:tabs>
      <w:spacing w:before="240" w:after="64" w:line="320" w:lineRule="auto"/>
      <w:ind w:left="1584" w:hanging="1584"/>
      <w:outlineLvl w:val="8"/>
    </w:pPr>
    <w:rPr>
      <w:rFonts w:ascii="Arial" w:hAnsi="Arial" w:eastAsia="黑体"/>
      <w:spacing w:val="-2"/>
      <w:position w:val="-6"/>
      <w:sz w:val="28"/>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link w:val="82"/>
    <w:autoRedefine/>
    <w:qFormat/>
    <w:uiPriority w:val="0"/>
    <w:pPr>
      <w:adjustRightInd w:val="0"/>
      <w:ind w:firstLine="420"/>
      <w:jc w:val="left"/>
      <w:textAlignment w:val="baseline"/>
    </w:pPr>
    <w:rPr>
      <w:rFonts w:ascii="Times New Roman" w:hAnsi="Times New Roman"/>
      <w:sz w:val="24"/>
    </w:rPr>
  </w:style>
  <w:style w:type="paragraph" w:styleId="12">
    <w:name w:val="toc 7"/>
    <w:basedOn w:val="1"/>
    <w:next w:val="1"/>
    <w:autoRedefine/>
    <w:qFormat/>
    <w:uiPriority w:val="0"/>
    <w:pPr>
      <w:ind w:left="2520"/>
    </w:pPr>
    <w:rPr>
      <w:rFonts w:ascii="Times New Roman" w:hAnsi="Times New Roman" w:eastAsia="宋体"/>
    </w:rPr>
  </w:style>
  <w:style w:type="paragraph" w:styleId="13">
    <w:name w:val="index 8"/>
    <w:basedOn w:val="1"/>
    <w:next w:val="1"/>
    <w:autoRedefine/>
    <w:qFormat/>
    <w:uiPriority w:val="0"/>
    <w:pPr>
      <w:ind w:left="2940"/>
    </w:pPr>
    <w:rPr>
      <w:rFonts w:ascii="Times New Roman" w:hAnsi="Times New Roman" w:eastAsia="宋体"/>
    </w:rPr>
  </w:style>
  <w:style w:type="paragraph" w:styleId="14">
    <w:name w:val="List Number"/>
    <w:basedOn w:val="1"/>
    <w:autoRedefine/>
    <w:qFormat/>
    <w:uiPriority w:val="0"/>
    <w:pPr>
      <w:tabs>
        <w:tab w:val="left" w:pos="0"/>
      </w:tabs>
      <w:ind w:left="704" w:hanging="420"/>
    </w:pPr>
    <w:rPr>
      <w:rFonts w:eastAsia="宋体"/>
      <w:sz w:val="21"/>
      <w:szCs w:val="24"/>
    </w:rPr>
  </w:style>
  <w:style w:type="paragraph" w:styleId="15">
    <w:name w:val="index 5"/>
    <w:basedOn w:val="1"/>
    <w:next w:val="1"/>
    <w:autoRedefine/>
    <w:qFormat/>
    <w:uiPriority w:val="0"/>
    <w:pPr>
      <w:ind w:left="1680"/>
    </w:pPr>
    <w:rPr>
      <w:rFonts w:ascii="Times New Roman" w:hAnsi="Times New Roman" w:eastAsia="宋体"/>
    </w:rPr>
  </w:style>
  <w:style w:type="paragraph" w:styleId="16">
    <w:name w:val="Document Map"/>
    <w:basedOn w:val="1"/>
    <w:link w:val="102"/>
    <w:autoRedefine/>
    <w:qFormat/>
    <w:uiPriority w:val="99"/>
    <w:pPr>
      <w:shd w:val="clear" w:color="auto" w:fill="000080"/>
    </w:pPr>
    <w:rPr>
      <w:rFonts w:eastAsia="宋体"/>
      <w:shd w:val="clear" w:color="auto" w:fill="000080"/>
    </w:rPr>
  </w:style>
  <w:style w:type="paragraph" w:styleId="17">
    <w:name w:val="toa heading"/>
    <w:basedOn w:val="1"/>
    <w:next w:val="1"/>
    <w:autoRedefine/>
    <w:qFormat/>
    <w:uiPriority w:val="0"/>
    <w:pPr>
      <w:adjustRightInd w:val="0"/>
      <w:spacing w:before="200" w:line="360" w:lineRule="atLeast"/>
      <w:jc w:val="center"/>
      <w:textAlignment w:val="baseline"/>
    </w:pPr>
    <w:rPr>
      <w:rFonts w:ascii="Arial" w:hAnsi="Arial" w:eastAsia="黑体"/>
      <w:kern w:val="0"/>
      <w:sz w:val="44"/>
    </w:rPr>
  </w:style>
  <w:style w:type="paragraph" w:styleId="18">
    <w:name w:val="annotation text"/>
    <w:basedOn w:val="1"/>
    <w:link w:val="92"/>
    <w:autoRedefine/>
    <w:qFormat/>
    <w:uiPriority w:val="0"/>
    <w:pPr>
      <w:jc w:val="left"/>
    </w:pPr>
    <w:rPr>
      <w:rFonts w:ascii="Times New Roman" w:hAnsi="Times New Roman"/>
    </w:rPr>
  </w:style>
  <w:style w:type="paragraph" w:styleId="19">
    <w:name w:val="index 6"/>
    <w:basedOn w:val="1"/>
    <w:next w:val="1"/>
    <w:autoRedefine/>
    <w:qFormat/>
    <w:uiPriority w:val="0"/>
    <w:pPr>
      <w:ind w:left="2100"/>
    </w:pPr>
    <w:rPr>
      <w:rFonts w:ascii="Times New Roman" w:hAnsi="Times New Roman" w:eastAsia="宋体"/>
    </w:rPr>
  </w:style>
  <w:style w:type="paragraph" w:styleId="20">
    <w:name w:val="Body Text 3"/>
    <w:basedOn w:val="1"/>
    <w:link w:val="344"/>
    <w:autoRedefine/>
    <w:qFormat/>
    <w:uiPriority w:val="0"/>
    <w:rPr>
      <w:rFonts w:ascii="宋体" w:eastAsia="宋体"/>
      <w:kern w:val="0"/>
      <w:sz w:val="24"/>
    </w:rPr>
  </w:style>
  <w:style w:type="paragraph" w:styleId="21">
    <w:name w:val="Body Text"/>
    <w:basedOn w:val="1"/>
    <w:next w:val="1"/>
    <w:link w:val="77"/>
    <w:autoRedefine/>
    <w:qFormat/>
    <w:uiPriority w:val="0"/>
    <w:pPr>
      <w:spacing w:line="400" w:lineRule="exact"/>
    </w:pPr>
    <w:rPr>
      <w:rFonts w:ascii="楷体_GB2312" w:hAnsi="Times New Roman" w:eastAsia="宋体"/>
      <w:sz w:val="28"/>
    </w:rPr>
  </w:style>
  <w:style w:type="paragraph" w:styleId="22">
    <w:name w:val="Body Text Indent"/>
    <w:basedOn w:val="1"/>
    <w:next w:val="23"/>
    <w:link w:val="95"/>
    <w:autoRedefine/>
    <w:qFormat/>
    <w:uiPriority w:val="0"/>
    <w:pPr>
      <w:spacing w:line="520" w:lineRule="exact"/>
      <w:ind w:left="570"/>
    </w:pPr>
    <w:rPr>
      <w:rFonts w:ascii="方正仿宋简体" w:hAnsi="创艺简仿宋" w:eastAsia="方正仿宋简体"/>
      <w:sz w:val="24"/>
    </w:rPr>
  </w:style>
  <w:style w:type="paragraph" w:styleId="23">
    <w:name w:val="envelope return"/>
    <w:basedOn w:val="1"/>
    <w:autoRedefine/>
    <w:qFormat/>
    <w:uiPriority w:val="99"/>
    <w:pPr>
      <w:snapToGrid w:val="0"/>
    </w:pPr>
    <w:rPr>
      <w:rFonts w:ascii="Arial" w:hAnsi="Arial" w:cs="Arial"/>
    </w:rPr>
  </w:style>
  <w:style w:type="paragraph" w:styleId="24">
    <w:name w:val="index 4"/>
    <w:basedOn w:val="1"/>
    <w:next w:val="1"/>
    <w:autoRedefine/>
    <w:qFormat/>
    <w:uiPriority w:val="0"/>
    <w:pPr>
      <w:ind w:left="1260"/>
    </w:pPr>
    <w:rPr>
      <w:rFonts w:ascii="Times New Roman" w:hAnsi="Times New Roman" w:eastAsia="宋体"/>
    </w:rPr>
  </w:style>
  <w:style w:type="paragraph" w:styleId="25">
    <w:name w:val="toc 5"/>
    <w:basedOn w:val="1"/>
    <w:next w:val="1"/>
    <w:autoRedefine/>
    <w:qFormat/>
    <w:uiPriority w:val="0"/>
    <w:pPr>
      <w:ind w:left="1680"/>
    </w:pPr>
    <w:rPr>
      <w:rFonts w:ascii="Times New Roman" w:hAnsi="Times New Roman" w:eastAsia="宋体"/>
    </w:rPr>
  </w:style>
  <w:style w:type="paragraph" w:styleId="26">
    <w:name w:val="toc 3"/>
    <w:basedOn w:val="1"/>
    <w:next w:val="1"/>
    <w:autoRedefine/>
    <w:qFormat/>
    <w:uiPriority w:val="39"/>
    <w:pPr>
      <w:ind w:left="840"/>
    </w:pPr>
    <w:rPr>
      <w:rFonts w:ascii="Times New Roman" w:hAnsi="Times New Roman" w:eastAsia="宋体"/>
    </w:rPr>
  </w:style>
  <w:style w:type="paragraph" w:styleId="27">
    <w:name w:val="Plain Text"/>
    <w:basedOn w:val="1"/>
    <w:link w:val="126"/>
    <w:autoRedefine/>
    <w:qFormat/>
    <w:uiPriority w:val="0"/>
    <w:rPr>
      <w:rFonts w:ascii="宋体" w:hAnsi="Courier New"/>
    </w:rPr>
  </w:style>
  <w:style w:type="paragraph" w:styleId="28">
    <w:name w:val="toc 8"/>
    <w:basedOn w:val="1"/>
    <w:next w:val="1"/>
    <w:autoRedefine/>
    <w:qFormat/>
    <w:uiPriority w:val="0"/>
    <w:pPr>
      <w:ind w:left="2940"/>
    </w:pPr>
    <w:rPr>
      <w:rFonts w:ascii="Times New Roman" w:hAnsi="Times New Roman" w:eastAsia="宋体"/>
    </w:rPr>
  </w:style>
  <w:style w:type="paragraph" w:styleId="29">
    <w:name w:val="index 3"/>
    <w:basedOn w:val="1"/>
    <w:next w:val="1"/>
    <w:autoRedefine/>
    <w:qFormat/>
    <w:uiPriority w:val="0"/>
    <w:pPr>
      <w:ind w:left="840"/>
    </w:pPr>
    <w:rPr>
      <w:rFonts w:ascii="Times New Roman" w:hAnsi="Times New Roman" w:eastAsia="宋体"/>
    </w:rPr>
  </w:style>
  <w:style w:type="paragraph" w:styleId="30">
    <w:name w:val="Date"/>
    <w:basedOn w:val="1"/>
    <w:next w:val="1"/>
    <w:link w:val="137"/>
    <w:autoRedefine/>
    <w:qFormat/>
    <w:uiPriority w:val="0"/>
    <w:rPr>
      <w:rFonts w:ascii="宋体" w:hAnsi="宋体" w:eastAsia="宋体"/>
      <w:sz w:val="24"/>
    </w:rPr>
  </w:style>
  <w:style w:type="paragraph" w:styleId="31">
    <w:name w:val="Body Text Indent 2"/>
    <w:basedOn w:val="1"/>
    <w:link w:val="97"/>
    <w:autoRedefine/>
    <w:qFormat/>
    <w:uiPriority w:val="0"/>
    <w:pPr>
      <w:tabs>
        <w:tab w:val="left" w:pos="0"/>
      </w:tabs>
      <w:spacing w:line="360" w:lineRule="auto"/>
      <w:ind w:firstLine="502" w:firstLineChars="209"/>
    </w:pPr>
    <w:rPr>
      <w:rFonts w:ascii="宋体" w:eastAsia="宋体"/>
      <w:b/>
      <w:bCs/>
      <w:sz w:val="24"/>
    </w:rPr>
  </w:style>
  <w:style w:type="paragraph" w:styleId="32">
    <w:name w:val="Balloon Text"/>
    <w:basedOn w:val="1"/>
    <w:link w:val="167"/>
    <w:autoRedefine/>
    <w:qFormat/>
    <w:uiPriority w:val="0"/>
    <w:rPr>
      <w:rFonts w:ascii="Times New Roman" w:hAnsi="Times New Roman" w:eastAsia="宋体"/>
      <w:sz w:val="18"/>
      <w:szCs w:val="18"/>
    </w:rPr>
  </w:style>
  <w:style w:type="paragraph" w:styleId="33">
    <w:name w:val="footer"/>
    <w:basedOn w:val="1"/>
    <w:link w:val="104"/>
    <w:autoRedefine/>
    <w:qFormat/>
    <w:uiPriority w:val="99"/>
    <w:pPr>
      <w:tabs>
        <w:tab w:val="center" w:pos="4153"/>
        <w:tab w:val="right" w:pos="8306"/>
      </w:tabs>
      <w:snapToGrid w:val="0"/>
      <w:jc w:val="left"/>
    </w:pPr>
    <w:rPr>
      <w:rFonts w:ascii="Times New Roman" w:hAnsi="Times New Roman"/>
      <w:sz w:val="18"/>
    </w:rPr>
  </w:style>
  <w:style w:type="paragraph" w:styleId="34">
    <w:name w:val="header"/>
    <w:basedOn w:val="1"/>
    <w:link w:val="89"/>
    <w:autoRedefine/>
    <w:qFormat/>
    <w:uiPriority w:val="99"/>
    <w:pPr>
      <w:pBdr>
        <w:bottom w:val="single" w:color="auto" w:sz="6" w:space="1"/>
      </w:pBdr>
      <w:tabs>
        <w:tab w:val="center" w:pos="4153"/>
        <w:tab w:val="right" w:pos="8306"/>
      </w:tabs>
      <w:snapToGrid w:val="0"/>
      <w:jc w:val="center"/>
    </w:pPr>
    <w:rPr>
      <w:rFonts w:ascii="Times New Roman" w:hAnsi="Times New Roman"/>
      <w:sz w:val="18"/>
    </w:rPr>
  </w:style>
  <w:style w:type="paragraph" w:styleId="35">
    <w:name w:val="toc 1"/>
    <w:basedOn w:val="1"/>
    <w:next w:val="1"/>
    <w:autoRedefine/>
    <w:qFormat/>
    <w:uiPriority w:val="0"/>
    <w:pPr>
      <w:adjustRightInd w:val="0"/>
      <w:jc w:val="left"/>
      <w:textAlignment w:val="baseline"/>
    </w:pPr>
    <w:rPr>
      <w:rFonts w:ascii="Times New Roman" w:hAnsi="Times New Roman" w:eastAsia="宋体"/>
      <w:sz w:val="24"/>
    </w:rPr>
  </w:style>
  <w:style w:type="paragraph" w:styleId="36">
    <w:name w:val="toc 4"/>
    <w:basedOn w:val="1"/>
    <w:next w:val="1"/>
    <w:autoRedefine/>
    <w:qFormat/>
    <w:uiPriority w:val="0"/>
    <w:pPr>
      <w:ind w:left="1260"/>
    </w:pPr>
    <w:rPr>
      <w:rFonts w:ascii="Times New Roman" w:hAnsi="Times New Roman" w:eastAsia="宋体"/>
    </w:rPr>
  </w:style>
  <w:style w:type="paragraph" w:styleId="37">
    <w:name w:val="index heading"/>
    <w:basedOn w:val="1"/>
    <w:next w:val="38"/>
    <w:autoRedefine/>
    <w:qFormat/>
    <w:uiPriority w:val="0"/>
    <w:rPr>
      <w:rFonts w:ascii="Times New Roman" w:hAnsi="Times New Roman" w:eastAsia="宋体"/>
    </w:rPr>
  </w:style>
  <w:style w:type="paragraph" w:styleId="38">
    <w:name w:val="index 1"/>
    <w:basedOn w:val="1"/>
    <w:next w:val="1"/>
    <w:autoRedefine/>
    <w:qFormat/>
    <w:uiPriority w:val="0"/>
    <w:rPr>
      <w:rFonts w:ascii="Times New Roman" w:hAnsi="Times New Roman" w:eastAsia="宋体"/>
    </w:rPr>
  </w:style>
  <w:style w:type="paragraph" w:styleId="39">
    <w:name w:val="Subtitle"/>
    <w:basedOn w:val="1"/>
    <w:next w:val="1"/>
    <w:link w:val="343"/>
    <w:autoRedefine/>
    <w:qFormat/>
    <w:uiPriority w:val="0"/>
    <w:pPr>
      <w:spacing w:before="240" w:after="60" w:line="312" w:lineRule="auto"/>
      <w:jc w:val="center"/>
      <w:outlineLvl w:val="1"/>
    </w:pPr>
    <w:rPr>
      <w:rFonts w:ascii="Cambria" w:hAnsi="Cambria" w:eastAsia="宋体"/>
      <w:b/>
      <w:bCs/>
      <w:kern w:val="28"/>
      <w:sz w:val="32"/>
      <w:szCs w:val="32"/>
    </w:rPr>
  </w:style>
  <w:style w:type="paragraph" w:styleId="40">
    <w:name w:val="List"/>
    <w:basedOn w:val="1"/>
    <w:autoRedefine/>
    <w:qFormat/>
    <w:uiPriority w:val="0"/>
    <w:pPr>
      <w:spacing w:before="120" w:after="120"/>
      <w:ind w:left="420" w:hanging="420"/>
    </w:pPr>
    <w:rPr>
      <w:rFonts w:eastAsia="宋体"/>
      <w:sz w:val="24"/>
    </w:rPr>
  </w:style>
  <w:style w:type="paragraph" w:styleId="41">
    <w:name w:val="footnote text"/>
    <w:basedOn w:val="1"/>
    <w:link w:val="160"/>
    <w:autoRedefine/>
    <w:qFormat/>
    <w:uiPriority w:val="0"/>
    <w:pPr>
      <w:snapToGrid w:val="0"/>
      <w:jc w:val="left"/>
    </w:pPr>
    <w:rPr>
      <w:rFonts w:ascii="Times New Roman" w:hAnsi="Times New Roman" w:eastAsia="宋体"/>
      <w:sz w:val="18"/>
    </w:rPr>
  </w:style>
  <w:style w:type="paragraph" w:styleId="42">
    <w:name w:val="toc 6"/>
    <w:basedOn w:val="1"/>
    <w:next w:val="1"/>
    <w:autoRedefine/>
    <w:qFormat/>
    <w:uiPriority w:val="0"/>
    <w:pPr>
      <w:ind w:left="2100"/>
    </w:pPr>
    <w:rPr>
      <w:rFonts w:ascii="Times New Roman" w:hAnsi="Times New Roman" w:eastAsia="宋体"/>
    </w:rPr>
  </w:style>
  <w:style w:type="paragraph" w:styleId="43">
    <w:name w:val="Body Text Indent 3"/>
    <w:basedOn w:val="1"/>
    <w:link w:val="192"/>
    <w:autoRedefine/>
    <w:qFormat/>
    <w:uiPriority w:val="0"/>
    <w:pPr>
      <w:spacing w:line="360" w:lineRule="auto"/>
      <w:ind w:firstLine="617" w:firstLineChars="257"/>
    </w:pPr>
    <w:rPr>
      <w:rFonts w:ascii="Times New Roman" w:hAnsi="Times New Roman" w:eastAsia="宋体"/>
      <w:sz w:val="24"/>
      <w:szCs w:val="24"/>
    </w:rPr>
  </w:style>
  <w:style w:type="paragraph" w:styleId="44">
    <w:name w:val="index 7"/>
    <w:basedOn w:val="1"/>
    <w:next w:val="1"/>
    <w:autoRedefine/>
    <w:qFormat/>
    <w:uiPriority w:val="0"/>
    <w:pPr>
      <w:ind w:left="2520"/>
    </w:pPr>
    <w:rPr>
      <w:rFonts w:ascii="Times New Roman" w:hAnsi="Times New Roman" w:eastAsia="宋体"/>
    </w:rPr>
  </w:style>
  <w:style w:type="paragraph" w:styleId="45">
    <w:name w:val="index 9"/>
    <w:basedOn w:val="1"/>
    <w:next w:val="1"/>
    <w:autoRedefine/>
    <w:qFormat/>
    <w:uiPriority w:val="0"/>
    <w:pPr>
      <w:ind w:left="3360"/>
    </w:pPr>
    <w:rPr>
      <w:rFonts w:ascii="Times New Roman" w:hAnsi="Times New Roman" w:eastAsia="宋体"/>
    </w:rPr>
  </w:style>
  <w:style w:type="paragraph" w:styleId="46">
    <w:name w:val="table of figures"/>
    <w:basedOn w:val="1"/>
    <w:next w:val="1"/>
    <w:autoRedefine/>
    <w:qFormat/>
    <w:uiPriority w:val="0"/>
    <w:pPr>
      <w:adjustRightInd w:val="0"/>
      <w:ind w:left="420" w:hanging="420"/>
      <w:jc w:val="left"/>
      <w:textAlignment w:val="baseline"/>
    </w:pPr>
    <w:rPr>
      <w:rFonts w:ascii="Times New Roman" w:hAnsi="Times New Roman" w:eastAsia="宋体"/>
      <w:smallCaps/>
      <w:sz w:val="24"/>
    </w:rPr>
  </w:style>
  <w:style w:type="paragraph" w:styleId="47">
    <w:name w:val="toc 2"/>
    <w:basedOn w:val="1"/>
    <w:next w:val="1"/>
    <w:autoRedefine/>
    <w:qFormat/>
    <w:uiPriority w:val="0"/>
    <w:pPr>
      <w:ind w:left="420"/>
    </w:pPr>
    <w:rPr>
      <w:rFonts w:ascii="Times New Roman" w:hAnsi="Times New Roman" w:eastAsia="宋体"/>
    </w:rPr>
  </w:style>
  <w:style w:type="paragraph" w:styleId="48">
    <w:name w:val="toc 9"/>
    <w:basedOn w:val="1"/>
    <w:next w:val="1"/>
    <w:autoRedefine/>
    <w:qFormat/>
    <w:uiPriority w:val="0"/>
    <w:pPr>
      <w:ind w:left="3360"/>
    </w:pPr>
    <w:rPr>
      <w:rFonts w:ascii="Times New Roman" w:hAnsi="Times New Roman" w:eastAsia="宋体"/>
    </w:rPr>
  </w:style>
  <w:style w:type="paragraph" w:styleId="49">
    <w:name w:val="List Continue 2"/>
    <w:basedOn w:val="1"/>
    <w:autoRedefine/>
    <w:qFormat/>
    <w:uiPriority w:val="0"/>
    <w:pPr>
      <w:spacing w:after="120"/>
      <w:ind w:left="840"/>
    </w:pPr>
    <w:rPr>
      <w:rFonts w:ascii="Times New Roman" w:hAnsi="Times New Roman" w:eastAsia="宋体"/>
      <w:sz w:val="21"/>
      <w:szCs w:val="24"/>
    </w:rPr>
  </w:style>
  <w:style w:type="paragraph" w:styleId="50">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kern w:val="0"/>
      <w:sz w:val="20"/>
    </w:rPr>
  </w:style>
  <w:style w:type="paragraph" w:styleId="51">
    <w:name w:val="Normal (Web)"/>
    <w:basedOn w:val="1"/>
    <w:link w:val="121"/>
    <w:autoRedefine/>
    <w:qFormat/>
    <w:uiPriority w:val="0"/>
    <w:pPr>
      <w:widowControl/>
      <w:spacing w:before="100" w:beforeAutospacing="1" w:after="100" w:afterAutospacing="1"/>
      <w:jc w:val="left"/>
    </w:pPr>
    <w:rPr>
      <w:rFonts w:eastAsia="宋体"/>
      <w:kern w:val="0"/>
      <w:sz w:val="24"/>
      <w:szCs w:val="24"/>
    </w:rPr>
  </w:style>
  <w:style w:type="paragraph" w:styleId="52">
    <w:name w:val="index 2"/>
    <w:basedOn w:val="1"/>
    <w:next w:val="1"/>
    <w:autoRedefine/>
    <w:qFormat/>
    <w:uiPriority w:val="0"/>
    <w:pPr>
      <w:ind w:left="420"/>
    </w:pPr>
    <w:rPr>
      <w:rFonts w:ascii="Times New Roman" w:hAnsi="Times New Roman" w:eastAsia="宋体"/>
    </w:rPr>
  </w:style>
  <w:style w:type="paragraph" w:styleId="53">
    <w:name w:val="Title"/>
    <w:basedOn w:val="1"/>
    <w:next w:val="1"/>
    <w:link w:val="103"/>
    <w:autoRedefine/>
    <w:qFormat/>
    <w:uiPriority w:val="0"/>
    <w:pPr>
      <w:spacing w:before="240" w:after="60"/>
      <w:jc w:val="center"/>
      <w:outlineLvl w:val="0"/>
    </w:pPr>
    <w:rPr>
      <w:rFonts w:ascii="Cambria" w:hAnsi="Cambria" w:eastAsia="宋体"/>
      <w:b/>
      <w:bCs/>
      <w:sz w:val="32"/>
      <w:szCs w:val="32"/>
    </w:rPr>
  </w:style>
  <w:style w:type="paragraph" w:styleId="54">
    <w:name w:val="annotation subject"/>
    <w:basedOn w:val="18"/>
    <w:next w:val="18"/>
    <w:link w:val="91"/>
    <w:autoRedefine/>
    <w:qFormat/>
    <w:uiPriority w:val="0"/>
    <w:rPr>
      <w:rFonts w:ascii="Calibri" w:hAnsi="Calibri" w:eastAsia="宋体"/>
      <w:b/>
      <w:bCs/>
    </w:rPr>
  </w:style>
  <w:style w:type="paragraph" w:styleId="55">
    <w:name w:val="Body Text First Indent 2"/>
    <w:basedOn w:val="22"/>
    <w:autoRedefine/>
    <w:semiHidden/>
    <w:unhideWhenUsed/>
    <w:qFormat/>
    <w:uiPriority w:val="99"/>
    <w:pPr>
      <w:ind w:firstLine="420" w:firstLineChars="200"/>
    </w:pPr>
  </w:style>
  <w:style w:type="table" w:styleId="57">
    <w:name w:val="Table Grid"/>
    <w:basedOn w:val="5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rFonts w:ascii="Times New Roman" w:hAnsi="Times New Roman" w:eastAsia="宋体" w:cs="Times New Roman"/>
      <w:b/>
    </w:rPr>
  </w:style>
  <w:style w:type="character" w:styleId="60">
    <w:name w:val="page number"/>
    <w:autoRedefine/>
    <w:qFormat/>
    <w:uiPriority w:val="0"/>
    <w:rPr>
      <w:rFonts w:ascii="Times New Roman" w:hAnsi="Times New Roman" w:eastAsia="宋体" w:cs="Times New Roman"/>
    </w:rPr>
  </w:style>
  <w:style w:type="character" w:styleId="61">
    <w:name w:val="FollowedHyperlink"/>
    <w:autoRedefine/>
    <w:qFormat/>
    <w:uiPriority w:val="0"/>
    <w:rPr>
      <w:rFonts w:ascii="Times New Roman" w:hAnsi="Times New Roman" w:eastAsia="宋体" w:cs="Times New Roman"/>
      <w:color w:val="954F72"/>
      <w:u w:val="single"/>
    </w:rPr>
  </w:style>
  <w:style w:type="character" w:styleId="62">
    <w:name w:val="Emphasis"/>
    <w:autoRedefine/>
    <w:qFormat/>
    <w:uiPriority w:val="0"/>
    <w:rPr>
      <w:rFonts w:ascii="Times New Roman" w:hAnsi="Times New Roman" w:eastAsia="宋体" w:cs="Times New Roman"/>
      <w:i/>
      <w:iCs/>
    </w:rPr>
  </w:style>
  <w:style w:type="character" w:styleId="63">
    <w:name w:val="line number"/>
    <w:autoRedefine/>
    <w:qFormat/>
    <w:uiPriority w:val="0"/>
    <w:rPr>
      <w:rFonts w:ascii="Times New Roman" w:hAnsi="Times New Roman" w:eastAsia="宋体" w:cs="Times New Roman"/>
    </w:rPr>
  </w:style>
  <w:style w:type="character" w:styleId="64">
    <w:name w:val="HTML Definition"/>
    <w:autoRedefine/>
    <w:qFormat/>
    <w:uiPriority w:val="0"/>
    <w:rPr>
      <w:rFonts w:ascii="Times New Roman" w:hAnsi="Times New Roman" w:eastAsia="宋体" w:cs="Times New Roman"/>
      <w:i/>
    </w:rPr>
  </w:style>
  <w:style w:type="character" w:styleId="65">
    <w:name w:val="HTML Typewriter"/>
    <w:basedOn w:val="58"/>
    <w:autoRedefine/>
    <w:semiHidden/>
    <w:unhideWhenUsed/>
    <w:qFormat/>
    <w:uiPriority w:val="99"/>
    <w:rPr>
      <w:rFonts w:hint="default" w:ascii="monospace" w:hAnsi="monospace" w:eastAsia="monospace" w:cs="monospace"/>
      <w:sz w:val="20"/>
    </w:rPr>
  </w:style>
  <w:style w:type="character" w:styleId="66">
    <w:name w:val="HTML Acronym"/>
    <w:basedOn w:val="58"/>
    <w:autoRedefine/>
    <w:semiHidden/>
    <w:unhideWhenUsed/>
    <w:qFormat/>
    <w:uiPriority w:val="99"/>
  </w:style>
  <w:style w:type="character" w:styleId="67">
    <w:name w:val="HTML Variable"/>
    <w:basedOn w:val="58"/>
    <w:autoRedefine/>
    <w:semiHidden/>
    <w:unhideWhenUsed/>
    <w:qFormat/>
    <w:uiPriority w:val="99"/>
  </w:style>
  <w:style w:type="character" w:styleId="68">
    <w:name w:val="Hyperlink"/>
    <w:autoRedefine/>
    <w:qFormat/>
    <w:uiPriority w:val="0"/>
    <w:rPr>
      <w:rFonts w:ascii="Times New Roman" w:hAnsi="Times New Roman" w:eastAsia="宋体" w:cs="Times New Roman"/>
      <w:color w:val="0000FF"/>
      <w:u w:val="single"/>
    </w:rPr>
  </w:style>
  <w:style w:type="character" w:styleId="69">
    <w:name w:val="HTML Code"/>
    <w:autoRedefine/>
    <w:qFormat/>
    <w:uiPriority w:val="0"/>
    <w:rPr>
      <w:rFonts w:hint="default" w:ascii="Menlo" w:hAnsi="Menlo" w:eastAsia="Menlo" w:cs="Menlo"/>
      <w:color w:val="C7254E"/>
      <w:sz w:val="21"/>
      <w:szCs w:val="21"/>
      <w:shd w:val="clear" w:color="auto" w:fill="F9F2F4"/>
    </w:rPr>
  </w:style>
  <w:style w:type="character" w:styleId="70">
    <w:name w:val="annotation reference"/>
    <w:autoRedefine/>
    <w:qFormat/>
    <w:uiPriority w:val="0"/>
    <w:rPr>
      <w:rFonts w:ascii="Times New Roman" w:hAnsi="Times New Roman" w:eastAsia="宋体" w:cs="Times New Roman"/>
      <w:sz w:val="21"/>
      <w:szCs w:val="21"/>
    </w:rPr>
  </w:style>
  <w:style w:type="character" w:styleId="71">
    <w:name w:val="HTML Cite"/>
    <w:autoRedefine/>
    <w:qFormat/>
    <w:uiPriority w:val="0"/>
    <w:rPr>
      <w:rFonts w:ascii="Times New Roman" w:hAnsi="Times New Roman" w:eastAsia="宋体" w:cs="Times New Roman"/>
    </w:rPr>
  </w:style>
  <w:style w:type="character" w:styleId="72">
    <w:name w:val="footnote reference"/>
    <w:autoRedefine/>
    <w:qFormat/>
    <w:uiPriority w:val="0"/>
    <w:rPr>
      <w:rFonts w:ascii="Times New Roman" w:hAnsi="Times New Roman" w:eastAsia="宋体" w:cs="Times New Roman"/>
      <w:vertAlign w:val="superscript"/>
    </w:rPr>
  </w:style>
  <w:style w:type="character" w:styleId="73">
    <w:name w:val="HTML Keyboard"/>
    <w:autoRedefine/>
    <w:qFormat/>
    <w:uiPriority w:val="0"/>
    <w:rPr>
      <w:rFonts w:hint="default" w:ascii="Menlo" w:hAnsi="Menlo" w:eastAsia="Menlo" w:cs="Menlo"/>
      <w:sz w:val="21"/>
      <w:szCs w:val="21"/>
    </w:rPr>
  </w:style>
  <w:style w:type="character" w:styleId="74">
    <w:name w:val="HTML Sample"/>
    <w:autoRedefine/>
    <w:qFormat/>
    <w:uiPriority w:val="0"/>
    <w:rPr>
      <w:rFonts w:ascii="Menlo" w:hAnsi="Menlo" w:eastAsia="Menlo" w:cs="Menlo"/>
      <w:sz w:val="21"/>
      <w:szCs w:val="21"/>
    </w:rPr>
  </w:style>
  <w:style w:type="paragraph" w:customStyle="1" w:styleId="75">
    <w:name w:val="目录 82"/>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76">
    <w:name w:val="正文（缩进）"/>
    <w:basedOn w:val="1"/>
    <w:autoRedefine/>
    <w:qFormat/>
    <w:uiPriority w:val="0"/>
    <w:pPr>
      <w:ind w:firstLine="480" w:firstLineChars="200"/>
    </w:pPr>
  </w:style>
  <w:style w:type="character" w:customStyle="1" w:styleId="77">
    <w:name w:val="正文文本 字符"/>
    <w:link w:val="21"/>
    <w:autoRedefine/>
    <w:qFormat/>
    <w:uiPriority w:val="0"/>
    <w:rPr>
      <w:rFonts w:ascii="楷体_GB2312" w:hAnsi="Times New Roman"/>
      <w:kern w:val="2"/>
      <w:sz w:val="28"/>
    </w:rPr>
  </w:style>
  <w:style w:type="character" w:customStyle="1" w:styleId="78">
    <w:name w:val="标题 1 字符"/>
    <w:link w:val="2"/>
    <w:autoRedefine/>
    <w:qFormat/>
    <w:uiPriority w:val="0"/>
    <w:rPr>
      <w:rFonts w:ascii="Times New Roman" w:hAnsi="Times New Roman" w:eastAsia="楷体_GB2312" w:cs="Times New Roman"/>
      <w:b/>
      <w:kern w:val="44"/>
      <w:sz w:val="44"/>
    </w:rPr>
  </w:style>
  <w:style w:type="character" w:customStyle="1" w:styleId="79">
    <w:name w:val="标题 2 字符"/>
    <w:link w:val="4"/>
    <w:autoRedefine/>
    <w:qFormat/>
    <w:uiPriority w:val="0"/>
    <w:rPr>
      <w:rFonts w:ascii="宋体" w:hAnsi="宋体" w:eastAsia="楷体_GB2312" w:cs="Times New Roman"/>
      <w:b/>
      <w:kern w:val="2"/>
      <w:sz w:val="26"/>
      <w:lang w:val="en-US" w:eastAsia="zh-CN" w:bidi="ar-SA"/>
    </w:rPr>
  </w:style>
  <w:style w:type="character" w:customStyle="1" w:styleId="80">
    <w:name w:val="标题 3 字符"/>
    <w:link w:val="5"/>
    <w:autoRedefine/>
    <w:qFormat/>
    <w:uiPriority w:val="0"/>
    <w:rPr>
      <w:rFonts w:ascii="Times New Roman" w:hAnsi="Times New Roman" w:eastAsia="楷体_GB2312" w:cs="Times New Roman"/>
      <w:b/>
      <w:kern w:val="2"/>
      <w:sz w:val="26"/>
    </w:rPr>
  </w:style>
  <w:style w:type="character" w:customStyle="1" w:styleId="81">
    <w:name w:val="标题 4 字符"/>
    <w:link w:val="6"/>
    <w:autoRedefine/>
    <w:qFormat/>
    <w:uiPriority w:val="0"/>
    <w:rPr>
      <w:rFonts w:ascii="Arial" w:hAnsi="Arial" w:eastAsia="黑体" w:cs="Times New Roman"/>
      <w:b/>
      <w:bCs/>
      <w:kern w:val="2"/>
      <w:sz w:val="28"/>
      <w:szCs w:val="28"/>
    </w:rPr>
  </w:style>
  <w:style w:type="character" w:customStyle="1" w:styleId="82">
    <w:name w:val="正文缩进 字符"/>
    <w:link w:val="3"/>
    <w:autoRedefine/>
    <w:qFormat/>
    <w:uiPriority w:val="0"/>
    <w:rPr>
      <w:rFonts w:ascii="Times New Roman" w:hAnsi="Times New Roman" w:eastAsia="楷体_GB2312" w:cs="Times New Roman"/>
      <w:kern w:val="2"/>
      <w:sz w:val="24"/>
      <w:lang w:val="en-US" w:eastAsia="zh-CN" w:bidi="ar-SA"/>
    </w:rPr>
  </w:style>
  <w:style w:type="character" w:customStyle="1" w:styleId="83">
    <w:name w:val="标题 5 字符"/>
    <w:link w:val="7"/>
    <w:autoRedefine/>
    <w:qFormat/>
    <w:uiPriority w:val="0"/>
    <w:rPr>
      <w:rFonts w:ascii="宋体" w:hAnsi="Times New Roman"/>
      <w:b/>
      <w:spacing w:val="-2"/>
      <w:kern w:val="2"/>
      <w:position w:val="-6"/>
      <w:sz w:val="28"/>
    </w:rPr>
  </w:style>
  <w:style w:type="character" w:customStyle="1" w:styleId="84">
    <w:name w:val="标题 6 字符"/>
    <w:link w:val="8"/>
    <w:autoRedefine/>
    <w:qFormat/>
    <w:uiPriority w:val="0"/>
    <w:rPr>
      <w:rFonts w:ascii="Arial" w:hAnsi="Arial" w:eastAsia="黑体"/>
      <w:b/>
      <w:spacing w:val="-2"/>
      <w:kern w:val="2"/>
      <w:position w:val="-6"/>
      <w:sz w:val="24"/>
    </w:rPr>
  </w:style>
  <w:style w:type="character" w:customStyle="1" w:styleId="85">
    <w:name w:val="标题 7 字符"/>
    <w:link w:val="9"/>
    <w:autoRedefine/>
    <w:qFormat/>
    <w:uiPriority w:val="0"/>
    <w:rPr>
      <w:rFonts w:ascii="宋体" w:hAnsi="Times New Roman"/>
      <w:b/>
      <w:spacing w:val="-2"/>
      <w:kern w:val="2"/>
      <w:position w:val="-6"/>
      <w:sz w:val="24"/>
    </w:rPr>
  </w:style>
  <w:style w:type="character" w:customStyle="1" w:styleId="86">
    <w:name w:val="标题 8 字符"/>
    <w:link w:val="10"/>
    <w:autoRedefine/>
    <w:qFormat/>
    <w:uiPriority w:val="0"/>
    <w:rPr>
      <w:rFonts w:ascii="Arial" w:hAnsi="Arial" w:eastAsia="黑体"/>
      <w:spacing w:val="-2"/>
      <w:kern w:val="2"/>
      <w:position w:val="-6"/>
      <w:sz w:val="24"/>
    </w:rPr>
  </w:style>
  <w:style w:type="character" w:customStyle="1" w:styleId="87">
    <w:name w:val="标题 9 字符"/>
    <w:link w:val="11"/>
    <w:autoRedefine/>
    <w:qFormat/>
    <w:uiPriority w:val="0"/>
    <w:rPr>
      <w:rFonts w:ascii="Arial" w:hAnsi="Arial" w:eastAsia="黑体"/>
      <w:spacing w:val="-2"/>
      <w:kern w:val="2"/>
      <w:position w:val="-6"/>
      <w:sz w:val="28"/>
    </w:rPr>
  </w:style>
  <w:style w:type="character" w:customStyle="1" w:styleId="88">
    <w:name w:val="hilite6"/>
    <w:autoRedefine/>
    <w:qFormat/>
    <w:uiPriority w:val="0"/>
    <w:rPr>
      <w:rFonts w:ascii="Times New Roman" w:hAnsi="Times New Roman" w:eastAsia="宋体" w:cs="Times New Roman"/>
      <w:color w:val="FFFFFF"/>
      <w:shd w:val="clear" w:color="auto" w:fill="776666"/>
    </w:rPr>
  </w:style>
  <w:style w:type="character" w:customStyle="1" w:styleId="89">
    <w:name w:val="页眉 字符"/>
    <w:link w:val="34"/>
    <w:autoRedefine/>
    <w:qFormat/>
    <w:uiPriority w:val="99"/>
    <w:rPr>
      <w:rFonts w:ascii="Times New Roman" w:hAnsi="Times New Roman" w:eastAsia="楷体_GB2312" w:cs="Times New Roman"/>
      <w:kern w:val="2"/>
      <w:sz w:val="18"/>
    </w:rPr>
  </w:style>
  <w:style w:type="character" w:customStyle="1" w:styleId="90">
    <w:name w:val="hilite"/>
    <w:autoRedefine/>
    <w:qFormat/>
    <w:uiPriority w:val="0"/>
    <w:rPr>
      <w:rFonts w:ascii="Times New Roman" w:hAnsi="Times New Roman" w:eastAsia="宋体" w:cs="Times New Roman"/>
      <w:color w:val="FFFFFF"/>
      <w:shd w:val="clear" w:color="auto" w:fill="776666"/>
    </w:rPr>
  </w:style>
  <w:style w:type="character" w:customStyle="1" w:styleId="91">
    <w:name w:val="批注主题 字符"/>
    <w:link w:val="54"/>
    <w:autoRedefine/>
    <w:qFormat/>
    <w:uiPriority w:val="0"/>
    <w:rPr>
      <w:b/>
      <w:bCs/>
      <w:kern w:val="2"/>
      <w:sz w:val="26"/>
    </w:rPr>
  </w:style>
  <w:style w:type="character" w:customStyle="1" w:styleId="92">
    <w:name w:val="批注文字 字符"/>
    <w:link w:val="18"/>
    <w:autoRedefine/>
    <w:qFormat/>
    <w:uiPriority w:val="0"/>
    <w:rPr>
      <w:rFonts w:ascii="Times New Roman" w:hAnsi="Times New Roman" w:eastAsia="楷体_GB2312" w:cs="Times New Roman"/>
      <w:kern w:val="2"/>
      <w:sz w:val="26"/>
    </w:rPr>
  </w:style>
  <w:style w:type="character" w:customStyle="1" w:styleId="93">
    <w:name w:val="state"/>
    <w:autoRedefine/>
    <w:qFormat/>
    <w:uiPriority w:val="0"/>
    <w:rPr>
      <w:rFonts w:ascii="Times New Roman" w:hAnsi="Times New Roman" w:eastAsia="宋体" w:cs="Times New Roman"/>
      <w:b/>
      <w:color w:val="FFFFFF"/>
      <w:sz w:val="19"/>
      <w:szCs w:val="19"/>
    </w:rPr>
  </w:style>
  <w:style w:type="character" w:customStyle="1" w:styleId="94">
    <w:name w:val="bds_more5"/>
    <w:autoRedefine/>
    <w:qFormat/>
    <w:uiPriority w:val="0"/>
    <w:rPr>
      <w:rFonts w:ascii="Times New Roman" w:hAnsi="Times New Roman" w:eastAsia="宋体" w:cs="Times New Roman"/>
    </w:rPr>
  </w:style>
  <w:style w:type="character" w:customStyle="1" w:styleId="95">
    <w:name w:val="正文文本缩进 字符"/>
    <w:link w:val="22"/>
    <w:autoRedefine/>
    <w:qFormat/>
    <w:uiPriority w:val="0"/>
    <w:rPr>
      <w:rFonts w:ascii="方正仿宋简体" w:hAnsi="创艺简仿宋" w:eastAsia="方正仿宋简体" w:cs="Times New Roman"/>
      <w:kern w:val="2"/>
      <w:sz w:val="24"/>
      <w:lang w:val="en-US" w:eastAsia="zh-CN" w:bidi="ar-SA"/>
    </w:rPr>
  </w:style>
  <w:style w:type="character" w:customStyle="1" w:styleId="96">
    <w:name w:val="bigfont"/>
    <w:autoRedefine/>
    <w:qFormat/>
    <w:uiPriority w:val="0"/>
  </w:style>
  <w:style w:type="character" w:customStyle="1" w:styleId="97">
    <w:name w:val="正文文本缩进 2 字符"/>
    <w:link w:val="31"/>
    <w:autoRedefine/>
    <w:qFormat/>
    <w:uiPriority w:val="0"/>
    <w:rPr>
      <w:rFonts w:ascii="宋体"/>
      <w:b/>
      <w:bCs/>
      <w:kern w:val="2"/>
      <w:sz w:val="24"/>
    </w:rPr>
  </w:style>
  <w:style w:type="character" w:customStyle="1" w:styleId="98">
    <w:name w:val="bds_more6"/>
    <w:autoRedefine/>
    <w:qFormat/>
    <w:uiPriority w:val="0"/>
    <w:rPr>
      <w:rFonts w:ascii="Times New Roman" w:hAnsi="Times New Roman" w:eastAsia="宋体" w:cs="Times New Roman"/>
    </w:rPr>
  </w:style>
  <w:style w:type="character" w:customStyle="1" w:styleId="99">
    <w:name w:val="noused"/>
    <w:autoRedefine/>
    <w:qFormat/>
    <w:uiPriority w:val="0"/>
    <w:rPr>
      <w:rFonts w:ascii="Times New Roman" w:hAnsi="Times New Roman" w:eastAsia="宋体" w:cs="Times New Roman"/>
      <w:b/>
      <w:color w:val="FFFFFF"/>
      <w:sz w:val="21"/>
      <w:szCs w:val="21"/>
    </w:rPr>
  </w:style>
  <w:style w:type="character" w:customStyle="1" w:styleId="100">
    <w:name w:val="Char Char2"/>
    <w:autoRedefine/>
    <w:qFormat/>
    <w:uiPriority w:val="0"/>
    <w:rPr>
      <w:rFonts w:ascii="宋体" w:hAnsi="宋体" w:eastAsia="楷体_GB2312" w:cs="Times New Roman"/>
      <w:b/>
      <w:kern w:val="2"/>
      <w:sz w:val="26"/>
      <w:lang w:val="en-US" w:eastAsia="zh-CN" w:bidi="ar-SA"/>
    </w:rPr>
  </w:style>
  <w:style w:type="character" w:customStyle="1" w:styleId="101">
    <w:name w:val="bds_more7"/>
    <w:autoRedefine/>
    <w:qFormat/>
    <w:uiPriority w:val="0"/>
    <w:rPr>
      <w:rFonts w:ascii="Times New Roman" w:hAnsi="Times New Roman" w:eastAsia="宋体" w:cs="Times New Roman"/>
    </w:rPr>
  </w:style>
  <w:style w:type="character" w:customStyle="1" w:styleId="102">
    <w:name w:val="文档结构图 字符"/>
    <w:link w:val="16"/>
    <w:autoRedefine/>
    <w:qFormat/>
    <w:uiPriority w:val="99"/>
    <w:rPr>
      <w:kern w:val="2"/>
      <w:sz w:val="26"/>
      <w:shd w:val="clear" w:color="auto" w:fill="000080"/>
    </w:rPr>
  </w:style>
  <w:style w:type="character" w:customStyle="1" w:styleId="103">
    <w:name w:val="标题 字符"/>
    <w:link w:val="53"/>
    <w:autoRedefine/>
    <w:qFormat/>
    <w:uiPriority w:val="0"/>
    <w:rPr>
      <w:rFonts w:ascii="Cambria" w:hAnsi="Cambria" w:eastAsia="宋体" w:cs="Times New Roman"/>
      <w:b/>
      <w:bCs/>
      <w:kern w:val="2"/>
      <w:sz w:val="32"/>
      <w:szCs w:val="32"/>
    </w:rPr>
  </w:style>
  <w:style w:type="character" w:customStyle="1" w:styleId="104">
    <w:name w:val="页脚 字符"/>
    <w:link w:val="33"/>
    <w:autoRedefine/>
    <w:qFormat/>
    <w:uiPriority w:val="99"/>
    <w:rPr>
      <w:rFonts w:ascii="Times New Roman" w:hAnsi="Times New Roman" w:eastAsia="楷体_GB2312" w:cs="Times New Roman"/>
      <w:kern w:val="2"/>
      <w:sz w:val="18"/>
    </w:rPr>
  </w:style>
  <w:style w:type="character" w:customStyle="1" w:styleId="105">
    <w:name w:val="Body Char Char"/>
    <w:link w:val="106"/>
    <w:autoRedefine/>
    <w:qFormat/>
    <w:uiPriority w:val="0"/>
    <w:rPr>
      <w:sz w:val="21"/>
      <w:szCs w:val="21"/>
      <w:lang w:eastAsia="en-US"/>
    </w:rPr>
  </w:style>
  <w:style w:type="paragraph" w:customStyle="1" w:styleId="106">
    <w:name w:val="Body"/>
    <w:basedOn w:val="1"/>
    <w:link w:val="105"/>
    <w:autoRedefine/>
    <w:qFormat/>
    <w:uiPriority w:val="0"/>
    <w:pPr>
      <w:widowControl/>
      <w:tabs>
        <w:tab w:val="left" w:pos="9356"/>
      </w:tabs>
      <w:spacing w:before="80" w:after="80" w:line="360" w:lineRule="auto"/>
      <w:ind w:firstLine="480" w:firstLineChars="200"/>
    </w:pPr>
    <w:rPr>
      <w:rFonts w:eastAsia="宋体"/>
      <w:kern w:val="0"/>
      <w:sz w:val="21"/>
      <w:szCs w:val="21"/>
      <w:lang w:eastAsia="en-US"/>
    </w:rPr>
  </w:style>
  <w:style w:type="character" w:customStyle="1" w:styleId="107">
    <w:name w:val="bds_more4"/>
    <w:autoRedefine/>
    <w:qFormat/>
    <w:uiPriority w:val="0"/>
    <w:rPr>
      <w:rFonts w:hint="eastAsia" w:ascii="宋体" w:hAnsi="宋体" w:eastAsia="宋体" w:cs="宋体"/>
    </w:rPr>
  </w:style>
  <w:style w:type="character" w:customStyle="1" w:styleId="108">
    <w:name w:val="other"/>
    <w:autoRedefine/>
    <w:qFormat/>
    <w:uiPriority w:val="0"/>
    <w:rPr>
      <w:rFonts w:ascii="Times New Roman" w:hAnsi="Times New Roman" w:eastAsia="宋体" w:cs="Times New Roman"/>
    </w:rPr>
  </w:style>
  <w:style w:type="character" w:customStyle="1" w:styleId="109">
    <w:name w:val="active"/>
    <w:autoRedefine/>
    <w:qFormat/>
    <w:uiPriority w:val="0"/>
    <w:rPr>
      <w:rFonts w:ascii="Times New Roman" w:hAnsi="Times New Roman" w:eastAsia="宋体" w:cs="Times New Roman"/>
      <w:color w:val="00FF00"/>
      <w:shd w:val="clear" w:color="auto" w:fill="000000"/>
    </w:rPr>
  </w:style>
  <w:style w:type="character" w:customStyle="1" w:styleId="110">
    <w:name w:val="bds_more8"/>
    <w:autoRedefine/>
    <w:qFormat/>
    <w:uiPriority w:val="0"/>
    <w:rPr>
      <w:rFonts w:hint="eastAsia" w:ascii="宋体" w:hAnsi="宋体" w:eastAsia="宋体" w:cs="宋体"/>
    </w:rPr>
  </w:style>
  <w:style w:type="character" w:customStyle="1" w:styleId="111">
    <w:name w:val="标书正文格式 Char Char"/>
    <w:link w:val="112"/>
    <w:autoRedefine/>
    <w:qFormat/>
    <w:uiPriority w:val="0"/>
    <w:rPr>
      <w:rFonts w:eastAsia="楷体_GB2312"/>
      <w:kern w:val="2"/>
      <w:sz w:val="24"/>
      <w:szCs w:val="24"/>
      <w:lang w:val="en-US" w:eastAsia="zh-CN" w:bidi="ar-SA"/>
    </w:rPr>
  </w:style>
  <w:style w:type="paragraph" w:customStyle="1" w:styleId="112">
    <w:name w:val="标书正文格式"/>
    <w:link w:val="111"/>
    <w:autoRedefine/>
    <w:qFormat/>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character" w:customStyle="1" w:styleId="113">
    <w:name w:val="bds_nopic"/>
    <w:autoRedefine/>
    <w:qFormat/>
    <w:uiPriority w:val="0"/>
    <w:rPr>
      <w:rFonts w:ascii="Times New Roman" w:hAnsi="Times New Roman" w:eastAsia="宋体" w:cs="Times New Roman"/>
    </w:rPr>
  </w:style>
  <w:style w:type="character" w:customStyle="1" w:styleId="114">
    <w:name w:val="dg2"/>
    <w:autoRedefine/>
    <w:qFormat/>
    <w:uiPriority w:val="0"/>
  </w:style>
  <w:style w:type="character" w:customStyle="1" w:styleId="115">
    <w:name w:val="hover61"/>
    <w:autoRedefine/>
    <w:qFormat/>
    <w:uiPriority w:val="0"/>
    <w:rPr>
      <w:rFonts w:ascii="Times New Roman" w:hAnsi="Times New Roman" w:eastAsia="宋体" w:cs="Times New Roman"/>
      <w:shd w:val="clear" w:color="auto" w:fill="FF0000"/>
    </w:rPr>
  </w:style>
  <w:style w:type="character" w:customStyle="1" w:styleId="116">
    <w:name w:val="grid2"/>
    <w:autoRedefine/>
    <w:qFormat/>
    <w:uiPriority w:val="0"/>
    <w:rPr>
      <w:rFonts w:ascii="Times New Roman" w:hAnsi="Times New Roman" w:eastAsia="宋体" w:cs="Times New Roman"/>
    </w:rPr>
  </w:style>
  <w:style w:type="character" w:customStyle="1" w:styleId="117">
    <w:name w:val="正文要点 Char Char"/>
    <w:link w:val="118"/>
    <w:autoRedefine/>
    <w:qFormat/>
    <w:uiPriority w:val="0"/>
    <w:rPr>
      <w:rFonts w:eastAsia="楷体_GB2312"/>
      <w:kern w:val="2"/>
      <w:sz w:val="21"/>
      <w:szCs w:val="24"/>
    </w:rPr>
  </w:style>
  <w:style w:type="paragraph" w:customStyle="1" w:styleId="118">
    <w:name w:val="正文要点"/>
    <w:basedOn w:val="1"/>
    <w:next w:val="1"/>
    <w:link w:val="117"/>
    <w:autoRedefine/>
    <w:qFormat/>
    <w:uiPriority w:val="0"/>
    <w:pPr>
      <w:tabs>
        <w:tab w:val="left" w:pos="420"/>
      </w:tabs>
      <w:spacing w:line="360" w:lineRule="auto"/>
      <w:ind w:left="420" w:hanging="420"/>
    </w:pPr>
    <w:rPr>
      <w:sz w:val="21"/>
      <w:szCs w:val="24"/>
    </w:rPr>
  </w:style>
  <w:style w:type="character" w:customStyle="1" w:styleId="119">
    <w:name w:val="apple-converted-space"/>
    <w:autoRedefine/>
    <w:qFormat/>
    <w:uiPriority w:val="0"/>
  </w:style>
  <w:style w:type="character" w:customStyle="1" w:styleId="120">
    <w:name w:val="bds_nopic2"/>
    <w:autoRedefine/>
    <w:qFormat/>
    <w:uiPriority w:val="0"/>
    <w:rPr>
      <w:rFonts w:ascii="Times New Roman" w:hAnsi="Times New Roman" w:eastAsia="宋体" w:cs="Times New Roman"/>
    </w:rPr>
  </w:style>
  <w:style w:type="character" w:customStyle="1" w:styleId="121">
    <w:name w:val="普通(网站) 字符"/>
    <w:link w:val="51"/>
    <w:autoRedefine/>
    <w:qFormat/>
    <w:uiPriority w:val="0"/>
    <w:rPr>
      <w:sz w:val="24"/>
      <w:szCs w:val="24"/>
    </w:rPr>
  </w:style>
  <w:style w:type="character" w:customStyle="1" w:styleId="122">
    <w:name w:val="样式 宋体 小四"/>
    <w:autoRedefine/>
    <w:qFormat/>
    <w:uiPriority w:val="0"/>
    <w:rPr>
      <w:rFonts w:ascii="宋体" w:hAnsi="宋体"/>
      <w:sz w:val="24"/>
    </w:rPr>
  </w:style>
  <w:style w:type="character" w:customStyle="1" w:styleId="123">
    <w:name w:val="Table Text Char Char"/>
    <w:link w:val="124"/>
    <w:autoRedefine/>
    <w:qFormat/>
    <w:uiPriority w:val="0"/>
    <w:rPr>
      <w:rFonts w:ascii="Arial" w:hAnsi="Arial" w:cs="Arial"/>
      <w:sz w:val="18"/>
      <w:szCs w:val="18"/>
      <w:lang w:val="en-US" w:eastAsia="zh-CN" w:bidi="ar-SA"/>
    </w:rPr>
  </w:style>
  <w:style w:type="paragraph" w:customStyle="1" w:styleId="124">
    <w:name w:val="Table Text"/>
    <w:link w:val="123"/>
    <w:autoRedefine/>
    <w:qFormat/>
    <w:uiPriority w:val="0"/>
    <w:pPr>
      <w:snapToGrid w:val="0"/>
      <w:spacing w:before="80" w:after="80"/>
    </w:pPr>
    <w:rPr>
      <w:rFonts w:ascii="Arial" w:hAnsi="Arial" w:eastAsia="宋体" w:cs="Arial"/>
      <w:sz w:val="18"/>
      <w:szCs w:val="18"/>
      <w:lang w:val="en-US" w:eastAsia="zh-CN" w:bidi="ar-SA"/>
    </w:rPr>
  </w:style>
  <w:style w:type="character" w:customStyle="1" w:styleId="125">
    <w:name w:val="grid"/>
    <w:autoRedefine/>
    <w:qFormat/>
    <w:uiPriority w:val="0"/>
    <w:rPr>
      <w:rFonts w:ascii="Times New Roman" w:hAnsi="Times New Roman" w:eastAsia="宋体" w:cs="Times New Roman"/>
    </w:rPr>
  </w:style>
  <w:style w:type="character" w:customStyle="1" w:styleId="126">
    <w:name w:val="纯文本 字符"/>
    <w:link w:val="27"/>
    <w:autoRedefine/>
    <w:qFormat/>
    <w:uiPriority w:val="0"/>
    <w:rPr>
      <w:rFonts w:ascii="宋体" w:hAnsi="Courier New" w:eastAsia="楷体_GB2312" w:cs="Times New Roman"/>
      <w:kern w:val="2"/>
      <w:sz w:val="26"/>
      <w:lang w:val="en-US" w:eastAsia="zh-CN" w:bidi="ar-SA"/>
    </w:rPr>
  </w:style>
  <w:style w:type="character" w:customStyle="1" w:styleId="127">
    <w:name w:val="bds_nopic1"/>
    <w:autoRedefine/>
    <w:qFormat/>
    <w:uiPriority w:val="0"/>
    <w:rPr>
      <w:rFonts w:ascii="Times New Roman" w:hAnsi="Times New Roman" w:eastAsia="宋体" w:cs="Times New Roman"/>
    </w:rPr>
  </w:style>
  <w:style w:type="character" w:customStyle="1" w:styleId="128">
    <w:name w:val="active8"/>
    <w:autoRedefine/>
    <w:qFormat/>
    <w:uiPriority w:val="0"/>
    <w:rPr>
      <w:rFonts w:ascii="Times New Roman" w:hAnsi="Times New Roman" w:eastAsia="宋体" w:cs="Times New Roman"/>
      <w:color w:val="00FF00"/>
      <w:shd w:val="clear" w:color="auto" w:fill="000000"/>
    </w:rPr>
  </w:style>
  <w:style w:type="paragraph" w:customStyle="1" w:styleId="129">
    <w:name w:val="xl132"/>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130">
    <w:name w:val="xl11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1">
    <w:name w:val="xl81"/>
    <w:basedOn w:val="1"/>
    <w:autoRedefine/>
    <w:qFormat/>
    <w:uiPriority w:val="0"/>
    <w:pPr>
      <w:widowControl/>
      <w:spacing w:before="100" w:beforeAutospacing="1" w:after="100" w:afterAutospacing="1"/>
      <w:jc w:val="center"/>
    </w:pPr>
    <w:rPr>
      <w:rFonts w:eastAsia="宋体"/>
      <w:b/>
      <w:bCs/>
      <w:kern w:val="0"/>
      <w:sz w:val="24"/>
      <w:szCs w:val="24"/>
    </w:rPr>
  </w:style>
  <w:style w:type="paragraph" w:customStyle="1" w:styleId="132">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133">
    <w:name w:val="xl76"/>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34">
    <w:name w:val="xl84"/>
    <w:basedOn w:val="1"/>
    <w:autoRedefine/>
    <w:qFormat/>
    <w:uiPriority w:val="0"/>
    <w:pPr>
      <w:widowControl/>
      <w:pBdr>
        <w:top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35">
    <w:name w:val="xl12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136">
    <w:name w:val="xl155"/>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rPr>
  </w:style>
  <w:style w:type="character" w:customStyle="1" w:styleId="137">
    <w:name w:val="日期 字符"/>
    <w:link w:val="30"/>
    <w:autoRedefine/>
    <w:qFormat/>
    <w:uiPriority w:val="0"/>
    <w:rPr>
      <w:rFonts w:ascii="宋体" w:hAnsi="宋体" w:eastAsia="宋体" w:cs="Times New Roman"/>
      <w:kern w:val="2"/>
      <w:sz w:val="24"/>
    </w:rPr>
  </w:style>
  <w:style w:type="paragraph" w:customStyle="1" w:styleId="138">
    <w:name w:val="列出段落1"/>
    <w:basedOn w:val="1"/>
    <w:autoRedefine/>
    <w:qFormat/>
    <w:uiPriority w:val="0"/>
    <w:pPr>
      <w:ind w:firstLine="420" w:firstLineChars="200"/>
    </w:pPr>
    <w:rPr>
      <w:rFonts w:eastAsia="宋体"/>
      <w:sz w:val="21"/>
      <w:szCs w:val="22"/>
    </w:rPr>
  </w:style>
  <w:style w:type="paragraph" w:customStyle="1" w:styleId="139">
    <w:name w:val="xl114"/>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0">
    <w:name w:val="xl150"/>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left"/>
    </w:pPr>
    <w:rPr>
      <w:rFonts w:ascii="宋体" w:hAnsi="宋体" w:eastAsia="宋体" w:cs="宋体"/>
      <w:kern w:val="0"/>
      <w:sz w:val="20"/>
    </w:rPr>
  </w:style>
  <w:style w:type="paragraph" w:customStyle="1" w:styleId="141">
    <w:name w:val="xl133"/>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42">
    <w:name w:val="xl14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43">
    <w:name w:val="xl48"/>
    <w:basedOn w:val="1"/>
    <w:autoRedefine/>
    <w:qFormat/>
    <w:uiPriority w:val="0"/>
    <w:pPr>
      <w:widowControl/>
      <w:spacing w:before="100" w:beforeAutospacing="1" w:after="100" w:afterAutospacing="1"/>
      <w:jc w:val="left"/>
      <w:textAlignment w:val="center"/>
    </w:pPr>
    <w:rPr>
      <w:rFonts w:ascii="Univers" w:hAnsi="Univers" w:eastAsia="宋体" w:cs="宋体"/>
      <w:b/>
      <w:bCs/>
      <w:kern w:val="0"/>
      <w:sz w:val="24"/>
      <w:szCs w:val="24"/>
    </w:rPr>
  </w:style>
  <w:style w:type="paragraph" w:customStyle="1" w:styleId="144">
    <w:name w:val="列出段落11"/>
    <w:basedOn w:val="1"/>
    <w:autoRedefine/>
    <w:qFormat/>
    <w:uiPriority w:val="0"/>
    <w:pPr>
      <w:ind w:firstLine="200" w:firstLineChars="200"/>
    </w:pPr>
    <w:rPr>
      <w:rFonts w:eastAsia="宋体" w:cs="Arial"/>
      <w:sz w:val="21"/>
      <w:szCs w:val="22"/>
    </w:rPr>
  </w:style>
  <w:style w:type="paragraph" w:customStyle="1" w:styleId="145">
    <w:name w:val="rm"/>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6">
    <w:name w:val="font6"/>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47">
    <w:name w:val="Char"/>
    <w:basedOn w:val="1"/>
    <w:autoRedefine/>
    <w:qFormat/>
    <w:uiPriority w:val="0"/>
    <w:rPr>
      <w:rFonts w:ascii="Tahoma" w:hAnsi="Tahoma" w:eastAsia="宋体"/>
      <w:sz w:val="24"/>
    </w:rPr>
  </w:style>
  <w:style w:type="paragraph" w:customStyle="1" w:styleId="148">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i/>
      <w:iCs/>
      <w:kern w:val="0"/>
      <w:sz w:val="24"/>
      <w:szCs w:val="24"/>
    </w:rPr>
  </w:style>
  <w:style w:type="paragraph" w:customStyle="1" w:styleId="149">
    <w:name w:val="xl146"/>
    <w:basedOn w:val="1"/>
    <w:autoRedefine/>
    <w:qFormat/>
    <w:uiPriority w:val="0"/>
    <w:pPr>
      <w:widowControl/>
      <w:pBdr>
        <w:lef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150">
    <w:name w:val="xl96"/>
    <w:basedOn w:val="1"/>
    <w:autoRedefine/>
    <w:qFormat/>
    <w:uiPriority w:val="0"/>
    <w:pPr>
      <w:widowControl/>
      <w:spacing w:before="100" w:beforeAutospacing="1" w:after="100" w:afterAutospacing="1"/>
      <w:jc w:val="center"/>
    </w:pPr>
    <w:rPr>
      <w:rFonts w:eastAsia="宋体"/>
      <w:kern w:val="0"/>
      <w:sz w:val="24"/>
      <w:szCs w:val="24"/>
    </w:rPr>
  </w:style>
  <w:style w:type="paragraph" w:customStyle="1" w:styleId="151">
    <w:name w:val="xl99"/>
    <w:basedOn w:val="1"/>
    <w:autoRedefine/>
    <w:qFormat/>
    <w:uiPriority w:val="0"/>
    <w:pPr>
      <w:widowControl/>
      <w:pBdr>
        <w:bottom w:val="single" w:color="auto" w:sz="4" w:space="0"/>
      </w:pBdr>
      <w:spacing w:before="100" w:beforeAutospacing="1" w:after="100" w:afterAutospacing="1"/>
      <w:jc w:val="center"/>
    </w:pPr>
    <w:rPr>
      <w:rFonts w:eastAsia="宋体"/>
      <w:kern w:val="0"/>
      <w:sz w:val="24"/>
      <w:szCs w:val="24"/>
    </w:rPr>
  </w:style>
  <w:style w:type="paragraph" w:customStyle="1" w:styleId="152">
    <w:name w:val="xl82"/>
    <w:basedOn w:val="1"/>
    <w:autoRedefine/>
    <w:qFormat/>
    <w:uiPriority w:val="0"/>
    <w:pPr>
      <w:widowControl/>
      <w:spacing w:before="100" w:beforeAutospacing="1" w:after="100" w:afterAutospacing="1"/>
      <w:jc w:val="left"/>
    </w:pPr>
    <w:rPr>
      <w:rFonts w:eastAsia="宋体"/>
      <w:b/>
      <w:bCs/>
      <w:kern w:val="0"/>
      <w:sz w:val="24"/>
      <w:szCs w:val="24"/>
    </w:rPr>
  </w:style>
  <w:style w:type="paragraph" w:customStyle="1" w:styleId="153">
    <w:name w:val="xl153"/>
    <w:basedOn w:val="1"/>
    <w:autoRedefine/>
    <w:qFormat/>
    <w:uiPriority w:val="0"/>
    <w:pPr>
      <w:widowControl/>
      <w:pBdr>
        <w:left w:val="single" w:color="auto" w:sz="4" w:space="0"/>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54">
    <w:name w:val="xl162"/>
    <w:basedOn w:val="1"/>
    <w:autoRedefine/>
    <w:qFormat/>
    <w:uiPriority w:val="0"/>
    <w:pPr>
      <w:widowControl/>
      <w:pBdr>
        <w:top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155">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56">
    <w:name w:val="xl49"/>
    <w:basedOn w:val="1"/>
    <w:autoRedefine/>
    <w:qFormat/>
    <w:uiPriority w:val="0"/>
    <w:pPr>
      <w:widowControl/>
      <w:spacing w:before="100" w:beforeAutospacing="1" w:after="100" w:afterAutospacing="1"/>
      <w:jc w:val="center"/>
      <w:textAlignment w:val="center"/>
    </w:pPr>
    <w:rPr>
      <w:rFonts w:ascii="Univers" w:hAnsi="Univers" w:eastAsia="宋体" w:cs="宋体"/>
      <w:b/>
      <w:bCs/>
      <w:kern w:val="0"/>
      <w:sz w:val="24"/>
      <w:szCs w:val="24"/>
    </w:rPr>
  </w:style>
  <w:style w:type="paragraph" w:customStyle="1" w:styleId="157">
    <w:name w:val="规范正文"/>
    <w:basedOn w:val="1"/>
    <w:autoRedefine/>
    <w:qFormat/>
    <w:uiPriority w:val="0"/>
    <w:pPr>
      <w:spacing w:beforeLines="50" w:afterLines="50" w:line="360" w:lineRule="auto"/>
      <w:ind w:left="425" w:firstLine="480" w:firstLineChars="200"/>
    </w:pPr>
    <w:rPr>
      <w:rFonts w:ascii="宋体" w:hAnsi="宋体" w:eastAsia="宋体" w:cs="宋体"/>
      <w:sz w:val="24"/>
      <w:szCs w:val="24"/>
    </w:rPr>
  </w:style>
  <w:style w:type="paragraph" w:customStyle="1" w:styleId="158">
    <w:name w:val="xl7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eastAsia="宋体"/>
      <w:b/>
      <w:bCs/>
      <w:kern w:val="0"/>
      <w:sz w:val="24"/>
      <w:szCs w:val="24"/>
    </w:rPr>
  </w:style>
  <w:style w:type="paragraph" w:customStyle="1" w:styleId="159">
    <w:name w:val="xl92"/>
    <w:basedOn w:val="1"/>
    <w:autoRedefine/>
    <w:qFormat/>
    <w:uiPriority w:val="0"/>
    <w:pPr>
      <w:widowControl/>
      <w:pBdr>
        <w:left w:val="single" w:color="auto" w:sz="4" w:space="0"/>
      </w:pBdr>
      <w:spacing w:before="100" w:beforeAutospacing="1" w:after="100" w:afterAutospacing="1"/>
      <w:jc w:val="center"/>
    </w:pPr>
    <w:rPr>
      <w:rFonts w:ascii="宋体" w:hAnsi="宋体" w:eastAsia="宋体" w:cs="宋体"/>
      <w:kern w:val="0"/>
      <w:sz w:val="22"/>
      <w:szCs w:val="22"/>
    </w:rPr>
  </w:style>
  <w:style w:type="character" w:customStyle="1" w:styleId="160">
    <w:name w:val="脚注文本 字符"/>
    <w:link w:val="41"/>
    <w:autoRedefine/>
    <w:qFormat/>
    <w:uiPriority w:val="0"/>
    <w:rPr>
      <w:rFonts w:ascii="Times New Roman" w:hAnsi="Times New Roman"/>
      <w:kern w:val="2"/>
      <w:sz w:val="18"/>
    </w:rPr>
  </w:style>
  <w:style w:type="paragraph" w:customStyle="1" w:styleId="161">
    <w:name w:val="样式2"/>
    <w:basedOn w:val="1"/>
    <w:autoRedefine/>
    <w:qFormat/>
    <w:uiPriority w:val="0"/>
    <w:pPr>
      <w:widowControl/>
      <w:tabs>
        <w:tab w:val="left" w:pos="1200"/>
      </w:tabs>
      <w:autoSpaceDE w:val="0"/>
      <w:autoSpaceDN w:val="0"/>
      <w:spacing w:before="40" w:after="40" w:line="360" w:lineRule="auto"/>
      <w:ind w:left="1200" w:hanging="420"/>
    </w:pPr>
    <w:rPr>
      <w:rFonts w:ascii="宋体" w:eastAsia="宋体"/>
      <w:sz w:val="21"/>
      <w:szCs w:val="24"/>
    </w:rPr>
  </w:style>
  <w:style w:type="paragraph" w:customStyle="1" w:styleId="162">
    <w:name w:val="xl6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63">
    <w:name w:val="xl141"/>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0"/>
    </w:rPr>
  </w:style>
  <w:style w:type="paragraph" w:customStyle="1" w:styleId="164">
    <w:name w:val="xl12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65">
    <w:name w:val="Char Char1 Char Char Char Char"/>
    <w:basedOn w:val="16"/>
    <w:autoRedefine/>
    <w:qFormat/>
    <w:uiPriority w:val="0"/>
    <w:pPr>
      <w:adjustRightInd w:val="0"/>
      <w:snapToGrid w:val="0"/>
      <w:spacing w:line="360" w:lineRule="auto"/>
    </w:pPr>
    <w:rPr>
      <w:rFonts w:ascii="Tahoma" w:hAnsi="Tahoma"/>
      <w:sz w:val="24"/>
      <w:szCs w:val="24"/>
    </w:rPr>
  </w:style>
  <w:style w:type="paragraph" w:customStyle="1" w:styleId="166">
    <w:name w:val="xl157"/>
    <w:basedOn w:val="1"/>
    <w:autoRedefine/>
    <w:qFormat/>
    <w:uiPriority w:val="0"/>
    <w:pPr>
      <w:widowControl/>
      <w:pBdr>
        <w:left w:val="single" w:color="auto" w:sz="4" w:space="0"/>
        <w:right w:val="single" w:color="auto" w:sz="4" w:space="0"/>
      </w:pBdr>
      <w:spacing w:before="100" w:beforeAutospacing="1" w:after="100" w:afterAutospacing="1"/>
      <w:jc w:val="center"/>
    </w:pPr>
    <w:rPr>
      <w:rFonts w:eastAsia="宋体"/>
      <w:b/>
      <w:bCs/>
      <w:color w:val="FF0000"/>
      <w:kern w:val="0"/>
      <w:sz w:val="20"/>
    </w:rPr>
  </w:style>
  <w:style w:type="character" w:customStyle="1" w:styleId="167">
    <w:name w:val="批注框文本 字符"/>
    <w:link w:val="32"/>
    <w:autoRedefine/>
    <w:qFormat/>
    <w:uiPriority w:val="0"/>
    <w:rPr>
      <w:rFonts w:ascii="Times New Roman" w:hAnsi="Times New Roman" w:eastAsia="宋体" w:cs="Times New Roman"/>
      <w:kern w:val="2"/>
      <w:sz w:val="18"/>
      <w:szCs w:val="18"/>
    </w:rPr>
  </w:style>
  <w:style w:type="paragraph" w:customStyle="1" w:styleId="168">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69">
    <w:name w:val="xl12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170">
    <w:name w:val="Char Char3"/>
    <w:basedOn w:val="1"/>
    <w:autoRedefine/>
    <w:qFormat/>
    <w:uiPriority w:val="0"/>
    <w:pPr>
      <w:spacing w:beforeLines="50" w:afterLines="50"/>
      <w:jc w:val="left"/>
    </w:pPr>
    <w:rPr>
      <w:rFonts w:eastAsia="宋体"/>
      <w:sz w:val="30"/>
      <w:szCs w:val="32"/>
    </w:rPr>
  </w:style>
  <w:style w:type="paragraph" w:customStyle="1" w:styleId="171">
    <w:name w:val="xl88"/>
    <w:basedOn w:val="1"/>
    <w:autoRedefine/>
    <w:qFormat/>
    <w:uiPriority w:val="0"/>
    <w:pPr>
      <w:widowControl/>
      <w:spacing w:before="100" w:beforeAutospacing="1" w:after="100" w:afterAutospacing="1"/>
      <w:jc w:val="left"/>
    </w:pPr>
    <w:rPr>
      <w:rFonts w:eastAsia="宋体"/>
      <w:kern w:val="0"/>
      <w:sz w:val="24"/>
      <w:szCs w:val="24"/>
    </w:rPr>
  </w:style>
  <w:style w:type="paragraph" w:customStyle="1" w:styleId="172">
    <w:name w:val="xl1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73">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74">
    <w:name w:val="正文首行缩进4"/>
    <w:basedOn w:val="1"/>
    <w:autoRedefine/>
    <w:qFormat/>
    <w:uiPriority w:val="0"/>
    <w:pPr>
      <w:spacing w:beforeLines="50" w:afterLines="50" w:line="360" w:lineRule="auto"/>
      <w:ind w:firstLine="480" w:firstLineChars="200"/>
    </w:pPr>
    <w:rPr>
      <w:rFonts w:ascii="Arial" w:hAnsi="Arial" w:eastAsia="宋体"/>
      <w:sz w:val="24"/>
      <w:szCs w:val="24"/>
    </w:rPr>
  </w:style>
  <w:style w:type="paragraph" w:customStyle="1" w:styleId="175">
    <w:name w:val="font8"/>
    <w:basedOn w:val="1"/>
    <w:autoRedefine/>
    <w:qFormat/>
    <w:uiPriority w:val="0"/>
    <w:pPr>
      <w:widowControl/>
      <w:spacing w:before="100" w:beforeAutospacing="1" w:after="100" w:afterAutospacing="1"/>
      <w:jc w:val="left"/>
    </w:pPr>
    <w:rPr>
      <w:rFonts w:eastAsia="宋体"/>
      <w:kern w:val="0"/>
      <w:sz w:val="22"/>
      <w:szCs w:val="22"/>
    </w:rPr>
  </w:style>
  <w:style w:type="paragraph" w:customStyle="1" w:styleId="176">
    <w:name w:val="Char Char Char Char Char Char"/>
    <w:basedOn w:val="1"/>
    <w:autoRedefine/>
    <w:qFormat/>
    <w:uiPriority w:val="0"/>
    <w:rPr>
      <w:rFonts w:ascii="Tahoma" w:hAnsi="Tahoma" w:eastAsia="宋体"/>
      <w:sz w:val="24"/>
    </w:rPr>
  </w:style>
  <w:style w:type="paragraph" w:customStyle="1" w:styleId="17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4"/>
      <w:szCs w:val="24"/>
    </w:rPr>
  </w:style>
  <w:style w:type="paragraph" w:customStyle="1" w:styleId="178">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i/>
      <w:iCs/>
      <w:kern w:val="0"/>
      <w:sz w:val="24"/>
      <w:szCs w:val="24"/>
    </w:rPr>
  </w:style>
  <w:style w:type="paragraph" w:customStyle="1" w:styleId="179">
    <w:name w:val="表格正文"/>
    <w:basedOn w:val="1"/>
    <w:autoRedefine/>
    <w:qFormat/>
    <w:uiPriority w:val="0"/>
    <w:pPr>
      <w:spacing w:before="100" w:beforeAutospacing="1" w:after="100" w:afterAutospacing="1" w:line="240" w:lineRule="atLeast"/>
    </w:pPr>
    <w:rPr>
      <w:sz w:val="24"/>
    </w:rPr>
  </w:style>
  <w:style w:type="paragraph" w:customStyle="1" w:styleId="180">
    <w:name w:val="xl74"/>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81">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xl90"/>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eastAsia="宋体" w:cs="宋体"/>
      <w:kern w:val="0"/>
      <w:sz w:val="22"/>
      <w:szCs w:val="22"/>
    </w:rPr>
  </w:style>
  <w:style w:type="paragraph" w:customStyle="1" w:styleId="183">
    <w:name w:val="Bullet"/>
    <w:basedOn w:val="1"/>
    <w:autoRedefine/>
    <w:qFormat/>
    <w:uiPriority w:val="0"/>
    <w:pPr>
      <w:widowControl/>
      <w:adjustRightInd w:val="0"/>
      <w:spacing w:before="60" w:after="60" w:line="360" w:lineRule="auto"/>
      <w:ind w:left="1225" w:firstLine="420" w:firstLineChars="200"/>
    </w:pPr>
    <w:rPr>
      <w:rFonts w:eastAsia="宋体"/>
      <w:b/>
      <w:kern w:val="0"/>
      <w:sz w:val="21"/>
      <w:szCs w:val="21"/>
    </w:rPr>
  </w:style>
  <w:style w:type="paragraph" w:customStyle="1" w:styleId="184">
    <w:name w:val="_Style 57"/>
    <w:next w:val="1"/>
    <w:autoRedefine/>
    <w:qFormat/>
    <w:uiPriority w:val="0"/>
    <w:pPr>
      <w:widowControl w:val="0"/>
      <w:jc w:val="both"/>
    </w:pPr>
    <w:rPr>
      <w:rFonts w:ascii="Calibri" w:hAnsi="Calibri" w:eastAsia="楷体_GB2312" w:cs="Times New Roman"/>
      <w:kern w:val="2"/>
      <w:sz w:val="26"/>
      <w:lang w:val="en-US" w:eastAsia="zh-CN" w:bidi="ar-SA"/>
    </w:rPr>
  </w:style>
  <w:style w:type="paragraph" w:customStyle="1" w:styleId="185">
    <w:name w:val="p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xl60"/>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87">
    <w:name w:val="xl53"/>
    <w:basedOn w:val="1"/>
    <w:autoRedefine/>
    <w:qFormat/>
    <w:uiPriority w:val="0"/>
    <w:pPr>
      <w:widowControl/>
      <w:spacing w:before="100" w:beforeAutospacing="1" w:after="100" w:afterAutospacing="1"/>
      <w:jc w:val="left"/>
      <w:textAlignment w:val="center"/>
    </w:pPr>
    <w:rPr>
      <w:rFonts w:ascii="Univers" w:hAnsi="Univers" w:eastAsia="宋体" w:cs="宋体"/>
      <w:b/>
      <w:bCs/>
      <w:kern w:val="0"/>
      <w:sz w:val="24"/>
      <w:szCs w:val="24"/>
    </w:rPr>
  </w:style>
  <w:style w:type="paragraph" w:customStyle="1" w:styleId="188">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9">
    <w:name w:val="xl8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90">
    <w:name w:val="xl7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191">
    <w:name w:val="xl78"/>
    <w:basedOn w:val="1"/>
    <w:autoRedefine/>
    <w:qFormat/>
    <w:uiPriority w:val="0"/>
    <w:pPr>
      <w:widowControl/>
      <w:pBdr>
        <w:top w:val="single" w:color="auto" w:sz="4" w:space="0"/>
        <w:left w:val="single" w:color="auto" w:sz="4" w:space="0"/>
      </w:pBdr>
      <w:spacing w:before="100" w:beforeAutospacing="1" w:after="100" w:afterAutospacing="1"/>
      <w:jc w:val="center"/>
      <w:textAlignment w:val="center"/>
    </w:pPr>
    <w:rPr>
      <w:rFonts w:eastAsia="宋体"/>
      <w:b/>
      <w:bCs/>
      <w:kern w:val="0"/>
      <w:sz w:val="24"/>
      <w:szCs w:val="24"/>
    </w:rPr>
  </w:style>
  <w:style w:type="character" w:customStyle="1" w:styleId="192">
    <w:name w:val="正文文本缩进 3 字符"/>
    <w:link w:val="43"/>
    <w:autoRedefine/>
    <w:qFormat/>
    <w:uiPriority w:val="0"/>
    <w:rPr>
      <w:rFonts w:ascii="Times New Roman" w:hAnsi="Times New Roman"/>
      <w:kern w:val="2"/>
      <w:sz w:val="24"/>
      <w:szCs w:val="24"/>
    </w:rPr>
  </w:style>
  <w:style w:type="paragraph" w:customStyle="1" w:styleId="193">
    <w:name w:val="Char Char Char Char Char Char Char"/>
    <w:basedOn w:val="1"/>
    <w:autoRedefine/>
    <w:qFormat/>
    <w:uiPriority w:val="0"/>
    <w:rPr>
      <w:rFonts w:eastAsia="宋体"/>
      <w:sz w:val="21"/>
      <w:szCs w:val="24"/>
    </w:rPr>
  </w:style>
  <w:style w:type="paragraph" w:customStyle="1" w:styleId="194">
    <w:name w:val="项符&gt;"/>
    <w:basedOn w:val="1"/>
    <w:autoRedefine/>
    <w:qFormat/>
    <w:uiPriority w:val="0"/>
    <w:pPr>
      <w:spacing w:line="360" w:lineRule="auto"/>
    </w:pPr>
    <w:rPr>
      <w:rFonts w:hint="eastAsia" w:ascii="宋体" w:hAnsi="宋体" w:eastAsia="宋体"/>
      <w:sz w:val="24"/>
      <w:szCs w:val="30"/>
    </w:rPr>
  </w:style>
  <w:style w:type="paragraph" w:customStyle="1" w:styleId="195">
    <w:name w:val="xl14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196">
    <w:name w:val="xl151"/>
    <w:basedOn w:val="1"/>
    <w:autoRedefine/>
    <w:qFormat/>
    <w:uiPriority w:val="0"/>
    <w:pPr>
      <w:widowControl/>
      <w:pBdr>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97">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2"/>
      <w:szCs w:val="22"/>
    </w:rPr>
  </w:style>
  <w:style w:type="paragraph" w:customStyle="1" w:styleId="198">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199">
    <w:name w:val="默认段落字体 Para Char Char Char Char Char Char Char"/>
    <w:basedOn w:val="1"/>
    <w:autoRedefine/>
    <w:qFormat/>
    <w:uiPriority w:val="0"/>
    <w:rPr>
      <w:rFonts w:eastAsia="宋体"/>
      <w:sz w:val="21"/>
    </w:rPr>
  </w:style>
  <w:style w:type="paragraph" w:customStyle="1" w:styleId="20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01">
    <w:name w:val="p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202">
    <w:name w:val="List Paragraph"/>
    <w:basedOn w:val="1"/>
    <w:link w:val="364"/>
    <w:autoRedefine/>
    <w:qFormat/>
    <w:uiPriority w:val="34"/>
    <w:pPr>
      <w:ind w:firstLine="420" w:firstLineChars="200"/>
    </w:pPr>
    <w:rPr>
      <w:rFonts w:ascii="Times New Roman" w:hAnsi="Times New Roman" w:eastAsia="宋体"/>
      <w:sz w:val="21"/>
      <w:szCs w:val="24"/>
    </w:rPr>
  </w:style>
  <w:style w:type="paragraph" w:customStyle="1" w:styleId="203">
    <w:name w:val="xl11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204">
    <w:name w:val="表格标题"/>
    <w:basedOn w:val="179"/>
    <w:autoRedefine/>
    <w:qFormat/>
    <w:uiPriority w:val="0"/>
    <w:pPr>
      <w:jc w:val="center"/>
    </w:pPr>
    <w:rPr>
      <w:b/>
    </w:rPr>
  </w:style>
  <w:style w:type="paragraph" w:customStyle="1" w:styleId="205">
    <w:name w:val="xl11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206">
    <w:name w:val="xl89"/>
    <w:basedOn w:val="1"/>
    <w:autoRedefine/>
    <w:qFormat/>
    <w:uiPriority w:val="0"/>
    <w:pPr>
      <w:widowControl/>
      <w:spacing w:before="100" w:beforeAutospacing="1" w:after="100" w:afterAutospacing="1"/>
      <w:jc w:val="left"/>
    </w:pPr>
    <w:rPr>
      <w:rFonts w:eastAsia="宋体"/>
      <w:b/>
      <w:bCs/>
      <w:kern w:val="0"/>
      <w:sz w:val="24"/>
      <w:szCs w:val="24"/>
    </w:rPr>
  </w:style>
  <w:style w:type="paragraph" w:customStyle="1" w:styleId="207">
    <w:name w:val="正文符号1"/>
    <w:basedOn w:val="1"/>
    <w:autoRedefine/>
    <w:qFormat/>
    <w:uiPriority w:val="0"/>
    <w:pPr>
      <w:tabs>
        <w:tab w:val="left" w:pos="425"/>
        <w:tab w:val="left" w:pos="1080"/>
      </w:tabs>
      <w:spacing w:before="100" w:beforeAutospacing="1" w:after="100" w:afterAutospacing="1"/>
      <w:ind w:left="425" w:hanging="425"/>
    </w:pPr>
    <w:rPr>
      <w:kern w:val="0"/>
      <w:sz w:val="28"/>
      <w:szCs w:val="24"/>
    </w:rPr>
  </w:style>
  <w:style w:type="paragraph" w:customStyle="1" w:styleId="208">
    <w:name w:val="xl50"/>
    <w:basedOn w:val="1"/>
    <w:autoRedefine/>
    <w:qFormat/>
    <w:uiPriority w:val="0"/>
    <w:pPr>
      <w:widowControl/>
      <w:spacing w:before="100" w:beforeAutospacing="1" w:after="100" w:afterAutospacing="1"/>
      <w:jc w:val="right"/>
      <w:textAlignment w:val="center"/>
    </w:pPr>
    <w:rPr>
      <w:rFonts w:ascii="Univers" w:hAnsi="Univers" w:eastAsia="宋体" w:cs="宋体"/>
      <w:b/>
      <w:bCs/>
      <w:color w:val="000000"/>
      <w:kern w:val="0"/>
      <w:sz w:val="24"/>
      <w:szCs w:val="24"/>
    </w:rPr>
  </w:style>
  <w:style w:type="paragraph" w:customStyle="1" w:styleId="209">
    <w:name w:val="xl137"/>
    <w:basedOn w:val="1"/>
    <w:autoRedefine/>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1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21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212">
    <w:name w:val="flName"/>
    <w:basedOn w:val="1"/>
    <w:link w:val="213"/>
    <w:autoRedefine/>
    <w:qFormat/>
    <w:uiPriority w:val="0"/>
    <w:pPr>
      <w:tabs>
        <w:tab w:val="left" w:pos="5400"/>
      </w:tabs>
      <w:adjustRightInd w:val="0"/>
      <w:spacing w:before="320" w:after="160" w:line="360" w:lineRule="atLeast"/>
      <w:jc w:val="center"/>
      <w:textAlignment w:val="baseline"/>
    </w:pPr>
    <w:rPr>
      <w:rFonts w:ascii="Arial" w:eastAsia="黑体"/>
      <w:kern w:val="0"/>
      <w:sz w:val="32"/>
    </w:rPr>
  </w:style>
  <w:style w:type="character" w:customStyle="1" w:styleId="213">
    <w:name w:val="flName Char Char"/>
    <w:link w:val="212"/>
    <w:autoRedefine/>
    <w:qFormat/>
    <w:uiPriority w:val="0"/>
    <w:rPr>
      <w:rFonts w:ascii="Arial" w:eastAsia="黑体"/>
      <w:sz w:val="32"/>
    </w:rPr>
  </w:style>
  <w:style w:type="paragraph" w:customStyle="1" w:styleId="214">
    <w:name w:val="xl97"/>
    <w:basedOn w:val="1"/>
    <w:autoRedefine/>
    <w:qFormat/>
    <w:uiPriority w:val="0"/>
    <w:pPr>
      <w:widowControl/>
      <w:pBdr>
        <w:right w:val="single" w:color="auto" w:sz="4" w:space="0"/>
      </w:pBdr>
      <w:spacing w:before="100" w:beforeAutospacing="1" w:after="100" w:afterAutospacing="1"/>
      <w:jc w:val="center"/>
    </w:pPr>
    <w:rPr>
      <w:rFonts w:eastAsia="宋体"/>
      <w:kern w:val="0"/>
      <w:sz w:val="24"/>
      <w:szCs w:val="24"/>
    </w:rPr>
  </w:style>
  <w:style w:type="paragraph" w:customStyle="1" w:styleId="215">
    <w:name w:val="Char2"/>
    <w:basedOn w:val="1"/>
    <w:autoRedefine/>
    <w:qFormat/>
    <w:uiPriority w:val="0"/>
    <w:rPr>
      <w:rFonts w:ascii="仿宋_GB2312" w:eastAsia="仿宋_GB2312"/>
      <w:b/>
      <w:sz w:val="32"/>
      <w:szCs w:val="32"/>
    </w:rPr>
  </w:style>
  <w:style w:type="paragraph" w:customStyle="1" w:styleId="216">
    <w:name w:val="font11"/>
    <w:basedOn w:val="1"/>
    <w:autoRedefine/>
    <w:qFormat/>
    <w:uiPriority w:val="0"/>
    <w:pPr>
      <w:widowControl/>
      <w:spacing w:before="100" w:beforeAutospacing="1" w:after="100" w:afterAutospacing="1"/>
      <w:jc w:val="left"/>
    </w:pPr>
    <w:rPr>
      <w:rFonts w:ascii="宋体" w:hAnsi="宋体" w:eastAsia="宋体" w:cs="宋体"/>
      <w:b/>
      <w:bCs/>
      <w:i/>
      <w:iCs/>
      <w:kern w:val="0"/>
      <w:sz w:val="20"/>
    </w:rPr>
  </w:style>
  <w:style w:type="paragraph" w:customStyle="1" w:styleId="217">
    <w:name w:val="xl156"/>
    <w:basedOn w:val="1"/>
    <w:autoRedefine/>
    <w:qFormat/>
    <w:uiPriority w:val="0"/>
    <w:pPr>
      <w:widowControl/>
      <w:shd w:val="clear" w:color="000000" w:fill="FFFFFF"/>
      <w:spacing w:before="100" w:beforeAutospacing="1" w:after="100" w:afterAutospacing="1"/>
      <w:jc w:val="center"/>
    </w:pPr>
    <w:rPr>
      <w:rFonts w:ascii="宋体" w:hAnsi="宋体" w:eastAsia="宋体" w:cs="宋体"/>
      <w:kern w:val="0"/>
      <w:sz w:val="20"/>
    </w:rPr>
  </w:style>
  <w:style w:type="paragraph" w:customStyle="1" w:styleId="218">
    <w:name w:val="纯文本1"/>
    <w:basedOn w:val="1"/>
    <w:autoRedefine/>
    <w:qFormat/>
    <w:uiPriority w:val="0"/>
    <w:pPr>
      <w:adjustRightInd w:val="0"/>
      <w:textAlignment w:val="baseline"/>
    </w:pPr>
    <w:rPr>
      <w:rFonts w:ascii="宋体" w:hAnsi="Courier New" w:eastAsia="宋体"/>
      <w:sz w:val="28"/>
    </w:rPr>
  </w:style>
  <w:style w:type="paragraph" w:customStyle="1" w:styleId="219">
    <w:name w:val="xl47"/>
    <w:basedOn w:val="1"/>
    <w:autoRedefine/>
    <w:qFormat/>
    <w:uiPriority w:val="0"/>
    <w:pPr>
      <w:widowControl/>
      <w:spacing w:before="100" w:beforeAutospacing="1" w:after="100" w:afterAutospacing="1"/>
      <w:jc w:val="center"/>
    </w:pPr>
    <w:rPr>
      <w:rFonts w:ascii="Univers" w:hAnsi="Univers" w:eastAsia="宋体" w:cs="宋体"/>
      <w:b/>
      <w:bCs/>
      <w:kern w:val="0"/>
      <w:sz w:val="24"/>
      <w:szCs w:val="24"/>
    </w:rPr>
  </w:style>
  <w:style w:type="paragraph" w:customStyle="1" w:styleId="220">
    <w:name w:val="xl80"/>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eastAsia="宋体"/>
      <w:kern w:val="0"/>
      <w:sz w:val="24"/>
      <w:szCs w:val="24"/>
    </w:rPr>
  </w:style>
  <w:style w:type="paragraph" w:customStyle="1" w:styleId="221">
    <w:name w:val="content"/>
    <w:basedOn w:val="1"/>
    <w:autoRedefine/>
    <w:qFormat/>
    <w:uiPriority w:val="0"/>
    <w:pPr>
      <w:widowControl/>
      <w:spacing w:before="180" w:after="180" w:line="225" w:lineRule="atLeast"/>
      <w:ind w:left="180" w:right="180"/>
      <w:jc w:val="left"/>
    </w:pPr>
    <w:rPr>
      <w:rFonts w:ascii="Arial" w:hAnsi="Arial" w:eastAsia="宋体" w:cs="Arial"/>
      <w:color w:val="153B63"/>
      <w:kern w:val="0"/>
      <w:sz w:val="18"/>
      <w:szCs w:val="18"/>
    </w:rPr>
  </w:style>
  <w:style w:type="paragraph" w:customStyle="1" w:styleId="222">
    <w:name w:val="正文1"/>
    <w:next w:val="1"/>
    <w:autoRedefine/>
    <w:qFormat/>
    <w:uiPriority w:val="0"/>
    <w:pPr>
      <w:spacing w:line="360" w:lineRule="auto"/>
      <w:ind w:firstLine="480" w:firstLineChars="200"/>
    </w:pPr>
    <w:rPr>
      <w:rFonts w:ascii="宋体" w:hAnsi="宋体" w:eastAsia="宋体" w:cs="宋体"/>
      <w:sz w:val="24"/>
      <w:szCs w:val="24"/>
      <w:lang w:val="en-US" w:eastAsia="zh-CN" w:bidi="ar-SA"/>
    </w:rPr>
  </w:style>
  <w:style w:type="paragraph" w:customStyle="1" w:styleId="223">
    <w:name w:val="图"/>
    <w:basedOn w:val="1"/>
    <w:autoRedefine/>
    <w:qFormat/>
    <w:uiPriority w:val="0"/>
    <w:pPr>
      <w:keepNext/>
      <w:adjustRightInd w:val="0"/>
      <w:spacing w:before="60" w:after="60" w:line="300" w:lineRule="auto"/>
      <w:jc w:val="center"/>
      <w:textAlignment w:val="center"/>
    </w:pPr>
    <w:rPr>
      <w:rFonts w:ascii="Times New Roman" w:hAnsi="Times New Roman" w:eastAsia="宋体"/>
      <w:snapToGrid w:val="0"/>
      <w:spacing w:val="20"/>
      <w:kern w:val="0"/>
      <w:sz w:val="24"/>
    </w:rPr>
  </w:style>
  <w:style w:type="paragraph" w:customStyle="1" w:styleId="224">
    <w:name w:val="xl46"/>
    <w:basedOn w:val="1"/>
    <w:autoRedefine/>
    <w:qFormat/>
    <w:uiPriority w:val="0"/>
    <w:pPr>
      <w:widowControl/>
      <w:spacing w:before="100" w:beforeAutospacing="1" w:after="100" w:afterAutospacing="1"/>
      <w:jc w:val="left"/>
      <w:textAlignment w:val="center"/>
    </w:pPr>
    <w:rPr>
      <w:rFonts w:ascii="Univers" w:hAnsi="Univers" w:eastAsia="宋体" w:cs="宋体"/>
      <w:kern w:val="0"/>
      <w:sz w:val="24"/>
      <w:szCs w:val="24"/>
    </w:rPr>
  </w:style>
  <w:style w:type="paragraph" w:customStyle="1" w:styleId="225">
    <w:name w:val="Char Char Char Char Char Char Char Char Char Char Char Char Char"/>
    <w:basedOn w:val="16"/>
    <w:autoRedefine/>
    <w:qFormat/>
    <w:uiPriority w:val="0"/>
    <w:rPr>
      <w:rFonts w:ascii="Tahoma" w:hAnsi="Tahoma"/>
      <w:sz w:val="24"/>
      <w:szCs w:val="24"/>
    </w:rPr>
  </w:style>
  <w:style w:type="paragraph" w:customStyle="1" w:styleId="226">
    <w:name w:val="6"/>
    <w:basedOn w:val="1"/>
    <w:next w:val="21"/>
    <w:autoRedefine/>
    <w:qFormat/>
    <w:uiPriority w:val="0"/>
    <w:pPr>
      <w:spacing w:after="120"/>
    </w:pPr>
    <w:rPr>
      <w:rFonts w:eastAsia="宋体"/>
      <w:sz w:val="21"/>
      <w:szCs w:val="24"/>
    </w:rPr>
  </w:style>
  <w:style w:type="paragraph" w:customStyle="1" w:styleId="227">
    <w:name w:val="样式3"/>
    <w:basedOn w:val="2"/>
    <w:autoRedefine/>
    <w:qFormat/>
    <w:uiPriority w:val="0"/>
    <w:pPr>
      <w:keepLines w:val="0"/>
      <w:autoSpaceDE w:val="0"/>
      <w:autoSpaceDN w:val="0"/>
      <w:adjustRightInd w:val="0"/>
      <w:spacing w:before="0" w:after="0" w:line="360" w:lineRule="auto"/>
      <w:jc w:val="center"/>
      <w:textAlignment w:val="baseline"/>
    </w:pPr>
    <w:rPr>
      <w:rFonts w:eastAsia="宋体"/>
      <w:kern w:val="0"/>
      <w:sz w:val="24"/>
      <w:szCs w:val="24"/>
    </w:rPr>
  </w:style>
  <w:style w:type="paragraph" w:customStyle="1" w:styleId="228">
    <w:name w:val="纯文本2"/>
    <w:basedOn w:val="1"/>
    <w:autoRedefine/>
    <w:qFormat/>
    <w:uiPriority w:val="0"/>
    <w:pPr>
      <w:adjustRightInd w:val="0"/>
      <w:textAlignment w:val="baseline"/>
    </w:pPr>
    <w:rPr>
      <w:rFonts w:ascii="宋体" w:hAnsi="Courier New" w:eastAsia="宋体"/>
    </w:rPr>
  </w:style>
  <w:style w:type="paragraph" w:customStyle="1" w:styleId="229">
    <w:name w:val="xl152"/>
    <w:basedOn w:val="1"/>
    <w:autoRedefine/>
    <w:qFormat/>
    <w:uiPriority w:val="0"/>
    <w:pPr>
      <w:widowControl/>
      <w:pBdr>
        <w:left w:val="single" w:color="auto" w:sz="4" w:space="0"/>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30">
    <w:name w:val="xl8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31">
    <w:name w:val="xl13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32">
    <w:name w:val="font9"/>
    <w:basedOn w:val="1"/>
    <w:autoRedefine/>
    <w:qFormat/>
    <w:uiPriority w:val="0"/>
    <w:pPr>
      <w:widowControl/>
      <w:spacing w:before="100" w:beforeAutospacing="1" w:after="100" w:afterAutospacing="1"/>
      <w:jc w:val="left"/>
    </w:pPr>
    <w:rPr>
      <w:rFonts w:eastAsia="宋体"/>
      <w:b/>
      <w:bCs/>
      <w:kern w:val="0"/>
      <w:sz w:val="20"/>
    </w:rPr>
  </w:style>
  <w:style w:type="paragraph" w:customStyle="1" w:styleId="233">
    <w:name w:val="xl10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34">
    <w:name w:val="xl59"/>
    <w:basedOn w:val="1"/>
    <w:autoRedefine/>
    <w:qFormat/>
    <w:uiPriority w:val="0"/>
    <w:pPr>
      <w:widowControl/>
      <w:pBdr>
        <w:lef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235">
    <w:name w:val="xl11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6">
    <w:name w:val="font10"/>
    <w:basedOn w:val="1"/>
    <w:autoRedefine/>
    <w:qFormat/>
    <w:uiPriority w:val="0"/>
    <w:pPr>
      <w:widowControl/>
      <w:spacing w:before="100" w:beforeAutospacing="1" w:after="100" w:afterAutospacing="1"/>
      <w:jc w:val="left"/>
    </w:pPr>
    <w:rPr>
      <w:rFonts w:ascii="宋体" w:hAnsi="宋体" w:eastAsia="宋体" w:cs="宋体"/>
      <w:b/>
      <w:bCs/>
      <w:kern w:val="0"/>
      <w:sz w:val="22"/>
      <w:szCs w:val="22"/>
    </w:rPr>
  </w:style>
  <w:style w:type="paragraph" w:customStyle="1" w:styleId="237">
    <w:name w:val="Char Char Char Char Char Char Char1 Char"/>
    <w:basedOn w:val="1"/>
    <w:autoRedefine/>
    <w:qFormat/>
    <w:uiPriority w:val="0"/>
    <w:rPr>
      <w:rFonts w:ascii="Tahoma" w:hAnsi="Tahoma" w:eastAsia="宋体"/>
      <w:sz w:val="24"/>
    </w:rPr>
  </w:style>
  <w:style w:type="paragraph" w:customStyle="1" w:styleId="238">
    <w:name w:val="xl14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0"/>
    </w:rPr>
  </w:style>
  <w:style w:type="paragraph" w:customStyle="1" w:styleId="239">
    <w:name w:val="Char1"/>
    <w:basedOn w:val="1"/>
    <w:autoRedefine/>
    <w:qFormat/>
    <w:uiPriority w:val="0"/>
    <w:pPr>
      <w:widowControl/>
      <w:spacing w:after="160" w:line="240" w:lineRule="exact"/>
      <w:jc w:val="left"/>
    </w:pPr>
    <w:rPr>
      <w:rFonts w:ascii="Verdana" w:hAnsi="Verdana" w:eastAsia="宋体"/>
      <w:kern w:val="0"/>
      <w:sz w:val="21"/>
      <w:lang w:eastAsia="en-US"/>
    </w:rPr>
  </w:style>
  <w:style w:type="paragraph" w:customStyle="1" w:styleId="240">
    <w:name w:val="xl57"/>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41">
    <w:name w:val="Char Char Char Char Char Char1 Char"/>
    <w:basedOn w:val="1"/>
    <w:autoRedefine/>
    <w:qFormat/>
    <w:uiPriority w:val="0"/>
    <w:pPr>
      <w:widowControl/>
      <w:spacing w:after="160" w:line="240" w:lineRule="exact"/>
      <w:jc w:val="left"/>
    </w:pPr>
    <w:rPr>
      <w:rFonts w:eastAsia="宋体"/>
      <w:sz w:val="21"/>
    </w:rPr>
  </w:style>
  <w:style w:type="paragraph" w:customStyle="1" w:styleId="242">
    <w:name w:val="xl93"/>
    <w:basedOn w:val="1"/>
    <w:autoRedefine/>
    <w:qFormat/>
    <w:uiPriority w:val="0"/>
    <w:pPr>
      <w:widowControl/>
      <w:pBdr>
        <w:left w:val="single" w:color="auto" w:sz="4" w:space="0"/>
      </w:pBdr>
      <w:spacing w:before="100" w:beforeAutospacing="1" w:after="100" w:afterAutospacing="1"/>
      <w:jc w:val="center"/>
      <w:textAlignment w:val="top"/>
    </w:pPr>
    <w:rPr>
      <w:rFonts w:ascii="宋体" w:hAnsi="宋体" w:eastAsia="宋体" w:cs="宋体"/>
      <w:b/>
      <w:bCs/>
      <w:kern w:val="0"/>
      <w:sz w:val="22"/>
      <w:szCs w:val="22"/>
    </w:rPr>
  </w:style>
  <w:style w:type="paragraph" w:customStyle="1" w:styleId="243">
    <w:name w:val="xl161"/>
    <w:basedOn w:val="1"/>
    <w:autoRedefine/>
    <w:qFormat/>
    <w:uiPriority w:val="0"/>
    <w:pPr>
      <w:widowControl/>
      <w:spacing w:before="100" w:beforeAutospacing="1" w:after="100" w:afterAutospacing="1"/>
      <w:jc w:val="center"/>
    </w:pPr>
    <w:rPr>
      <w:rFonts w:ascii="宋体" w:hAnsi="宋体" w:eastAsia="宋体" w:cs="宋体"/>
      <w:color w:val="FF0000"/>
      <w:kern w:val="0"/>
      <w:sz w:val="20"/>
    </w:rPr>
  </w:style>
  <w:style w:type="paragraph" w:customStyle="1" w:styleId="244">
    <w:name w:val="xl154"/>
    <w:basedOn w:val="1"/>
    <w:autoRedefine/>
    <w:qFormat/>
    <w:uiPriority w:val="0"/>
    <w:pPr>
      <w:widowControl/>
      <w:pBdr>
        <w:left w:val="single" w:color="auto" w:sz="4" w:space="0"/>
        <w:bottom w:val="double" w:color="auto" w:sz="6" w:space="0"/>
      </w:pBdr>
      <w:spacing w:before="100" w:beforeAutospacing="1" w:after="100" w:afterAutospacing="1"/>
      <w:jc w:val="left"/>
    </w:pPr>
    <w:rPr>
      <w:rFonts w:ascii="宋体" w:hAnsi="宋体" w:eastAsia="宋体" w:cs="宋体"/>
      <w:kern w:val="0"/>
      <w:sz w:val="20"/>
    </w:rPr>
  </w:style>
  <w:style w:type="paragraph" w:customStyle="1" w:styleId="245">
    <w:name w:val="xl86"/>
    <w:basedOn w:val="1"/>
    <w:autoRedefine/>
    <w:qFormat/>
    <w:uiPriority w:val="0"/>
    <w:pPr>
      <w:widowControl/>
      <w:pBdr>
        <w:top w:val="single" w:color="auto" w:sz="4" w:space="0"/>
        <w:left w:val="single" w:color="auto" w:sz="4" w:space="0"/>
      </w:pBdr>
      <w:spacing w:before="100" w:beforeAutospacing="1" w:after="100" w:afterAutospacing="1"/>
      <w:jc w:val="center"/>
    </w:pPr>
    <w:rPr>
      <w:rFonts w:eastAsia="宋体"/>
      <w:kern w:val="0"/>
      <w:sz w:val="24"/>
      <w:szCs w:val="24"/>
    </w:rPr>
  </w:style>
  <w:style w:type="paragraph" w:customStyle="1" w:styleId="246">
    <w:name w:val="xl52"/>
    <w:basedOn w:val="1"/>
    <w:autoRedefine/>
    <w:qFormat/>
    <w:uiPriority w:val="0"/>
    <w:pPr>
      <w:widowControl/>
      <w:spacing w:before="100" w:beforeAutospacing="1" w:after="100" w:afterAutospacing="1"/>
      <w:jc w:val="right"/>
      <w:textAlignment w:val="center"/>
    </w:pPr>
    <w:rPr>
      <w:rFonts w:ascii="Univers" w:hAnsi="Univers" w:eastAsia="宋体" w:cs="宋体"/>
      <w:b/>
      <w:bCs/>
      <w:color w:val="000000"/>
      <w:kern w:val="0"/>
      <w:sz w:val="24"/>
      <w:szCs w:val="24"/>
    </w:rPr>
  </w:style>
  <w:style w:type="paragraph" w:customStyle="1" w:styleId="247">
    <w:name w:val="正文首行缩进{858D7CFB-ED40-4347-BF05-701D383B685F}{858D7CFB-ED40-4347-BF05-701D383B685F}"/>
    <w:basedOn w:val="1"/>
    <w:autoRedefine/>
    <w:qFormat/>
    <w:uiPriority w:val="0"/>
    <w:pPr>
      <w:ind w:firstLine="420"/>
    </w:pPr>
    <w:rPr>
      <w:rFonts w:ascii="Times New Roman" w:hAnsi="Times New Roman" w:eastAsia="宋体"/>
      <w:sz w:val="21"/>
    </w:rPr>
  </w:style>
  <w:style w:type="paragraph" w:customStyle="1" w:styleId="248">
    <w:name w:val="普通 (Web)"/>
    <w:basedOn w:val="1"/>
    <w:autoRedefine/>
    <w:qFormat/>
    <w:uiPriority w:val="0"/>
    <w:pPr>
      <w:widowControl/>
      <w:spacing w:afterLines="50" w:line="384" w:lineRule="auto"/>
      <w:ind w:left="359" w:leftChars="171" w:right="34" w:firstLine="540" w:firstLineChars="225"/>
      <w:jc w:val="left"/>
    </w:pPr>
    <w:rPr>
      <w:rFonts w:ascii="Arial" w:hAnsi="Arial" w:eastAsia="宋体" w:cs="Arial"/>
      <w:kern w:val="0"/>
      <w:sz w:val="24"/>
      <w:szCs w:val="24"/>
    </w:rPr>
  </w:style>
  <w:style w:type="paragraph" w:customStyle="1" w:styleId="249">
    <w:name w:val="xl10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250">
    <w:name w:val="xl143"/>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251">
    <w:name w:val="xl126"/>
    <w:basedOn w:val="1"/>
    <w:autoRedefine/>
    <w:qFormat/>
    <w:uiPriority w:val="0"/>
    <w:pPr>
      <w:widowControl/>
      <w:pBdr>
        <w:top w:val="single" w:color="auto" w:sz="4" w:space="0"/>
        <w:left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252">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53">
    <w:name w:val="xl13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254">
    <w:name w:val="xl51"/>
    <w:basedOn w:val="1"/>
    <w:autoRedefine/>
    <w:qFormat/>
    <w:uiPriority w:val="0"/>
    <w:pPr>
      <w:widowControl/>
      <w:spacing w:before="100" w:beforeAutospacing="1" w:after="100" w:afterAutospacing="1"/>
      <w:jc w:val="right"/>
      <w:textAlignment w:val="center"/>
    </w:pPr>
    <w:rPr>
      <w:rFonts w:ascii="Univers" w:hAnsi="Univers" w:eastAsia="宋体" w:cs="宋体"/>
      <w:b/>
      <w:bCs/>
      <w:kern w:val="0"/>
      <w:sz w:val="24"/>
      <w:szCs w:val="24"/>
    </w:rPr>
  </w:style>
  <w:style w:type="paragraph" w:customStyle="1" w:styleId="255">
    <w:name w:val="xl124"/>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56">
    <w:name w:val="xl123"/>
    <w:basedOn w:val="1"/>
    <w:autoRedefine/>
    <w:qFormat/>
    <w:uiPriority w:val="0"/>
    <w:pPr>
      <w:widowControl/>
      <w:spacing w:before="100" w:beforeAutospacing="1" w:after="100" w:afterAutospacing="1"/>
      <w:jc w:val="center"/>
    </w:pPr>
    <w:rPr>
      <w:rFonts w:ascii="楷体_GB2312" w:hAnsi="宋体" w:cs="宋体"/>
      <w:b/>
      <w:bCs/>
      <w:kern w:val="0"/>
      <w:sz w:val="32"/>
      <w:szCs w:val="32"/>
    </w:rPr>
  </w:style>
  <w:style w:type="paragraph" w:customStyle="1" w:styleId="257">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258">
    <w:name w:val="xl6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59">
    <w:name w:val="Char Char Char"/>
    <w:basedOn w:val="1"/>
    <w:autoRedefine/>
    <w:qFormat/>
    <w:uiPriority w:val="0"/>
    <w:pPr>
      <w:adjustRightInd w:val="0"/>
      <w:spacing w:line="360" w:lineRule="auto"/>
    </w:pPr>
    <w:rPr>
      <w:rFonts w:eastAsia="宋体"/>
      <w:sz w:val="21"/>
      <w:szCs w:val="24"/>
    </w:rPr>
  </w:style>
  <w:style w:type="paragraph" w:customStyle="1" w:styleId="260">
    <w:name w:val="xl14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261">
    <w:name w:val="方案正文"/>
    <w:basedOn w:val="1"/>
    <w:autoRedefine/>
    <w:qFormat/>
    <w:uiPriority w:val="0"/>
    <w:pPr>
      <w:spacing w:line="360" w:lineRule="auto"/>
    </w:pPr>
    <w:rPr>
      <w:rFonts w:eastAsia="宋体"/>
      <w:sz w:val="24"/>
      <w:szCs w:val="24"/>
    </w:rPr>
  </w:style>
  <w:style w:type="paragraph" w:customStyle="1" w:styleId="262">
    <w:name w:val="表项"/>
    <w:next w:val="1"/>
    <w:autoRedefine/>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63">
    <w:name w:val="xl11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64">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265">
    <w:name w:val="xl98"/>
    <w:basedOn w:val="1"/>
    <w:autoRedefine/>
    <w:qFormat/>
    <w:uiPriority w:val="0"/>
    <w:pPr>
      <w:widowControl/>
      <w:pBdr>
        <w:top w:val="single" w:color="auto" w:sz="4" w:space="0"/>
      </w:pBdr>
      <w:spacing w:before="100" w:beforeAutospacing="1" w:after="100" w:afterAutospacing="1"/>
      <w:jc w:val="center"/>
    </w:pPr>
    <w:rPr>
      <w:rFonts w:eastAsia="宋体"/>
      <w:kern w:val="0"/>
      <w:sz w:val="24"/>
      <w:szCs w:val="24"/>
    </w:rPr>
  </w:style>
  <w:style w:type="paragraph" w:customStyle="1" w:styleId="266">
    <w:name w:val="flType"/>
    <w:basedOn w:val="212"/>
    <w:autoRedefine/>
    <w:qFormat/>
    <w:uiPriority w:val="0"/>
    <w:pPr>
      <w:spacing w:before="560" w:after="120"/>
    </w:pPr>
    <w:rPr>
      <w:sz w:val="28"/>
    </w:rPr>
  </w:style>
  <w:style w:type="paragraph" w:customStyle="1" w:styleId="267">
    <w:name w:val="font1"/>
    <w:basedOn w:val="1"/>
    <w:autoRedefine/>
    <w:qFormat/>
    <w:uiPriority w:val="0"/>
    <w:pPr>
      <w:widowControl/>
      <w:spacing w:before="100" w:beforeAutospacing="1" w:after="100" w:afterAutospacing="1"/>
      <w:jc w:val="left"/>
    </w:pPr>
    <w:rPr>
      <w:rFonts w:ascii="宋体" w:hAnsi="宋体" w:eastAsia="宋体" w:cs="宋体"/>
      <w:outline/>
      <w:kern w:val="0"/>
      <w:sz w:val="24"/>
      <w:szCs w:val="24"/>
    </w:rPr>
  </w:style>
  <w:style w:type="paragraph" w:customStyle="1" w:styleId="268">
    <w:name w:val="xl11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269">
    <w:name w:val="xl7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270">
    <w:name w:val="xl127"/>
    <w:basedOn w:val="1"/>
    <w:autoRedefine/>
    <w:qFormat/>
    <w:uiPriority w:val="0"/>
    <w:pPr>
      <w:widowControl/>
      <w:pBdr>
        <w:top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271">
    <w:name w:val="xl135"/>
    <w:basedOn w:val="1"/>
    <w:autoRedefine/>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72">
    <w:name w:val="xl105"/>
    <w:basedOn w:val="1"/>
    <w:autoRedefine/>
    <w:qFormat/>
    <w:uiPriority w:val="0"/>
    <w:pPr>
      <w:widowControl/>
      <w:pBdr>
        <w:top w:val="single" w:color="auto" w:sz="4" w:space="0"/>
      </w:pBdr>
      <w:spacing w:before="100" w:beforeAutospacing="1" w:after="100" w:afterAutospacing="1"/>
      <w:jc w:val="center"/>
    </w:pPr>
    <w:rPr>
      <w:rFonts w:eastAsia="宋体"/>
      <w:b/>
      <w:bCs/>
      <w:kern w:val="0"/>
      <w:sz w:val="24"/>
      <w:szCs w:val="24"/>
    </w:rPr>
  </w:style>
  <w:style w:type="paragraph" w:customStyle="1" w:styleId="273">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74">
    <w:name w:val="xl9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2"/>
      <w:szCs w:val="22"/>
    </w:rPr>
  </w:style>
  <w:style w:type="paragraph" w:customStyle="1" w:styleId="275">
    <w:name w:val="xl163"/>
    <w:basedOn w:val="1"/>
    <w:autoRedefine/>
    <w:qFormat/>
    <w:uiPriority w:val="0"/>
    <w:pPr>
      <w:widowControl/>
      <w:pBdr>
        <w:top w:val="single" w:color="auto" w:sz="4"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76">
    <w:name w:val="h"/>
    <w:basedOn w:val="1"/>
    <w:autoRedefine/>
    <w:qFormat/>
    <w:uiPriority w:val="0"/>
    <w:pPr>
      <w:widowControl/>
      <w:spacing w:before="100" w:beforeAutospacing="1" w:after="100" w:afterAutospacing="1" w:line="280" w:lineRule="atLeast"/>
      <w:jc w:val="left"/>
    </w:pPr>
    <w:rPr>
      <w:rFonts w:ascii="宋体" w:hAnsi="宋体" w:eastAsia="宋体"/>
      <w:color w:val="003366"/>
      <w:kern w:val="0"/>
      <w:sz w:val="18"/>
      <w:szCs w:val="18"/>
    </w:rPr>
  </w:style>
  <w:style w:type="paragraph" w:customStyle="1" w:styleId="277">
    <w:name w:val="样式 宋体 四号 行距: 固定值 25 磅1"/>
    <w:basedOn w:val="1"/>
    <w:autoRedefine/>
    <w:qFormat/>
    <w:uiPriority w:val="0"/>
    <w:pPr>
      <w:tabs>
        <w:tab w:val="left" w:pos="420"/>
      </w:tabs>
      <w:spacing w:line="500" w:lineRule="exact"/>
      <w:ind w:left="420" w:hanging="420"/>
    </w:pPr>
    <w:rPr>
      <w:rFonts w:ascii="宋体" w:hAnsi="宋体" w:eastAsia="宋体"/>
      <w:sz w:val="28"/>
    </w:rPr>
  </w:style>
  <w:style w:type="paragraph" w:customStyle="1" w:styleId="278">
    <w:name w:val="文档正文"/>
    <w:basedOn w:val="1"/>
    <w:autoRedefine/>
    <w:qFormat/>
    <w:uiPriority w:val="0"/>
    <w:pPr>
      <w:adjustRightInd w:val="0"/>
      <w:spacing w:line="440" w:lineRule="atLeast"/>
      <w:ind w:firstLine="567"/>
      <w:textAlignment w:val="baseline"/>
    </w:pPr>
    <w:rPr>
      <w:rFonts w:ascii="宋体" w:eastAsia="宋体"/>
      <w:spacing w:val="4"/>
      <w:kern w:val="0"/>
      <w:sz w:val="24"/>
    </w:rPr>
  </w:style>
  <w:style w:type="paragraph" w:customStyle="1" w:styleId="279">
    <w:name w:val="Char3 Char Char Char"/>
    <w:basedOn w:val="1"/>
    <w:autoRedefine/>
    <w:qFormat/>
    <w:uiPriority w:val="0"/>
    <w:pPr>
      <w:widowControl/>
      <w:spacing w:after="160" w:line="240" w:lineRule="exact"/>
      <w:jc w:val="left"/>
    </w:pPr>
    <w:rPr>
      <w:rFonts w:ascii="Verdana" w:hAnsi="Verdana" w:eastAsia="宋体"/>
      <w:kern w:val="0"/>
      <w:sz w:val="20"/>
      <w:lang w:eastAsia="en-US"/>
    </w:rPr>
  </w:style>
  <w:style w:type="paragraph" w:customStyle="1" w:styleId="280">
    <w:name w:val="xl68"/>
    <w:basedOn w:val="1"/>
    <w:autoRedefine/>
    <w:qFormat/>
    <w:uiPriority w:val="0"/>
    <w:pPr>
      <w:widowControl/>
      <w:pBdr>
        <w:top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81">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282">
    <w:name w:val="xl160"/>
    <w:basedOn w:val="1"/>
    <w:autoRedefine/>
    <w:qFormat/>
    <w:uiPriority w:val="0"/>
    <w:pPr>
      <w:widowControl/>
      <w:pBdr>
        <w:top w:val="single" w:color="auto" w:sz="4" w:space="0"/>
        <w:bottom w:val="double" w:color="auto" w:sz="6" w:space="0"/>
      </w:pBdr>
      <w:spacing w:before="100" w:beforeAutospacing="1" w:after="100" w:afterAutospacing="1"/>
      <w:jc w:val="left"/>
    </w:pPr>
    <w:rPr>
      <w:rFonts w:ascii="宋体" w:hAnsi="宋体" w:eastAsia="宋体" w:cs="宋体"/>
      <w:color w:val="FF0000"/>
      <w:kern w:val="0"/>
      <w:sz w:val="20"/>
    </w:rPr>
  </w:style>
  <w:style w:type="paragraph" w:customStyle="1" w:styleId="283">
    <w:name w:val="xl148"/>
    <w:basedOn w:val="1"/>
    <w:autoRedefine/>
    <w:qFormat/>
    <w:uiPriority w:val="0"/>
    <w:pPr>
      <w:widowControl/>
      <w:pBdr>
        <w:left w:val="double" w:color="auto" w:sz="6"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84">
    <w:name w:val="xl6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85">
    <w:name w:val="xl7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86">
    <w:name w:val="xl11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287">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2"/>
      <w:szCs w:val="22"/>
    </w:rPr>
  </w:style>
  <w:style w:type="paragraph" w:customStyle="1" w:styleId="28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289">
    <w:name w:val="xl136"/>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90">
    <w:name w:val="xl138"/>
    <w:basedOn w:val="1"/>
    <w:autoRedefine/>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91">
    <w:name w:val="xl6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eastAsia="宋体"/>
      <w:kern w:val="0"/>
      <w:sz w:val="24"/>
      <w:szCs w:val="24"/>
    </w:rPr>
  </w:style>
  <w:style w:type="paragraph" w:customStyle="1" w:styleId="292">
    <w:name w:val="xl1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93">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color w:val="FF0000"/>
      <w:kern w:val="0"/>
      <w:sz w:val="24"/>
      <w:szCs w:val="24"/>
    </w:rPr>
  </w:style>
  <w:style w:type="paragraph" w:customStyle="1" w:styleId="294">
    <w:name w:val="小四 段落 宋体 Char Char"/>
    <w:basedOn w:val="14"/>
    <w:autoRedefine/>
    <w:qFormat/>
    <w:uiPriority w:val="0"/>
    <w:pPr>
      <w:spacing w:line="360" w:lineRule="auto"/>
      <w:ind w:left="0" w:right="-33" w:firstLine="480" w:firstLineChars="200"/>
      <w:jc w:val="left"/>
    </w:pPr>
    <w:rPr>
      <w:sz w:val="24"/>
    </w:rPr>
  </w:style>
  <w:style w:type="paragraph" w:customStyle="1" w:styleId="29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96">
    <w:name w:val="xl83"/>
    <w:basedOn w:val="1"/>
    <w:autoRedefine/>
    <w:qFormat/>
    <w:uiPriority w:val="0"/>
    <w:pPr>
      <w:widowControl/>
      <w:spacing w:before="100" w:beforeAutospacing="1" w:after="100" w:afterAutospacing="1"/>
      <w:jc w:val="left"/>
    </w:pPr>
    <w:rPr>
      <w:rFonts w:eastAsia="宋体"/>
      <w:kern w:val="0"/>
      <w:sz w:val="24"/>
      <w:szCs w:val="24"/>
    </w:rPr>
  </w:style>
  <w:style w:type="paragraph" w:customStyle="1" w:styleId="297">
    <w:name w:val="font7"/>
    <w:basedOn w:val="1"/>
    <w:autoRedefine/>
    <w:qFormat/>
    <w:uiPriority w:val="0"/>
    <w:pPr>
      <w:widowControl/>
      <w:spacing w:before="100" w:beforeAutospacing="1" w:after="100" w:afterAutospacing="1"/>
      <w:jc w:val="left"/>
    </w:pPr>
    <w:rPr>
      <w:rFonts w:ascii="宋体" w:hAnsi="宋体" w:eastAsia="宋体" w:cs="宋体"/>
      <w:kern w:val="0"/>
      <w:sz w:val="22"/>
      <w:szCs w:val="22"/>
    </w:rPr>
  </w:style>
  <w:style w:type="paragraph" w:customStyle="1" w:styleId="298">
    <w:name w:val="样式 标题 2 + 图案: 清除 (自定义颜色(RGB(202189233)))"/>
    <w:basedOn w:val="4"/>
    <w:autoRedefine/>
    <w:qFormat/>
    <w:uiPriority w:val="0"/>
    <w:pPr>
      <w:shd w:val="clear" w:color="auto" w:fill="CABDE9"/>
      <w:tabs>
        <w:tab w:val="left" w:pos="840"/>
      </w:tabs>
      <w:overflowPunct/>
      <w:adjustRightInd/>
      <w:spacing w:before="100" w:beforeAutospacing="1" w:after="100" w:afterAutospacing="1" w:line="320" w:lineRule="exact"/>
      <w:ind w:left="1400" w:hanging="420"/>
      <w:jc w:val="both"/>
      <w:textAlignment w:val="auto"/>
    </w:pPr>
    <w:rPr>
      <w:rFonts w:ascii="Arial" w:hAnsi="Arial" w:eastAsia="黑体" w:cs="宋体"/>
      <w:bCs/>
      <w:sz w:val="28"/>
      <w:szCs w:val="28"/>
    </w:rPr>
  </w:style>
  <w:style w:type="paragraph" w:customStyle="1" w:styleId="299">
    <w:name w:val="xl14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0"/>
    </w:rPr>
  </w:style>
  <w:style w:type="paragraph" w:customStyle="1" w:styleId="300">
    <w:name w:val="xl54"/>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301">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2"/>
    </w:rPr>
  </w:style>
  <w:style w:type="paragraph" w:customStyle="1" w:styleId="302">
    <w:name w:val="xl129"/>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303">
    <w:name w:val="样式 正文首行缩进2字 + 仿宋_GB2312 段前: 自动 段后: 自动"/>
    <w:basedOn w:val="1"/>
    <w:autoRedefine/>
    <w:qFormat/>
    <w:uiPriority w:val="0"/>
    <w:pPr>
      <w:spacing w:before="100" w:beforeAutospacing="1" w:after="100" w:afterAutospacing="1"/>
      <w:ind w:firstLine="200" w:firstLineChars="200"/>
    </w:pPr>
    <w:rPr>
      <w:rFonts w:ascii="仿宋_GB2312" w:eastAsia="仿宋_GB2312"/>
      <w:kern w:val="0"/>
      <w:sz w:val="28"/>
    </w:rPr>
  </w:style>
  <w:style w:type="paragraph" w:customStyle="1" w:styleId="304">
    <w:name w:val="xl5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305">
    <w:name w:val="xl134"/>
    <w:basedOn w:val="1"/>
    <w:autoRedefine/>
    <w:qFormat/>
    <w:uiPriority w:val="0"/>
    <w:pPr>
      <w:widowControl/>
      <w:pBdr>
        <w:left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306">
    <w:name w:val="xl11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307">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308">
    <w:name w:val="xl12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309">
    <w:name w:val="默认段落字体 Para Char Char Char"/>
    <w:basedOn w:val="1"/>
    <w:autoRedefine/>
    <w:qFormat/>
    <w:uiPriority w:val="0"/>
    <w:pPr>
      <w:spacing w:line="360" w:lineRule="auto"/>
      <w:ind w:firstLine="200" w:firstLineChars="200"/>
    </w:pPr>
    <w:rPr>
      <w:rFonts w:eastAsia="宋体"/>
      <w:sz w:val="24"/>
      <w:szCs w:val="24"/>
    </w:rPr>
  </w:style>
  <w:style w:type="character" w:customStyle="1" w:styleId="310">
    <w:name w:val="bigfont1"/>
    <w:autoRedefine/>
    <w:qFormat/>
    <w:uiPriority w:val="0"/>
    <w:rPr>
      <w:rFonts w:hint="default"/>
      <w:color w:val="000000"/>
      <w:sz w:val="24"/>
      <w:szCs w:val="24"/>
      <w:u w:val="none"/>
    </w:rPr>
  </w:style>
  <w:style w:type="character" w:customStyle="1" w:styleId="311">
    <w:name w:val="页眉 Char Char"/>
    <w:autoRedefine/>
    <w:qFormat/>
    <w:uiPriority w:val="0"/>
    <w:rPr>
      <w:kern w:val="2"/>
      <w:sz w:val="18"/>
    </w:rPr>
  </w:style>
  <w:style w:type="character" w:customStyle="1" w:styleId="312">
    <w:name w:val="font21"/>
    <w:autoRedefine/>
    <w:qFormat/>
    <w:uiPriority w:val="0"/>
    <w:rPr>
      <w:rFonts w:hint="eastAsia" w:ascii="微软雅黑" w:hAnsi="微软雅黑" w:eastAsia="微软雅黑" w:cs="微软雅黑"/>
      <w:color w:val="000000"/>
      <w:sz w:val="20"/>
      <w:szCs w:val="20"/>
      <w:u w:val="none"/>
    </w:rPr>
  </w:style>
  <w:style w:type="character" w:customStyle="1" w:styleId="313">
    <w:name w:val="不明显强调1"/>
    <w:autoRedefine/>
    <w:qFormat/>
    <w:uiPriority w:val="19"/>
    <w:rPr>
      <w:rFonts w:ascii="Times New Roman" w:hAnsi="Times New Roman" w:eastAsia="宋体" w:cs="Times New Roman"/>
      <w:i/>
      <w:iCs/>
      <w:color w:val="7F7F7F"/>
    </w:rPr>
  </w:style>
  <w:style w:type="character" w:customStyle="1" w:styleId="314">
    <w:name w:val="明显强调1"/>
    <w:autoRedefine/>
    <w:qFormat/>
    <w:uiPriority w:val="0"/>
    <w:rPr>
      <w:b/>
      <w:bCs/>
      <w:i/>
      <w:iCs/>
      <w:color w:val="4F81BD"/>
    </w:rPr>
  </w:style>
  <w:style w:type="character" w:customStyle="1" w:styleId="315">
    <w:name w:val="标题 4 Char Char"/>
    <w:autoRedefine/>
    <w:qFormat/>
    <w:uiPriority w:val="0"/>
    <w:rPr>
      <w:rFonts w:ascii="Arial" w:hAnsi="Arial" w:eastAsia="黑体"/>
      <w:b/>
      <w:bCs/>
      <w:kern w:val="2"/>
      <w:sz w:val="28"/>
      <w:szCs w:val="28"/>
    </w:rPr>
  </w:style>
  <w:style w:type="character" w:customStyle="1" w:styleId="316">
    <w:name w:val="书籍标题1"/>
    <w:autoRedefine/>
    <w:qFormat/>
    <w:uiPriority w:val="0"/>
    <w:rPr>
      <w:b/>
      <w:bCs/>
      <w:smallCaps/>
      <w:spacing w:val="5"/>
    </w:rPr>
  </w:style>
  <w:style w:type="character" w:customStyle="1" w:styleId="317">
    <w:name w:val="页脚 Char Char"/>
    <w:autoRedefine/>
    <w:qFormat/>
    <w:uiPriority w:val="0"/>
    <w:rPr>
      <w:kern w:val="2"/>
      <w:sz w:val="18"/>
    </w:rPr>
  </w:style>
  <w:style w:type="character" w:customStyle="1" w:styleId="318">
    <w:name w:val="样式 Char Char"/>
    <w:link w:val="319"/>
    <w:autoRedefine/>
    <w:qFormat/>
    <w:uiPriority w:val="0"/>
    <w:rPr>
      <w:rFonts w:ascii="宋体" w:hAnsi="宋体" w:cs="宋体"/>
      <w:sz w:val="24"/>
      <w:szCs w:val="24"/>
      <w:lang w:val="en-US" w:eastAsia="zh-CN" w:bidi="ar-SA"/>
    </w:rPr>
  </w:style>
  <w:style w:type="paragraph" w:customStyle="1" w:styleId="319">
    <w:name w:val="样式"/>
    <w:link w:val="318"/>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20">
    <w:name w:val="标题 Char1"/>
    <w:autoRedefine/>
    <w:qFormat/>
    <w:uiPriority w:val="10"/>
    <w:rPr>
      <w:rFonts w:ascii="Cambria" w:hAnsi="Cambria" w:eastAsia="宋体" w:cs="Times New Roman"/>
      <w:b/>
      <w:bCs/>
      <w:sz w:val="32"/>
      <w:szCs w:val="32"/>
    </w:rPr>
  </w:style>
  <w:style w:type="character" w:customStyle="1" w:styleId="321">
    <w:name w:val="font161"/>
    <w:autoRedefine/>
    <w:qFormat/>
    <w:uiPriority w:val="0"/>
    <w:rPr>
      <w:b/>
      <w:bCs/>
      <w:sz w:val="32"/>
      <w:szCs w:val="32"/>
    </w:rPr>
  </w:style>
  <w:style w:type="character" w:customStyle="1" w:styleId="322">
    <w:name w:val="标题 3 Char Char"/>
    <w:autoRedefine/>
    <w:qFormat/>
    <w:uiPriority w:val="0"/>
    <w:rPr>
      <w:rFonts w:ascii="黑体" w:hAnsi="宋体" w:eastAsia="黑体"/>
      <w:bCs/>
      <w:kern w:val="2"/>
      <w:sz w:val="28"/>
      <w:szCs w:val="28"/>
    </w:rPr>
  </w:style>
  <w:style w:type="character" w:customStyle="1" w:styleId="323">
    <w:name w:val="不明显参考1"/>
    <w:autoRedefine/>
    <w:qFormat/>
    <w:uiPriority w:val="0"/>
    <w:rPr>
      <w:smallCaps/>
      <w:color w:val="C0504D"/>
      <w:u w:val="single"/>
    </w:rPr>
  </w:style>
  <w:style w:type="character" w:customStyle="1" w:styleId="324">
    <w:name w:val="副标题 Char"/>
    <w:autoRedefine/>
    <w:qFormat/>
    <w:uiPriority w:val="0"/>
    <w:rPr>
      <w:rFonts w:ascii="Cambria" w:hAnsi="Cambria"/>
      <w:b/>
      <w:bCs/>
      <w:kern w:val="28"/>
      <w:sz w:val="32"/>
      <w:szCs w:val="32"/>
    </w:rPr>
  </w:style>
  <w:style w:type="character" w:customStyle="1" w:styleId="325">
    <w:name w:val="Char Char7"/>
    <w:autoRedefine/>
    <w:qFormat/>
    <w:uiPriority w:val="0"/>
    <w:rPr>
      <w:rFonts w:ascii="Arial" w:hAnsi="Arial" w:eastAsia="黑体"/>
      <w:b/>
      <w:bCs/>
      <w:kern w:val="2"/>
      <w:sz w:val="32"/>
      <w:szCs w:val="32"/>
      <w:lang w:val="en-US" w:eastAsia="zh-CN" w:bidi="ar-SA"/>
    </w:rPr>
  </w:style>
  <w:style w:type="character" w:customStyle="1" w:styleId="326">
    <w:name w:val="无间隔 字符"/>
    <w:link w:val="327"/>
    <w:autoRedefine/>
    <w:qFormat/>
    <w:uiPriority w:val="0"/>
    <w:rPr>
      <w:szCs w:val="24"/>
      <w:lang w:val="en-US" w:eastAsia="zh-CN" w:bidi="ar-SA"/>
    </w:rPr>
  </w:style>
  <w:style w:type="paragraph" w:styleId="327">
    <w:name w:val="No Spacing"/>
    <w:link w:val="326"/>
    <w:autoRedefine/>
    <w:qFormat/>
    <w:uiPriority w:val="0"/>
    <w:pPr>
      <w:widowControl w:val="0"/>
      <w:jc w:val="both"/>
    </w:pPr>
    <w:rPr>
      <w:rFonts w:ascii="Calibri" w:hAnsi="Calibri" w:eastAsia="宋体" w:cs="Times New Roman"/>
      <w:szCs w:val="24"/>
      <w:lang w:val="en-US" w:eastAsia="zh-CN" w:bidi="ar-SA"/>
    </w:rPr>
  </w:style>
  <w:style w:type="character" w:customStyle="1" w:styleId="328">
    <w:name w:val="明显引用 Char1"/>
    <w:autoRedefine/>
    <w:qFormat/>
    <w:uiPriority w:val="30"/>
    <w:rPr>
      <w:rFonts w:ascii="Times New Roman" w:hAnsi="Times New Roman" w:eastAsia="宋体" w:cs="Times New Roman"/>
      <w:b/>
      <w:bCs/>
      <w:i/>
      <w:iCs/>
      <w:color w:val="4F81BD"/>
      <w:szCs w:val="24"/>
    </w:rPr>
  </w:style>
  <w:style w:type="character" w:customStyle="1" w:styleId="329">
    <w:name w:val="Char Char21"/>
    <w:autoRedefine/>
    <w:qFormat/>
    <w:uiPriority w:val="0"/>
    <w:rPr>
      <w:rFonts w:eastAsia="宋体"/>
      <w:kern w:val="2"/>
      <w:sz w:val="21"/>
      <w:szCs w:val="24"/>
      <w:lang w:val="en-US" w:eastAsia="zh-CN" w:bidi="ar-SA"/>
    </w:rPr>
  </w:style>
  <w:style w:type="character" w:customStyle="1" w:styleId="330">
    <w:name w:val="明显引用 Char"/>
    <w:autoRedefine/>
    <w:qFormat/>
    <w:uiPriority w:val="0"/>
    <w:rPr>
      <w:b/>
      <w:bCs/>
      <w:i/>
      <w:iCs/>
      <w:color w:val="4F81BD"/>
      <w:szCs w:val="24"/>
    </w:rPr>
  </w:style>
  <w:style w:type="paragraph" w:styleId="331">
    <w:name w:val="Intense Quote"/>
    <w:basedOn w:val="1"/>
    <w:next w:val="1"/>
    <w:link w:val="347"/>
    <w:autoRedefine/>
    <w:qFormat/>
    <w:uiPriority w:val="0"/>
    <w:pPr>
      <w:pBdr>
        <w:bottom w:val="single" w:color="4F81BD" w:sz="4" w:space="4"/>
      </w:pBdr>
      <w:spacing w:before="200" w:after="280"/>
      <w:ind w:left="936" w:right="936"/>
    </w:pPr>
    <w:rPr>
      <w:rFonts w:eastAsia="宋体"/>
      <w:b/>
      <w:bCs/>
      <w:i/>
      <w:iCs/>
      <w:color w:val="4F81BD"/>
      <w:kern w:val="0"/>
      <w:sz w:val="20"/>
      <w:szCs w:val="24"/>
    </w:rPr>
  </w:style>
  <w:style w:type="character" w:customStyle="1" w:styleId="332">
    <w:name w:val="Char Char8"/>
    <w:autoRedefine/>
    <w:qFormat/>
    <w:uiPriority w:val="0"/>
    <w:rPr>
      <w:rFonts w:ascii="Arial" w:hAnsi="Arial" w:eastAsia="黑体"/>
      <w:b/>
      <w:bCs/>
      <w:kern w:val="2"/>
      <w:sz w:val="32"/>
      <w:szCs w:val="32"/>
      <w:lang w:val="en-US" w:eastAsia="zh-CN" w:bidi="ar-SA"/>
    </w:rPr>
  </w:style>
  <w:style w:type="character" w:customStyle="1" w:styleId="333">
    <w:name w:val="批注文字 Char Char"/>
    <w:autoRedefine/>
    <w:qFormat/>
    <w:uiPriority w:val="0"/>
    <w:rPr>
      <w:rFonts w:eastAsia="宋体"/>
      <w:kern w:val="2"/>
      <w:sz w:val="21"/>
      <w:szCs w:val="24"/>
      <w:lang w:val="en-US" w:eastAsia="zh-CN" w:bidi="ar-SA"/>
    </w:rPr>
  </w:style>
  <w:style w:type="character" w:customStyle="1" w:styleId="334">
    <w:name w:val="明显参考1"/>
    <w:autoRedefine/>
    <w:qFormat/>
    <w:uiPriority w:val="0"/>
    <w:rPr>
      <w:b/>
      <w:bCs/>
      <w:smallCaps/>
      <w:color w:val="C0504D"/>
      <w:spacing w:val="5"/>
      <w:u w:val="single"/>
    </w:rPr>
  </w:style>
  <w:style w:type="character" w:customStyle="1" w:styleId="335">
    <w:name w:val="font31"/>
    <w:basedOn w:val="58"/>
    <w:autoRedefine/>
    <w:qFormat/>
    <w:uiPriority w:val="0"/>
    <w:rPr>
      <w:rFonts w:hint="eastAsia" w:ascii="宋体" w:hAnsi="宋体" w:eastAsia="宋体" w:cs="宋体"/>
      <w:color w:val="000000"/>
      <w:sz w:val="20"/>
      <w:szCs w:val="20"/>
      <w:u w:val="none"/>
    </w:rPr>
  </w:style>
  <w:style w:type="character" w:customStyle="1" w:styleId="336">
    <w:name w:val="引用 Char"/>
    <w:autoRedefine/>
    <w:qFormat/>
    <w:uiPriority w:val="0"/>
    <w:rPr>
      <w:i/>
      <w:iCs/>
      <w:color w:val="000000"/>
      <w:szCs w:val="24"/>
    </w:rPr>
  </w:style>
  <w:style w:type="paragraph" w:styleId="337">
    <w:name w:val="Quote"/>
    <w:basedOn w:val="1"/>
    <w:next w:val="1"/>
    <w:link w:val="348"/>
    <w:autoRedefine/>
    <w:qFormat/>
    <w:uiPriority w:val="0"/>
    <w:rPr>
      <w:rFonts w:eastAsia="宋体"/>
      <w:i/>
      <w:iCs/>
      <w:color w:val="000000"/>
      <w:kern w:val="0"/>
      <w:sz w:val="20"/>
      <w:szCs w:val="24"/>
    </w:rPr>
  </w:style>
  <w:style w:type="character" w:customStyle="1" w:styleId="338">
    <w:name w:val="正文文本 3 Char"/>
    <w:autoRedefine/>
    <w:qFormat/>
    <w:uiPriority w:val="0"/>
    <w:rPr>
      <w:rFonts w:ascii="宋体"/>
      <w:sz w:val="24"/>
    </w:rPr>
  </w:style>
  <w:style w:type="character" w:customStyle="1" w:styleId="339">
    <w:name w:val="副标题 Char1"/>
    <w:autoRedefine/>
    <w:qFormat/>
    <w:uiPriority w:val="11"/>
    <w:rPr>
      <w:rFonts w:ascii="Cambria" w:hAnsi="Cambria" w:eastAsia="宋体" w:cs="Times New Roman"/>
      <w:b/>
      <w:bCs/>
      <w:kern w:val="28"/>
      <w:sz w:val="32"/>
      <w:szCs w:val="32"/>
    </w:rPr>
  </w:style>
  <w:style w:type="character" w:customStyle="1" w:styleId="340">
    <w:name w:val="引用 Char1"/>
    <w:autoRedefine/>
    <w:qFormat/>
    <w:uiPriority w:val="29"/>
    <w:rPr>
      <w:rFonts w:ascii="Times New Roman" w:hAnsi="Times New Roman" w:eastAsia="宋体" w:cs="Times New Roman"/>
      <w:i/>
      <w:iCs/>
      <w:color w:val="000000"/>
      <w:szCs w:val="24"/>
    </w:rPr>
  </w:style>
  <w:style w:type="character" w:customStyle="1" w:styleId="341">
    <w:name w:val="不明显强调2"/>
    <w:autoRedefine/>
    <w:qFormat/>
    <w:uiPriority w:val="19"/>
    <w:rPr>
      <w:i/>
      <w:iCs/>
      <w:color w:val="808080"/>
    </w:rPr>
  </w:style>
  <w:style w:type="paragraph" w:customStyle="1" w:styleId="342">
    <w:name w:val="注"/>
    <w:basedOn w:val="1"/>
    <w:autoRedefine/>
    <w:qFormat/>
    <w:uiPriority w:val="0"/>
    <w:pPr>
      <w:adjustRightInd w:val="0"/>
      <w:spacing w:line="360" w:lineRule="atLeast"/>
      <w:ind w:left="840" w:hanging="420"/>
      <w:textAlignment w:val="baseline"/>
    </w:pPr>
    <w:rPr>
      <w:rFonts w:ascii="Times New Roman" w:hAnsi="Times New Roman" w:eastAsia="宋体"/>
      <w:kern w:val="0"/>
      <w:sz w:val="21"/>
    </w:rPr>
  </w:style>
  <w:style w:type="character" w:customStyle="1" w:styleId="343">
    <w:name w:val="副标题 字符"/>
    <w:link w:val="39"/>
    <w:autoRedefine/>
    <w:qFormat/>
    <w:uiPriority w:val="11"/>
    <w:rPr>
      <w:rFonts w:ascii="Cambria" w:hAnsi="Cambria" w:eastAsia="宋体" w:cs="Times New Roman"/>
      <w:b/>
      <w:bCs/>
      <w:kern w:val="28"/>
      <w:sz w:val="32"/>
      <w:szCs w:val="32"/>
    </w:rPr>
  </w:style>
  <w:style w:type="character" w:customStyle="1" w:styleId="344">
    <w:name w:val="正文文本 3 字符"/>
    <w:link w:val="20"/>
    <w:autoRedefine/>
    <w:semiHidden/>
    <w:qFormat/>
    <w:uiPriority w:val="99"/>
    <w:rPr>
      <w:rFonts w:ascii="Times New Roman" w:hAnsi="Times New Roman" w:eastAsia="楷体_GB2312" w:cs="Times New Roman"/>
      <w:kern w:val="2"/>
      <w:sz w:val="16"/>
      <w:szCs w:val="16"/>
    </w:rPr>
  </w:style>
  <w:style w:type="paragraph" w:customStyle="1" w:styleId="345">
    <w:name w:val="样式 标题 2 + 黑色 行距: 1.5 倍行距"/>
    <w:basedOn w:val="4"/>
    <w:autoRedefine/>
    <w:qFormat/>
    <w:uiPriority w:val="0"/>
    <w:pPr>
      <w:overflowPunct/>
      <w:adjustRightInd/>
      <w:spacing w:before="260" w:after="260" w:line="360" w:lineRule="auto"/>
      <w:jc w:val="both"/>
      <w:textAlignment w:val="auto"/>
    </w:pPr>
    <w:rPr>
      <w:rFonts w:ascii="Arial" w:hAnsi="Arial" w:eastAsia="宋体" w:cs="宋体"/>
      <w:bCs/>
      <w:color w:val="000000"/>
      <w:sz w:val="32"/>
    </w:rPr>
  </w:style>
  <w:style w:type="paragraph" w:customStyle="1" w:styleId="346">
    <w:name w:val="纯文本21"/>
    <w:basedOn w:val="1"/>
    <w:autoRedefine/>
    <w:qFormat/>
    <w:uiPriority w:val="0"/>
    <w:pPr>
      <w:adjustRightInd w:val="0"/>
    </w:pPr>
    <w:rPr>
      <w:rFonts w:ascii="宋体" w:hAnsi="Courier New"/>
      <w:szCs w:val="24"/>
    </w:rPr>
  </w:style>
  <w:style w:type="character" w:customStyle="1" w:styleId="347">
    <w:name w:val="明显引用 字符"/>
    <w:link w:val="331"/>
    <w:autoRedefine/>
    <w:qFormat/>
    <w:uiPriority w:val="30"/>
    <w:rPr>
      <w:rFonts w:ascii="Times New Roman" w:hAnsi="Times New Roman" w:eastAsia="楷体_GB2312" w:cs="Times New Roman"/>
      <w:b/>
      <w:bCs/>
      <w:i/>
      <w:iCs/>
      <w:color w:val="4F81BD"/>
      <w:kern w:val="2"/>
      <w:sz w:val="26"/>
    </w:rPr>
  </w:style>
  <w:style w:type="character" w:customStyle="1" w:styleId="348">
    <w:name w:val="引用 字符"/>
    <w:link w:val="337"/>
    <w:autoRedefine/>
    <w:qFormat/>
    <w:uiPriority w:val="29"/>
    <w:rPr>
      <w:rFonts w:ascii="Times New Roman" w:hAnsi="Times New Roman" w:eastAsia="楷体_GB2312" w:cs="Times New Roman"/>
      <w:i/>
      <w:iCs/>
      <w:color w:val="000000"/>
      <w:kern w:val="2"/>
      <w:sz w:val="26"/>
    </w:rPr>
  </w:style>
  <w:style w:type="paragraph" w:customStyle="1" w:styleId="3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50">
    <w:name w:val="标题 Char2"/>
    <w:autoRedefine/>
    <w:qFormat/>
    <w:uiPriority w:val="10"/>
    <w:rPr>
      <w:rFonts w:ascii="Cambria" w:hAnsi="Cambria" w:eastAsia="宋体" w:cs="Times New Roman"/>
      <w:b/>
      <w:bCs/>
      <w:sz w:val="32"/>
      <w:szCs w:val="32"/>
    </w:rPr>
  </w:style>
  <w:style w:type="paragraph" w:customStyle="1" w:styleId="351">
    <w:name w:val="默认段落字体 Para Char Char Char Char Char Char Char Char Char1 Char Char Char Char Char Char Char"/>
    <w:basedOn w:val="202"/>
    <w:autoRedefine/>
    <w:qFormat/>
    <w:uiPriority w:val="0"/>
    <w:pPr>
      <w:widowControl/>
      <w:spacing w:line="270" w:lineRule="exact"/>
      <w:ind w:firstLine="0" w:firstLineChars="0"/>
      <w:jc w:val="center"/>
    </w:pPr>
  </w:style>
  <w:style w:type="paragraph" w:customStyle="1" w:styleId="352">
    <w:name w:val="正文文字3"/>
    <w:basedOn w:val="1"/>
    <w:autoRedefine/>
    <w:qFormat/>
    <w:uiPriority w:val="0"/>
    <w:pPr>
      <w:adjustRightInd w:val="0"/>
      <w:spacing w:line="360" w:lineRule="atLeast"/>
      <w:ind w:left="72" w:leftChars="30" w:right="72" w:rightChars="30"/>
      <w:textAlignment w:val="baseline"/>
    </w:pPr>
    <w:rPr>
      <w:rFonts w:eastAsia="宋体"/>
      <w:kern w:val="0"/>
      <w:sz w:val="21"/>
      <w:szCs w:val="24"/>
    </w:rPr>
  </w:style>
  <w:style w:type="character" w:customStyle="1" w:styleId="353">
    <w:name w:val="layui-this"/>
    <w:basedOn w:val="58"/>
    <w:qFormat/>
    <w:uiPriority w:val="0"/>
    <w:rPr>
      <w:bdr w:val="single" w:color="EEEEEE" w:sz="4" w:space="0"/>
      <w:shd w:val="clear" w:color="auto" w:fill="FFFFFF"/>
    </w:rPr>
  </w:style>
  <w:style w:type="character" w:customStyle="1" w:styleId="354">
    <w:name w:val="first-child"/>
    <w:basedOn w:val="58"/>
    <w:autoRedefine/>
    <w:qFormat/>
    <w:uiPriority w:val="0"/>
  </w:style>
  <w:style w:type="character" w:customStyle="1" w:styleId="355">
    <w:name w:val="hover2"/>
    <w:basedOn w:val="58"/>
    <w:autoRedefine/>
    <w:qFormat/>
    <w:uiPriority w:val="0"/>
    <w:rPr>
      <w:color w:val="5FB878"/>
    </w:rPr>
  </w:style>
  <w:style w:type="character" w:customStyle="1" w:styleId="356">
    <w:name w:val="hover3"/>
    <w:basedOn w:val="58"/>
    <w:qFormat/>
    <w:uiPriority w:val="0"/>
    <w:rPr>
      <w:color w:val="5FB878"/>
    </w:rPr>
  </w:style>
  <w:style w:type="character" w:customStyle="1" w:styleId="357">
    <w:name w:val="hover4"/>
    <w:basedOn w:val="58"/>
    <w:autoRedefine/>
    <w:qFormat/>
    <w:uiPriority w:val="0"/>
    <w:rPr>
      <w:color w:val="FFFFFF"/>
    </w:rPr>
  </w:style>
  <w:style w:type="paragraph" w:customStyle="1" w:styleId="358">
    <w:name w:val="标题 11"/>
    <w:basedOn w:val="1"/>
    <w:autoRedefine/>
    <w:qFormat/>
    <w:uiPriority w:val="1"/>
    <w:pPr>
      <w:spacing w:line="702" w:lineRule="exact"/>
      <w:ind w:right="297"/>
      <w:jc w:val="center"/>
      <w:outlineLvl w:val="1"/>
    </w:pPr>
    <w:rPr>
      <w:rFonts w:ascii="Microsoft JhengHei" w:hAnsi="Microsoft JhengHei" w:eastAsia="Microsoft JhengHei" w:cs="Microsoft JhengHei"/>
      <w:b/>
      <w:bCs/>
      <w:sz w:val="44"/>
      <w:szCs w:val="44"/>
    </w:rPr>
  </w:style>
  <w:style w:type="character" w:customStyle="1" w:styleId="359">
    <w:name w:val="layui-this2"/>
    <w:basedOn w:val="58"/>
    <w:qFormat/>
    <w:uiPriority w:val="0"/>
    <w:rPr>
      <w:bdr w:val="single" w:color="EEEEEE" w:sz="6" w:space="0"/>
      <w:shd w:val="clear" w:color="auto" w:fill="FFFFFF"/>
    </w:rPr>
  </w:style>
  <w:style w:type="character" w:customStyle="1" w:styleId="360">
    <w:name w:val="hover1"/>
    <w:basedOn w:val="58"/>
    <w:autoRedefine/>
    <w:qFormat/>
    <w:uiPriority w:val="0"/>
    <w:rPr>
      <w:color w:val="5FB878"/>
    </w:rPr>
  </w:style>
  <w:style w:type="character" w:customStyle="1" w:styleId="361">
    <w:name w:val="hover"/>
    <w:basedOn w:val="58"/>
    <w:autoRedefine/>
    <w:qFormat/>
    <w:uiPriority w:val="0"/>
    <w:rPr>
      <w:color w:val="5FB878"/>
    </w:rPr>
  </w:style>
  <w:style w:type="paragraph" w:customStyle="1" w:styleId="362">
    <w:name w:val="新正文"/>
    <w:basedOn w:val="1"/>
    <w:next w:val="1"/>
    <w:qFormat/>
    <w:uiPriority w:val="99"/>
    <w:pPr>
      <w:adjustRightInd w:val="0"/>
      <w:snapToGrid w:val="0"/>
      <w:spacing w:line="440" w:lineRule="atLeast"/>
    </w:pPr>
    <w:rPr>
      <w:rFonts w:ascii="宋体" w:hAnsi="宋体"/>
      <w:color w:val="000000"/>
      <w:sz w:val="24"/>
    </w:rPr>
  </w:style>
  <w:style w:type="character" w:customStyle="1" w:styleId="363">
    <w:name w:val="正文缩进 Char1"/>
    <w:autoRedefine/>
    <w:qFormat/>
    <w:uiPriority w:val="0"/>
    <w:rPr>
      <w:rFonts w:ascii="Times New Roman" w:hAnsi="Times New Roman" w:eastAsia="仿宋" w:cs="Times New Roman"/>
      <w:sz w:val="24"/>
      <w:szCs w:val="24"/>
    </w:rPr>
  </w:style>
  <w:style w:type="character" w:customStyle="1" w:styleId="364">
    <w:name w:val="列表段落 字符"/>
    <w:link w:val="202"/>
    <w:autoRedefine/>
    <w:qFormat/>
    <w:uiPriority w:val="34"/>
    <w:rPr>
      <w:kern w:val="2"/>
      <w:sz w:val="21"/>
      <w:szCs w:val="24"/>
    </w:rPr>
  </w:style>
  <w:style w:type="character" w:customStyle="1" w:styleId="365">
    <w:name w:val="font81"/>
    <w:basedOn w:val="58"/>
    <w:autoRedefine/>
    <w:qFormat/>
    <w:uiPriority w:val="0"/>
    <w:rPr>
      <w:rFonts w:hint="default" w:ascii="微软雅黑" w:hAnsi="微软雅黑" w:eastAsia="微软雅黑" w:cs="微软雅黑"/>
      <w:color w:val="000000"/>
      <w:sz w:val="22"/>
      <w:szCs w:val="22"/>
      <w:u w:val="none"/>
    </w:rPr>
  </w:style>
  <w:style w:type="character" w:customStyle="1" w:styleId="366">
    <w:name w:val="font51"/>
    <w:basedOn w:val="58"/>
    <w:autoRedefine/>
    <w:qFormat/>
    <w:uiPriority w:val="0"/>
    <w:rPr>
      <w:rFonts w:hint="default" w:ascii="微软雅黑" w:hAnsi="微软雅黑" w:eastAsia="微软雅黑" w:cs="微软雅黑"/>
      <w:color w:val="000000"/>
      <w:sz w:val="22"/>
      <w:szCs w:val="22"/>
      <w:u w:val="none"/>
    </w:rPr>
  </w:style>
  <w:style w:type="paragraph" w:customStyle="1" w:styleId="367">
    <w:name w:val="Table Paragraph"/>
    <w:basedOn w:val="1"/>
    <w:autoRedefine/>
    <w:qFormat/>
    <w:uiPriority w:val="1"/>
    <w:pPr>
      <w:autoSpaceDE w:val="0"/>
      <w:autoSpaceDN w:val="0"/>
      <w:jc w:val="left"/>
    </w:pPr>
    <w:rPr>
      <w:rFonts w:ascii="宋体" w:hAnsi="宋体" w:eastAsia="宋体" w:cs="宋体"/>
      <w:kern w:val="0"/>
      <w:sz w:val="22"/>
      <w:szCs w:val="22"/>
      <w:lang w:val="zh-CN" w:bidi="zh-CN"/>
    </w:rPr>
  </w:style>
  <w:style w:type="table" w:customStyle="1" w:styleId="368">
    <w:name w:val="Table Normal"/>
    <w:autoRedefine/>
    <w:semiHidden/>
    <w:unhideWhenUsed/>
    <w:qFormat/>
    <w:uiPriority w:val="0"/>
    <w:tblPr>
      <w:tblCellMar>
        <w:top w:w="0" w:type="dxa"/>
        <w:left w:w="0" w:type="dxa"/>
        <w:bottom w:w="0" w:type="dxa"/>
        <w:right w:w="0" w:type="dxa"/>
      </w:tblCellMar>
    </w:tblPr>
  </w:style>
  <w:style w:type="character" w:customStyle="1" w:styleId="369">
    <w:name w:val="font111"/>
    <w:basedOn w:val="58"/>
    <w:autoRedefine/>
    <w:qFormat/>
    <w:uiPriority w:val="0"/>
    <w:rPr>
      <w:rFonts w:hint="default" w:ascii="Times New Roman" w:hAnsi="Times New Roman" w:cs="Times New Roman"/>
      <w:color w:val="000000"/>
      <w:sz w:val="22"/>
      <w:szCs w:val="22"/>
      <w:u w:val="none"/>
    </w:rPr>
  </w:style>
  <w:style w:type="character" w:customStyle="1" w:styleId="370">
    <w:name w:val="font01"/>
    <w:basedOn w:val="58"/>
    <w:autoRedefine/>
    <w:qFormat/>
    <w:uiPriority w:val="0"/>
    <w:rPr>
      <w:rFonts w:hint="eastAsia" w:ascii="宋体" w:hAnsi="宋体" w:eastAsia="宋体" w:cs="宋体"/>
      <w:color w:val="000000"/>
      <w:sz w:val="22"/>
      <w:szCs w:val="22"/>
      <w:u w:val="none"/>
    </w:rPr>
  </w:style>
  <w:style w:type="character" w:customStyle="1" w:styleId="371">
    <w:name w:val="font71"/>
    <w:basedOn w:val="58"/>
    <w:qFormat/>
    <w:uiPriority w:val="0"/>
    <w:rPr>
      <w:rFonts w:hint="default" w:ascii="Times New Roman" w:hAnsi="Times New Roman" w:cs="Times New Roman"/>
      <w:color w:val="000000"/>
      <w:sz w:val="22"/>
      <w:szCs w:val="22"/>
      <w:u w:val="none"/>
    </w:rPr>
  </w:style>
  <w:style w:type="character" w:customStyle="1" w:styleId="372">
    <w:name w:val="font121"/>
    <w:basedOn w:val="58"/>
    <w:autoRedefine/>
    <w:qFormat/>
    <w:uiPriority w:val="0"/>
    <w:rPr>
      <w:rFonts w:hint="default" w:ascii="华文中宋" w:hAnsi="华文中宋" w:eastAsia="华文中宋" w:cs="华文中宋"/>
      <w:color w:val="000000"/>
      <w:sz w:val="22"/>
      <w:szCs w:val="22"/>
      <w:u w:val="none"/>
    </w:rPr>
  </w:style>
  <w:style w:type="character" w:customStyle="1" w:styleId="373">
    <w:name w:val="font101"/>
    <w:basedOn w:val="58"/>
    <w:autoRedefine/>
    <w:qFormat/>
    <w:uiPriority w:val="0"/>
    <w:rPr>
      <w:rFonts w:hint="default" w:ascii="华文中宋" w:hAnsi="华文中宋" w:eastAsia="华文中宋" w:cs="华文中宋"/>
      <w:color w:val="000000"/>
      <w:sz w:val="22"/>
      <w:szCs w:val="22"/>
      <w:u w:val="none"/>
    </w:rPr>
  </w:style>
  <w:style w:type="character" w:customStyle="1" w:styleId="374">
    <w:name w:val="font15"/>
    <w:basedOn w:val="58"/>
    <w:autoRedefine/>
    <w:qFormat/>
    <w:uiPriority w:val="0"/>
    <w:rPr>
      <w:rFonts w:hint="default" w:ascii="华文中宋" w:hAnsi="华文中宋" w:eastAsia="华文中宋" w:cs="华文中宋"/>
      <w:color w:val="000000"/>
      <w:sz w:val="20"/>
      <w:szCs w:val="20"/>
      <w:u w:val="none"/>
    </w:rPr>
  </w:style>
  <w:style w:type="character" w:customStyle="1" w:styleId="375">
    <w:name w:val="font152"/>
    <w:basedOn w:val="58"/>
    <w:autoRedefine/>
    <w:qFormat/>
    <w:uiPriority w:val="0"/>
    <w:rPr>
      <w:rFonts w:hint="default" w:ascii="Times New Roman" w:hAnsi="Times New Roman" w:cs="Times New Roman"/>
      <w:color w:val="000000"/>
      <w:sz w:val="22"/>
      <w:szCs w:val="22"/>
      <w:u w:val="none"/>
    </w:rPr>
  </w:style>
  <w:style w:type="character" w:customStyle="1" w:styleId="376">
    <w:name w:val="font181"/>
    <w:basedOn w:val="58"/>
    <w:autoRedefine/>
    <w:qFormat/>
    <w:uiPriority w:val="0"/>
    <w:rPr>
      <w:rFonts w:hint="default" w:ascii="Times New Roman" w:hAnsi="Times New Roman" w:cs="Times New Roman"/>
      <w:color w:val="000000"/>
      <w:sz w:val="22"/>
      <w:szCs w:val="22"/>
      <w:u w:val="none"/>
    </w:rPr>
  </w:style>
  <w:style w:type="character" w:customStyle="1" w:styleId="377">
    <w:name w:val="font171"/>
    <w:basedOn w:val="58"/>
    <w:autoRedefine/>
    <w:qFormat/>
    <w:uiPriority w:val="0"/>
    <w:rPr>
      <w:rFonts w:hint="eastAsia" w:ascii="宋体" w:hAnsi="宋体" w:eastAsia="宋体" w:cs="宋体"/>
      <w:color w:val="000000"/>
      <w:sz w:val="22"/>
      <w:szCs w:val="22"/>
      <w:u w:val="none"/>
    </w:rPr>
  </w:style>
  <w:style w:type="table" w:customStyle="1" w:styleId="378">
    <w:name w:val="网格型1"/>
    <w:basedOn w:val="56"/>
    <w:autoRedefine/>
    <w:qFormat/>
    <w:locked/>
    <w:uiPriority w:val="0"/>
    <w:rPr>
      <w:rFonts w:eastAsia="仿宋_GB231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79">
    <w:name w:val="font41"/>
    <w:basedOn w:val="58"/>
    <w:autoRedefine/>
    <w:qFormat/>
    <w:uiPriority w:val="0"/>
    <w:rPr>
      <w:rFonts w:hint="default" w:ascii="Times New Roman" w:hAnsi="Times New Roman" w:cs="Times New Roman"/>
      <w:color w:val="000000"/>
      <w:sz w:val="22"/>
      <w:szCs w:val="22"/>
      <w:u w:val="none"/>
    </w:rPr>
  </w:style>
  <w:style w:type="character" w:customStyle="1" w:styleId="380">
    <w:name w:val="font91"/>
    <w:basedOn w:val="5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zls\Desktop\2019&#22312;&#32447;&#27700;&#36136;&#20202;&#22120;&#36816;&#32500;&#39033;&#30446;\&#25307;&#26631;&#25991;&#20214;2002&#24180;&#20462;&#25913;&#264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5436CE-4CAA-4C98-B694-F5B6D3E5D858}">
  <ds:schemaRefs/>
</ds:datastoreItem>
</file>

<file path=docProps/app.xml><?xml version="1.0" encoding="utf-8"?>
<Properties xmlns="http://schemas.openxmlformats.org/officeDocument/2006/extended-properties" xmlns:vt="http://schemas.openxmlformats.org/officeDocument/2006/docPropsVTypes">
  <Template>招标文件2002年修改本</Template>
  <Company>南京国衡南通分公司</Company>
  <Pages>42</Pages>
  <Words>20994</Words>
  <Characters>23902</Characters>
  <Lines>211</Lines>
  <Paragraphs>59</Paragraphs>
  <TotalTime>18</TotalTime>
  <ScaleCrop>false</ScaleCrop>
  <LinksUpToDate>false</LinksUpToDate>
  <CharactersWithSpaces>24376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2022-11-15T07:33:00Z</dcterms:created>
  <dc:creator>国衡南通</dc:creator>
  <cp:lastModifiedBy>user01</cp:lastModifiedBy>
  <cp:lastPrinted>2022-08-26T01:37:00Z</cp:lastPrinted>
  <dcterms:modified xsi:type="dcterms:W3CDTF">2024-07-01T07:32:12Z</dcterms:modified>
  <dc:title>崇川区政府采购</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D26419166F324DA681334C53D61F2C5E</vt:lpwstr>
  </property>
  <property fmtid="{D5CDD505-2E9C-101B-9397-08002B2CF9AE}" pid="4" name="commondata">
    <vt:lpwstr>eyJoZGlkIjoiMDI5Y2YxNmU5Yjc3YzRlMGVlZDU1ZTZmMWJkNDU1OWYifQ==</vt:lpwstr>
  </property>
</Properties>
</file>