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48"/>
          <w:szCs w:val="48"/>
        </w:rPr>
      </w:pPr>
      <w:bookmarkStart w:id="37" w:name="_GoBack"/>
      <w:r>
        <w:rPr>
          <w:rFonts w:hint="eastAsia" w:ascii="宋体" w:hAnsi="宋体"/>
          <w:b/>
          <w:bCs/>
          <w:sz w:val="48"/>
          <w:szCs w:val="48"/>
        </w:rPr>
        <w:t>南通通安聚龙银服科技有限公司</w:t>
      </w:r>
      <w:bookmarkEnd w:id="37"/>
    </w:p>
    <w:p>
      <w:pPr>
        <w:spacing w:line="360" w:lineRule="auto"/>
        <w:jc w:val="center"/>
        <w:rPr>
          <w:rFonts w:ascii="宋体" w:hAnsi="宋体"/>
          <w:b/>
          <w:bCs/>
          <w:sz w:val="48"/>
          <w:szCs w:val="48"/>
        </w:rPr>
      </w:pPr>
      <w:r>
        <w:rPr>
          <w:rFonts w:hint="eastAsia" w:ascii="宋体" w:hAnsi="宋体"/>
          <w:b/>
          <w:bCs/>
          <w:sz w:val="48"/>
          <w:szCs w:val="48"/>
        </w:rPr>
        <w:t>区域现金处理中心</w:t>
      </w:r>
    </w:p>
    <w:p>
      <w:pPr>
        <w:spacing w:line="360" w:lineRule="auto"/>
        <w:jc w:val="center"/>
        <w:rPr>
          <w:rFonts w:ascii="宋体" w:hAnsi="宋体"/>
          <w:b/>
          <w:bCs/>
          <w:sz w:val="48"/>
          <w:szCs w:val="48"/>
        </w:rPr>
      </w:pPr>
      <w:r>
        <w:rPr>
          <w:rFonts w:hint="eastAsia" w:ascii="宋体" w:hAnsi="宋体"/>
          <w:b/>
          <w:bCs/>
          <w:sz w:val="48"/>
          <w:szCs w:val="48"/>
        </w:rPr>
        <w:t>金库非见面交接自动化流转项目</w:t>
      </w: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rPr>
          <w:rFonts w:ascii="宋体" w:hAnsi="宋体"/>
          <w:b/>
          <w:bCs/>
          <w:sz w:val="44"/>
          <w:szCs w:val="44"/>
        </w:rPr>
      </w:pPr>
    </w:p>
    <w:p>
      <w:pPr>
        <w:pStyle w:val="2"/>
      </w:pPr>
    </w:p>
    <w:p>
      <w:pPr>
        <w:spacing w:line="360" w:lineRule="auto"/>
        <w:jc w:val="center"/>
        <w:rPr>
          <w:rFonts w:ascii="宋体" w:hAnsi="宋体"/>
          <w:b/>
          <w:bCs/>
          <w:sz w:val="96"/>
          <w:szCs w:val="96"/>
        </w:rPr>
      </w:pPr>
      <w:r>
        <w:rPr>
          <w:rFonts w:hint="eastAsia" w:ascii="宋体" w:hAnsi="宋体"/>
          <w:b/>
          <w:bCs/>
          <w:sz w:val="96"/>
          <w:szCs w:val="96"/>
        </w:rPr>
        <w:t>招标文件</w:t>
      </w:r>
    </w:p>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560" w:lineRule="exact"/>
        <w:jc w:val="center"/>
        <w:rPr>
          <w:rFonts w:ascii="宋体" w:hAnsi="宋体"/>
          <w:sz w:val="44"/>
          <w:szCs w:val="44"/>
        </w:rPr>
      </w:pPr>
    </w:p>
    <w:p>
      <w:pPr>
        <w:pStyle w:val="2"/>
        <w:rPr>
          <w:rFonts w:hAnsi="宋体"/>
          <w:sz w:val="44"/>
          <w:szCs w:val="44"/>
        </w:rPr>
      </w:pPr>
    </w:p>
    <w:p>
      <w:pPr>
        <w:pStyle w:val="10"/>
      </w:pPr>
    </w:p>
    <w:p>
      <w:pPr>
        <w:spacing w:line="560" w:lineRule="exact"/>
        <w:rPr>
          <w:rFonts w:ascii="宋体" w:hAnsi="宋体"/>
          <w:sz w:val="44"/>
          <w:szCs w:val="44"/>
        </w:rPr>
      </w:pPr>
    </w:p>
    <w:p>
      <w:pPr>
        <w:spacing w:line="560" w:lineRule="exact"/>
        <w:rPr>
          <w:rFonts w:ascii="宋体" w:hAnsi="宋体"/>
          <w:sz w:val="44"/>
          <w:szCs w:val="44"/>
        </w:rPr>
      </w:pP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招标人：南通通安聚龙银服科技有限公司</w:t>
      </w: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代理机构：</w:t>
      </w:r>
      <w:r>
        <w:rPr>
          <w:rFonts w:hint="eastAsia" w:ascii="宋体" w:hAnsi="宋体"/>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日期：2024年</w:t>
      </w:r>
      <w:r>
        <w:rPr>
          <w:rFonts w:hint="eastAsia" w:ascii="宋体" w:hAnsi="宋体"/>
          <w:sz w:val="30"/>
          <w:szCs w:val="30"/>
          <w:lang w:val="en-US" w:eastAsia="zh-CN"/>
        </w:rPr>
        <w:t>5</w:t>
      </w:r>
      <w:r>
        <w:rPr>
          <w:rFonts w:hint="eastAsia" w:ascii="宋体" w:hAnsi="宋体"/>
          <w:sz w:val="30"/>
          <w:szCs w:val="30"/>
        </w:rPr>
        <w:t>月</w:t>
      </w:r>
      <w:r>
        <w:rPr>
          <w:rFonts w:hint="eastAsia" w:ascii="宋体" w:hAnsi="宋体"/>
          <w:sz w:val="30"/>
          <w:szCs w:val="30"/>
          <w:lang w:val="en-US" w:eastAsia="zh-CN"/>
        </w:rPr>
        <w:t>21</w:t>
      </w:r>
      <w:r>
        <w:rPr>
          <w:rFonts w:hint="eastAsia" w:ascii="宋体" w:hAnsi="宋体"/>
          <w:sz w:val="30"/>
          <w:szCs w:val="30"/>
        </w:rPr>
        <w:t>日</w:t>
      </w:r>
    </w:p>
    <w:p>
      <w:pPr>
        <w:widowControl/>
        <w:jc w:val="left"/>
        <w:rPr>
          <w:rFonts w:ascii="宋体" w:hAnsi="宋体"/>
          <w:b/>
          <w:bCs/>
          <w:sz w:val="30"/>
          <w:szCs w:val="30"/>
        </w:rPr>
        <w:sectPr>
          <w:pgSz w:w="11906" w:h="16838"/>
          <w:pgMar w:top="1434" w:right="1797" w:bottom="1434" w:left="1797" w:header="851" w:footer="992" w:gutter="0"/>
          <w:pgNumType w:start="0"/>
          <w:cols w:space="720" w:num="1"/>
          <w:docGrid w:type="lines" w:linePitch="312" w:charSpace="0"/>
        </w:sectPr>
      </w:pPr>
    </w:p>
    <w:p>
      <w:pPr>
        <w:adjustRightInd w:val="0"/>
        <w:snapToGrid w:val="0"/>
        <w:spacing w:before="156" w:beforeLines="50" w:after="156" w:afterLines="50" w:line="360" w:lineRule="auto"/>
        <w:jc w:val="center"/>
        <w:rPr>
          <w:rFonts w:ascii="宋体" w:hAnsi="宋体"/>
          <w:b/>
          <w:bCs/>
          <w:sz w:val="32"/>
          <w:szCs w:val="32"/>
        </w:rPr>
      </w:pPr>
      <w:r>
        <w:rPr>
          <w:rFonts w:hint="eastAsia" w:ascii="宋体" w:hAnsi="宋体"/>
          <w:b/>
          <w:bCs/>
          <w:sz w:val="32"/>
          <w:szCs w:val="32"/>
        </w:rPr>
        <w:t>第一章  招标公告</w:t>
      </w:r>
    </w:p>
    <w:p>
      <w:pPr>
        <w:adjustRightInd w:val="0"/>
        <w:snapToGrid w:val="0"/>
        <w:spacing w:line="360" w:lineRule="auto"/>
        <w:ind w:firstLine="480" w:firstLineChars="200"/>
        <w:rPr>
          <w:rFonts w:ascii="宋体" w:hAnsi="宋体"/>
          <w:sz w:val="24"/>
        </w:rPr>
      </w:pPr>
      <w:r>
        <w:rPr>
          <w:rFonts w:hint="eastAsia" w:ascii="宋体" w:hAnsi="宋体"/>
          <w:sz w:val="24"/>
        </w:rPr>
        <w:t>南通通安聚龙银服科技有限公司（以下简称招标人）拟用公开招标方式对南通通安聚龙银服科技有限公司区域现金处理中心金库非见面交接自动化流转项目进行采购，内容如下：</w:t>
      </w:r>
    </w:p>
    <w:p>
      <w:pPr>
        <w:adjustRightInd w:val="0"/>
        <w:snapToGrid w:val="0"/>
        <w:spacing w:line="360" w:lineRule="auto"/>
        <w:ind w:firstLine="482" w:firstLineChars="200"/>
        <w:rPr>
          <w:rFonts w:ascii="宋体" w:hAnsi="宋体"/>
          <w:b/>
          <w:bCs/>
          <w:sz w:val="24"/>
        </w:rPr>
      </w:pPr>
      <w:r>
        <w:rPr>
          <w:rFonts w:hint="eastAsia" w:ascii="宋体" w:hAnsi="宋体"/>
          <w:b/>
          <w:bCs/>
          <w:sz w:val="24"/>
        </w:rPr>
        <w:t>一、项目名称</w:t>
      </w:r>
    </w:p>
    <w:p>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南通通安聚龙银服科技有限公司区域现金处理中心金库非见面交接自动化流转项目</w:t>
      </w:r>
    </w:p>
    <w:p>
      <w:pPr>
        <w:adjustRightInd w:val="0"/>
        <w:snapToGrid w:val="0"/>
        <w:spacing w:line="360" w:lineRule="auto"/>
        <w:ind w:firstLine="482" w:firstLineChars="200"/>
        <w:rPr>
          <w:rFonts w:ascii="宋体" w:hAnsi="宋体"/>
          <w:b/>
          <w:bCs/>
          <w:sz w:val="24"/>
        </w:rPr>
      </w:pPr>
      <w:r>
        <w:rPr>
          <w:rFonts w:hint="eastAsia" w:ascii="宋体" w:hAnsi="宋体"/>
          <w:b/>
          <w:bCs/>
          <w:sz w:val="24"/>
        </w:rPr>
        <w:t>二、项目预算：</w:t>
      </w:r>
      <w:r>
        <w:rPr>
          <w:rFonts w:hint="eastAsia" w:ascii="宋体" w:hAnsi="宋体"/>
          <w:b/>
          <w:bCs/>
          <w:sz w:val="24"/>
          <w:lang w:val="en-US" w:eastAsia="zh-CN"/>
        </w:rPr>
        <w:t>710</w:t>
      </w:r>
      <w:r>
        <w:rPr>
          <w:rFonts w:hint="eastAsia" w:ascii="宋体" w:hAnsi="宋体"/>
          <w:b/>
          <w:bCs/>
          <w:sz w:val="24"/>
        </w:rPr>
        <w:t>万元</w:t>
      </w:r>
      <w:r>
        <w:rPr>
          <w:rFonts w:hint="eastAsia" w:ascii="宋体" w:hAnsi="宋体"/>
          <w:b/>
          <w:bCs/>
          <w:sz w:val="24"/>
          <w:lang w:eastAsia="zh-CN"/>
        </w:rPr>
        <w:t>（报价超过最高限价的为无效报价）</w:t>
      </w:r>
    </w:p>
    <w:p>
      <w:pPr>
        <w:adjustRightInd w:val="0"/>
        <w:snapToGrid w:val="0"/>
        <w:spacing w:line="360" w:lineRule="auto"/>
        <w:ind w:firstLine="482" w:firstLineChars="200"/>
        <w:rPr>
          <w:rFonts w:ascii="宋体" w:hAnsi="宋体"/>
          <w:b/>
          <w:bCs/>
          <w:sz w:val="24"/>
        </w:rPr>
      </w:pPr>
      <w:r>
        <w:rPr>
          <w:rFonts w:hint="eastAsia" w:ascii="宋体" w:hAnsi="宋体"/>
          <w:b/>
          <w:bCs/>
          <w:sz w:val="24"/>
        </w:rPr>
        <w:t>三、投标人资格要求</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1、在中华人民共和国境内依法注册且具有独立的法人资格。</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2、</w:t>
      </w:r>
      <w:r>
        <w:rPr>
          <w:rFonts w:hint="eastAsia" w:ascii="宋体" w:hAnsi="宋体"/>
          <w:sz w:val="24"/>
        </w:rPr>
        <w:t>具备完成本项目标的物的资质和能力，并能提供相应服务</w:t>
      </w:r>
      <w:r>
        <w:rPr>
          <w:rFonts w:hint="eastAsia" w:ascii="宋体" w:hAnsi="宋体"/>
          <w:color w:val="000000"/>
          <w:kern w:val="0"/>
          <w:sz w:val="24"/>
        </w:rPr>
        <w:t>。</w:t>
      </w:r>
    </w:p>
    <w:p>
      <w:pPr>
        <w:pStyle w:val="5"/>
        <w:adjustRightInd w:val="0"/>
        <w:snapToGrid w:val="0"/>
        <w:ind w:firstLine="480" w:firstLineChars="200"/>
        <w:rPr>
          <w:rFonts w:hAnsi="宋体"/>
          <w:kern w:val="2"/>
          <w:szCs w:val="24"/>
        </w:rPr>
      </w:pPr>
      <w:r>
        <w:rPr>
          <w:rFonts w:hint="eastAsia" w:hAnsi="宋体"/>
          <w:kern w:val="2"/>
          <w:szCs w:val="24"/>
        </w:rPr>
        <w:t>3、</w:t>
      </w:r>
      <w:r>
        <w:rPr>
          <w:rFonts w:hint="eastAsia" w:hAnsi="宋体"/>
        </w:rPr>
        <w:t>单位负责人为同一人或者存在直接控股、管理关系的不同投标人，不得参加同一合同项下的采购活动；法定代表人为同一个人的两个及两个以上法人，母公司、全资子公司及其控股公司，都不得参加同一合同项目的采购活动。</w:t>
      </w:r>
    </w:p>
    <w:p>
      <w:pPr>
        <w:pStyle w:val="5"/>
        <w:adjustRightInd w:val="0"/>
        <w:snapToGrid w:val="0"/>
        <w:ind w:firstLine="480" w:firstLineChars="200"/>
        <w:rPr>
          <w:rFonts w:hAnsi="宋体"/>
          <w:kern w:val="2"/>
          <w:szCs w:val="24"/>
        </w:rPr>
      </w:pPr>
      <w:r>
        <w:rPr>
          <w:rFonts w:hint="eastAsia" w:hAnsi="宋体"/>
          <w:kern w:val="2"/>
          <w:szCs w:val="24"/>
        </w:rPr>
        <w:t>4、本项目不接受联合体投标。</w:t>
      </w:r>
    </w:p>
    <w:p>
      <w:pPr>
        <w:adjustRightInd w:val="0"/>
        <w:snapToGrid w:val="0"/>
        <w:spacing w:line="360" w:lineRule="auto"/>
        <w:ind w:firstLine="482" w:firstLineChars="200"/>
        <w:rPr>
          <w:rFonts w:ascii="宋体" w:hAnsi="宋体"/>
          <w:b/>
          <w:bCs/>
          <w:sz w:val="24"/>
        </w:rPr>
      </w:pPr>
      <w:r>
        <w:rPr>
          <w:rFonts w:hint="eastAsia" w:ascii="宋体" w:hAnsi="宋体"/>
          <w:b/>
          <w:bCs/>
          <w:sz w:val="24"/>
        </w:rPr>
        <w:t>四、评标办法</w:t>
      </w:r>
    </w:p>
    <w:p>
      <w:pPr>
        <w:pStyle w:val="5"/>
        <w:adjustRightInd w:val="0"/>
        <w:snapToGrid w:val="0"/>
        <w:ind w:firstLine="480" w:firstLineChars="200"/>
        <w:rPr>
          <w:rFonts w:hAnsi="宋体"/>
          <w:b/>
          <w:bCs/>
          <w:szCs w:val="24"/>
          <w:shd w:val="clear" w:color="auto" w:fill="FFFFFF"/>
        </w:rPr>
      </w:pPr>
      <w:r>
        <w:rPr>
          <w:rFonts w:hint="eastAsia" w:hAnsi="宋体"/>
          <w:kern w:val="2"/>
          <w:szCs w:val="24"/>
        </w:rPr>
        <w:t>本项目采用综合评分法。</w:t>
      </w:r>
    </w:p>
    <w:p>
      <w:pPr>
        <w:pStyle w:val="5"/>
        <w:adjustRightInd w:val="0"/>
        <w:snapToGrid w:val="0"/>
        <w:ind w:firstLine="482" w:firstLineChars="200"/>
        <w:rPr>
          <w:rFonts w:hAnsi="宋体"/>
          <w:b/>
          <w:bCs/>
          <w:szCs w:val="24"/>
        </w:rPr>
      </w:pPr>
      <w:r>
        <w:rPr>
          <w:rFonts w:hint="eastAsia" w:hAnsi="宋体"/>
          <w:b/>
          <w:bCs/>
          <w:szCs w:val="24"/>
          <w:shd w:val="clear" w:color="auto" w:fill="FFFFFF"/>
        </w:rPr>
        <w:t>五、获取招标文件</w:t>
      </w:r>
    </w:p>
    <w:p>
      <w:pPr>
        <w:pStyle w:val="5"/>
        <w:adjustRightInd w:val="0"/>
        <w:snapToGrid w:val="0"/>
        <w:ind w:firstLine="480" w:firstLineChars="200"/>
        <w:rPr>
          <w:rFonts w:hAnsi="宋体"/>
          <w:b/>
          <w:bCs/>
          <w:szCs w:val="24"/>
          <w:shd w:val="clear" w:color="auto" w:fill="FFFFFF"/>
        </w:rPr>
      </w:pPr>
      <w:r>
        <w:rPr>
          <w:rFonts w:hint="eastAsia" w:hAnsi="宋体"/>
        </w:rPr>
        <w:t>在“南通市保安服务有限公司网站”自行下载。</w:t>
      </w:r>
    </w:p>
    <w:p>
      <w:pPr>
        <w:adjustRightInd w:val="0"/>
        <w:snapToGrid w:val="0"/>
        <w:spacing w:line="360" w:lineRule="auto"/>
        <w:ind w:firstLine="482" w:firstLineChars="200"/>
        <w:rPr>
          <w:rFonts w:ascii="宋体" w:hAnsi="宋体"/>
          <w:b/>
          <w:bCs/>
          <w:sz w:val="24"/>
        </w:rPr>
      </w:pPr>
      <w:r>
        <w:rPr>
          <w:rFonts w:hint="eastAsia" w:ascii="宋体" w:hAnsi="宋体"/>
          <w:b/>
          <w:bCs/>
          <w:sz w:val="24"/>
        </w:rPr>
        <w:t>六、投标文件的递交</w:t>
      </w:r>
    </w:p>
    <w:p>
      <w:pPr>
        <w:pStyle w:val="5"/>
        <w:adjustRightInd w:val="0"/>
        <w:snapToGrid w:val="0"/>
        <w:ind w:firstLine="480" w:firstLineChars="200"/>
        <w:rPr>
          <w:rFonts w:hAnsi="宋体"/>
          <w:kern w:val="2"/>
          <w:szCs w:val="24"/>
        </w:rPr>
      </w:pPr>
      <w:r>
        <w:rPr>
          <w:rFonts w:hint="eastAsia" w:hAnsi="宋体"/>
          <w:kern w:val="2"/>
          <w:szCs w:val="24"/>
        </w:rPr>
        <w:t>1、文件递交方式：直接送达。</w:t>
      </w:r>
    </w:p>
    <w:p>
      <w:pPr>
        <w:pStyle w:val="5"/>
        <w:adjustRightInd w:val="0"/>
        <w:snapToGrid w:val="0"/>
        <w:ind w:firstLine="480" w:firstLineChars="200"/>
        <w:rPr>
          <w:rFonts w:hAnsi="宋体"/>
          <w:kern w:val="2"/>
          <w:szCs w:val="24"/>
        </w:rPr>
      </w:pPr>
      <w:r>
        <w:rPr>
          <w:rFonts w:hint="eastAsia" w:hAnsi="宋体"/>
          <w:kern w:val="2"/>
          <w:szCs w:val="24"/>
        </w:rPr>
        <w:t>2、投标文件递交截止时间及地点：</w:t>
      </w:r>
      <w:r>
        <w:rPr>
          <w:rFonts w:hint="eastAsia" w:hAnsi="宋体"/>
          <w:kern w:val="2"/>
          <w:szCs w:val="24"/>
          <w:lang w:eastAsia="zh-CN"/>
        </w:rPr>
        <w:t>2024年06月14日14点30分</w:t>
      </w:r>
      <w:r>
        <w:rPr>
          <w:rFonts w:hint="eastAsia" w:hAnsi="宋体"/>
          <w:kern w:val="2"/>
          <w:szCs w:val="24"/>
        </w:rPr>
        <w:t>前；</w:t>
      </w:r>
      <w:r>
        <w:rPr>
          <w:rFonts w:hint="eastAsia" w:hAnsi="宋体"/>
          <w:szCs w:val="24"/>
          <w:shd w:val="clear" w:color="auto" w:fill="FFFFFF"/>
        </w:rPr>
        <w:t>南通市崇川区石桥路333号</w:t>
      </w:r>
      <w:r>
        <w:rPr>
          <w:rFonts w:hint="eastAsia" w:hAnsi="宋体"/>
        </w:rPr>
        <w:t>南通通安聚龙银服科技有限公司</w:t>
      </w:r>
      <w:r>
        <w:rPr>
          <w:rFonts w:hint="eastAsia" w:hAnsi="宋体"/>
          <w:szCs w:val="24"/>
          <w:shd w:val="clear" w:color="auto" w:fill="FFFFFF"/>
        </w:rPr>
        <w:t>2楼会议室。</w:t>
      </w:r>
    </w:p>
    <w:p>
      <w:pPr>
        <w:pStyle w:val="5"/>
        <w:adjustRightInd w:val="0"/>
        <w:snapToGrid w:val="0"/>
        <w:ind w:firstLine="480" w:firstLineChars="200"/>
        <w:rPr>
          <w:rFonts w:hAnsi="宋体"/>
          <w:kern w:val="2"/>
          <w:szCs w:val="24"/>
        </w:rPr>
      </w:pPr>
      <w:r>
        <w:rPr>
          <w:rFonts w:hint="eastAsia" w:hAnsi="宋体"/>
          <w:kern w:val="2"/>
          <w:szCs w:val="24"/>
        </w:rPr>
        <w:t>3、投标文件截止时间：投标文件必须在规定的接收截止时间前送至指定地点，招标人或代理机构将拒绝接收在截止时间后递交的文件。</w:t>
      </w:r>
    </w:p>
    <w:p>
      <w:pPr>
        <w:adjustRightInd w:val="0"/>
        <w:snapToGrid w:val="0"/>
        <w:spacing w:line="360" w:lineRule="auto"/>
        <w:ind w:firstLine="482" w:firstLineChars="200"/>
        <w:rPr>
          <w:rFonts w:ascii="宋体" w:hAnsi="宋体"/>
          <w:b/>
          <w:bCs/>
          <w:sz w:val="24"/>
        </w:rPr>
      </w:pPr>
      <w:r>
        <w:rPr>
          <w:rFonts w:hint="eastAsia" w:ascii="宋体" w:hAnsi="宋体"/>
          <w:b/>
          <w:bCs/>
          <w:sz w:val="24"/>
        </w:rPr>
        <w:t>七、开标</w:t>
      </w:r>
    </w:p>
    <w:p>
      <w:pPr>
        <w:pStyle w:val="5"/>
        <w:adjustRightInd w:val="0"/>
        <w:snapToGrid w:val="0"/>
        <w:ind w:firstLine="480" w:firstLineChars="200"/>
        <w:rPr>
          <w:rFonts w:hAnsi="宋体"/>
          <w:kern w:val="2"/>
          <w:szCs w:val="24"/>
        </w:rPr>
      </w:pPr>
      <w:r>
        <w:rPr>
          <w:rFonts w:hint="eastAsia" w:hAnsi="宋体"/>
          <w:kern w:val="2"/>
          <w:szCs w:val="24"/>
        </w:rPr>
        <w:t>1、开标时间：</w:t>
      </w:r>
      <w:r>
        <w:rPr>
          <w:rFonts w:hint="eastAsia" w:hAnsi="宋体"/>
          <w:kern w:val="2"/>
          <w:szCs w:val="24"/>
          <w:lang w:eastAsia="zh-CN"/>
        </w:rPr>
        <w:t>2024年06月14日14点30分</w:t>
      </w:r>
      <w:r>
        <w:rPr>
          <w:rFonts w:hint="eastAsia" w:hAnsi="宋体"/>
          <w:kern w:val="2"/>
          <w:szCs w:val="24"/>
        </w:rPr>
        <w:t>，如有变动，另行通知。</w:t>
      </w:r>
    </w:p>
    <w:p>
      <w:pPr>
        <w:pStyle w:val="5"/>
        <w:adjustRightInd w:val="0"/>
        <w:snapToGrid w:val="0"/>
        <w:ind w:firstLine="480" w:firstLineChars="200"/>
        <w:rPr>
          <w:rFonts w:hAnsi="宋体"/>
          <w:b/>
          <w:bCs/>
          <w:szCs w:val="24"/>
          <w:shd w:val="clear" w:color="auto" w:fill="FFFFFF"/>
        </w:rPr>
      </w:pPr>
      <w:r>
        <w:rPr>
          <w:rFonts w:hint="eastAsia" w:hAnsi="宋体"/>
          <w:kern w:val="2"/>
          <w:szCs w:val="24"/>
        </w:rPr>
        <w:t>2、开标地点：</w:t>
      </w:r>
      <w:r>
        <w:rPr>
          <w:rFonts w:hint="eastAsia" w:hAnsi="宋体"/>
          <w:szCs w:val="24"/>
          <w:shd w:val="clear" w:color="auto" w:fill="FFFFFF"/>
        </w:rPr>
        <w:t>南通市崇川区石桥路333号</w:t>
      </w:r>
      <w:r>
        <w:rPr>
          <w:rFonts w:hint="eastAsia" w:hAnsi="宋体"/>
        </w:rPr>
        <w:t>南通通安聚龙银服科技有限公司</w:t>
      </w:r>
      <w:r>
        <w:rPr>
          <w:rFonts w:hint="eastAsia" w:hAnsi="宋体"/>
          <w:szCs w:val="24"/>
          <w:shd w:val="clear" w:color="auto" w:fill="FFFFFF"/>
        </w:rPr>
        <w:t>2楼会议室</w:t>
      </w:r>
      <w:r>
        <w:rPr>
          <w:rFonts w:hint="eastAsia" w:hAnsi="宋体"/>
          <w:kern w:val="2"/>
          <w:szCs w:val="24"/>
        </w:rPr>
        <w:t>。</w:t>
      </w:r>
    </w:p>
    <w:p>
      <w:pPr>
        <w:pStyle w:val="5"/>
        <w:adjustRightInd w:val="0"/>
        <w:snapToGrid w:val="0"/>
        <w:ind w:firstLine="482" w:firstLineChars="200"/>
        <w:rPr>
          <w:rFonts w:hAnsi="宋体"/>
          <w:b/>
          <w:bCs/>
          <w:szCs w:val="24"/>
          <w:shd w:val="clear" w:color="auto" w:fill="FFFFFF"/>
        </w:rPr>
      </w:pPr>
      <w:r>
        <w:rPr>
          <w:rFonts w:hint="eastAsia" w:hAnsi="宋体"/>
          <w:b/>
          <w:bCs/>
          <w:szCs w:val="24"/>
          <w:shd w:val="clear" w:color="auto" w:fill="FFFFFF"/>
        </w:rPr>
        <w:t>八、本项目中标人在领取中标通知书的同时，须向招标代理单位一次性支付招标代理服务费和评审费，否则取消其中标资格。招标代理服务费2500元，评审费暂估4900元，最终按实结算。投标人在报价时一并考虑，招标人不再另行支付任何费用。</w:t>
      </w:r>
    </w:p>
    <w:p>
      <w:pPr>
        <w:pStyle w:val="5"/>
        <w:adjustRightInd w:val="0"/>
        <w:snapToGrid w:val="0"/>
        <w:ind w:firstLine="482" w:firstLineChars="200"/>
        <w:rPr>
          <w:rFonts w:hAnsi="宋体"/>
          <w:b/>
          <w:bCs/>
          <w:szCs w:val="24"/>
          <w:shd w:val="clear" w:color="auto" w:fill="FFFFFF"/>
        </w:rPr>
      </w:pPr>
      <w:r>
        <w:rPr>
          <w:rFonts w:hint="eastAsia" w:hAnsi="宋体"/>
          <w:b/>
          <w:bCs/>
          <w:szCs w:val="24"/>
          <w:shd w:val="clear" w:color="auto" w:fill="FFFFFF"/>
        </w:rPr>
        <w:t>九、联系方式</w:t>
      </w:r>
    </w:p>
    <w:p>
      <w:pPr>
        <w:pStyle w:val="5"/>
        <w:adjustRightInd w:val="0"/>
        <w:snapToGrid w:val="0"/>
        <w:ind w:firstLine="480" w:firstLineChars="200"/>
        <w:rPr>
          <w:rFonts w:hint="eastAsia" w:hAnsi="宋体"/>
        </w:rPr>
      </w:pPr>
      <w:r>
        <w:rPr>
          <w:rFonts w:hint="eastAsia" w:hAnsi="宋体"/>
          <w:szCs w:val="24"/>
          <w:shd w:val="clear" w:color="auto" w:fill="FFFFFF"/>
        </w:rPr>
        <w:t>1、招标人：</w:t>
      </w:r>
      <w:r>
        <w:rPr>
          <w:rFonts w:hint="eastAsia" w:hAnsi="宋体"/>
        </w:rPr>
        <w:t>南通通安聚龙银服科技有限公司</w:t>
      </w:r>
    </w:p>
    <w:p>
      <w:pPr>
        <w:pStyle w:val="5"/>
        <w:adjustRightInd w:val="0"/>
        <w:snapToGrid w:val="0"/>
        <w:ind w:firstLine="480" w:firstLineChars="200"/>
        <w:rPr>
          <w:rFonts w:hAnsi="宋体"/>
          <w:szCs w:val="24"/>
          <w:shd w:val="clear" w:color="auto" w:fill="FFFFFF"/>
        </w:rPr>
      </w:pPr>
      <w:r>
        <w:rPr>
          <w:rFonts w:hint="eastAsia" w:hAnsi="宋体"/>
          <w:szCs w:val="24"/>
          <w:shd w:val="clear" w:color="auto" w:fill="FFFFFF"/>
        </w:rPr>
        <w:t>地 址：南通市崇川区石桥路333号</w:t>
      </w:r>
    </w:p>
    <w:p>
      <w:pPr>
        <w:pStyle w:val="5"/>
        <w:adjustRightInd w:val="0"/>
        <w:snapToGrid w:val="0"/>
        <w:ind w:firstLine="480" w:firstLineChars="200"/>
        <w:rPr>
          <w:rFonts w:hAnsi="宋体"/>
          <w:szCs w:val="24"/>
          <w:shd w:val="clear" w:color="auto" w:fill="FFFFFF"/>
        </w:rPr>
      </w:pPr>
      <w:r>
        <w:rPr>
          <w:rFonts w:hint="eastAsia" w:hAnsi="宋体"/>
          <w:szCs w:val="24"/>
          <w:shd w:val="clear" w:color="auto" w:fill="FFFFFF"/>
          <w:lang w:val="en-US" w:eastAsia="zh-CN"/>
        </w:rPr>
        <w:t>技术</w:t>
      </w:r>
      <w:r>
        <w:rPr>
          <w:rFonts w:hint="eastAsia" w:hAnsi="宋体"/>
          <w:szCs w:val="24"/>
          <w:shd w:val="clear" w:color="auto" w:fill="FFFFFF"/>
        </w:rPr>
        <w:t>联系人：穆先生</w:t>
      </w:r>
    </w:p>
    <w:p>
      <w:pPr>
        <w:pStyle w:val="5"/>
        <w:adjustRightInd w:val="0"/>
        <w:snapToGrid w:val="0"/>
        <w:ind w:firstLine="480" w:firstLineChars="200"/>
        <w:rPr>
          <w:rFonts w:hAnsi="宋体"/>
          <w:szCs w:val="24"/>
          <w:shd w:val="clear" w:color="auto" w:fill="FFFFFF"/>
        </w:rPr>
      </w:pPr>
      <w:r>
        <w:rPr>
          <w:rFonts w:hint="eastAsia" w:hAnsi="宋体"/>
          <w:szCs w:val="24"/>
          <w:shd w:val="clear" w:color="auto" w:fill="FFFFFF"/>
        </w:rPr>
        <w:t>联系方式：13238811667</w:t>
      </w:r>
    </w:p>
    <w:p>
      <w:pPr>
        <w:pStyle w:val="5"/>
        <w:adjustRightInd w:val="0"/>
        <w:snapToGrid w:val="0"/>
        <w:ind w:firstLine="480" w:firstLineChars="200"/>
        <w:rPr>
          <w:rFonts w:hAnsi="宋体"/>
          <w:szCs w:val="24"/>
          <w:shd w:val="clear" w:color="auto" w:fill="FFFFFF"/>
        </w:rPr>
      </w:pPr>
      <w:r>
        <w:rPr>
          <w:rFonts w:hint="eastAsia" w:hAnsi="宋体"/>
          <w:szCs w:val="24"/>
          <w:shd w:val="clear" w:color="auto" w:fill="FFFFFF"/>
        </w:rPr>
        <w:t>2、招标代理机构：中诚智信工程咨询集团股份有限公司</w:t>
      </w:r>
    </w:p>
    <w:p>
      <w:pPr>
        <w:pStyle w:val="5"/>
        <w:adjustRightInd w:val="0"/>
        <w:snapToGrid w:val="0"/>
        <w:ind w:firstLine="480" w:firstLineChars="200"/>
        <w:rPr>
          <w:rFonts w:hAnsi="宋体"/>
          <w:szCs w:val="24"/>
          <w:shd w:val="clear" w:color="auto" w:fill="FFFFFF"/>
        </w:rPr>
      </w:pPr>
      <w:r>
        <w:rPr>
          <w:rFonts w:hint="eastAsia" w:hAnsi="宋体"/>
          <w:szCs w:val="24"/>
          <w:shd w:val="clear" w:color="auto" w:fill="FFFFFF"/>
        </w:rPr>
        <w:t>地 址：南通市恒隆国际B座801室</w:t>
      </w:r>
    </w:p>
    <w:p>
      <w:pPr>
        <w:pStyle w:val="5"/>
        <w:adjustRightInd w:val="0"/>
        <w:snapToGrid w:val="0"/>
        <w:ind w:firstLine="480" w:firstLineChars="200"/>
        <w:rPr>
          <w:rFonts w:hAnsi="宋体"/>
          <w:szCs w:val="24"/>
          <w:shd w:val="clear" w:color="auto" w:fill="FFFFFF"/>
        </w:rPr>
      </w:pPr>
      <w:r>
        <w:rPr>
          <w:rFonts w:hint="eastAsia" w:hAnsi="宋体"/>
          <w:szCs w:val="24"/>
          <w:shd w:val="clear" w:color="auto" w:fill="FFFFFF"/>
        </w:rPr>
        <w:t>联系人：单舒</w:t>
      </w:r>
    </w:p>
    <w:p>
      <w:pPr>
        <w:pStyle w:val="5"/>
        <w:adjustRightInd w:val="0"/>
        <w:snapToGrid w:val="0"/>
        <w:ind w:firstLine="480" w:firstLineChars="200"/>
        <w:rPr>
          <w:rFonts w:hAnsi="宋体"/>
          <w:szCs w:val="24"/>
          <w:shd w:val="clear" w:color="auto" w:fill="FFFFFF"/>
        </w:rPr>
      </w:pPr>
      <w:r>
        <w:rPr>
          <w:rFonts w:hint="eastAsia" w:hAnsi="宋体"/>
          <w:szCs w:val="24"/>
          <w:shd w:val="clear" w:color="auto" w:fill="FFFFFF"/>
        </w:rPr>
        <w:t>联系电话：0513-85980007/13328094029</w:t>
      </w:r>
    </w:p>
    <w:p>
      <w:pPr>
        <w:pStyle w:val="5"/>
        <w:adjustRightInd w:val="0"/>
        <w:snapToGrid w:val="0"/>
        <w:ind w:firstLine="480" w:firstLineChars="200"/>
        <w:rPr>
          <w:rFonts w:hAnsi="宋体"/>
          <w:szCs w:val="24"/>
          <w:shd w:val="clear" w:color="auto" w:fill="FFFFFF"/>
        </w:rPr>
      </w:pPr>
    </w:p>
    <w:p>
      <w:pPr>
        <w:widowControl/>
        <w:shd w:val="clear" w:color="auto" w:fill="FFFFFF"/>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p>
    <w:p>
      <w:pPr>
        <w:widowControl/>
        <w:jc w:val="left"/>
        <w:rPr>
          <w:rFonts w:ascii="宋体" w:hAnsi="宋体"/>
          <w:b/>
          <w:bCs/>
          <w:sz w:val="32"/>
          <w:szCs w:val="32"/>
        </w:rPr>
      </w:pPr>
      <w:r>
        <w:rPr>
          <w:rFonts w:hint="eastAsia" w:ascii="宋体" w:hAnsi="宋体"/>
          <w:b/>
          <w:bCs/>
          <w:sz w:val="32"/>
          <w:szCs w:val="32"/>
        </w:rPr>
        <w:br w:type="page"/>
      </w:r>
    </w:p>
    <w:p>
      <w:pPr>
        <w:adjustRightInd w:val="0"/>
        <w:snapToGrid w:val="0"/>
        <w:spacing w:before="156" w:beforeLines="50" w:after="156" w:afterLines="50" w:line="360" w:lineRule="auto"/>
        <w:jc w:val="center"/>
        <w:rPr>
          <w:rFonts w:ascii="宋体" w:hAnsi="宋体"/>
          <w:b/>
          <w:bCs/>
          <w:sz w:val="32"/>
          <w:szCs w:val="32"/>
        </w:rPr>
      </w:pPr>
      <w:r>
        <w:rPr>
          <w:rFonts w:hint="eastAsia" w:ascii="宋体" w:hAnsi="宋体"/>
          <w:b/>
          <w:bCs/>
          <w:sz w:val="32"/>
          <w:szCs w:val="32"/>
        </w:rPr>
        <w:t>第二章  招标须知</w:t>
      </w:r>
    </w:p>
    <w:p>
      <w:pPr>
        <w:adjustRightInd w:val="0"/>
        <w:snapToGrid w:val="0"/>
        <w:spacing w:line="360" w:lineRule="auto"/>
        <w:ind w:firstLine="482" w:firstLineChars="200"/>
        <w:rPr>
          <w:rFonts w:ascii="宋体" w:hAnsi="宋体"/>
          <w:b/>
          <w:bCs/>
          <w:sz w:val="24"/>
        </w:rPr>
      </w:pPr>
      <w:bookmarkStart w:id="0" w:name="_Toc120614215"/>
      <w:bookmarkStart w:id="1" w:name="_Toc513029209"/>
      <w:bookmarkStart w:id="2" w:name="_Toc20823281"/>
      <w:bookmarkStart w:id="3" w:name="_Toc16938525"/>
      <w:r>
        <w:rPr>
          <w:rFonts w:hint="eastAsia" w:ascii="宋体" w:hAnsi="宋体"/>
          <w:b/>
          <w:bCs/>
          <w:sz w:val="24"/>
        </w:rPr>
        <w:t>一、</w:t>
      </w:r>
      <w:bookmarkEnd w:id="0"/>
      <w:bookmarkEnd w:id="1"/>
      <w:bookmarkEnd w:id="2"/>
      <w:bookmarkEnd w:id="3"/>
      <w:r>
        <w:rPr>
          <w:rFonts w:hint="eastAsia" w:ascii="宋体" w:hAnsi="宋体"/>
          <w:b/>
          <w:bCs/>
          <w:sz w:val="24"/>
        </w:rPr>
        <w:t>招标文件</w:t>
      </w:r>
    </w:p>
    <w:p>
      <w:pPr>
        <w:adjustRightInd w:val="0"/>
        <w:snapToGrid w:val="0"/>
        <w:spacing w:line="360" w:lineRule="auto"/>
        <w:ind w:firstLine="480" w:firstLineChars="200"/>
        <w:rPr>
          <w:rFonts w:ascii="宋体" w:hAnsi="宋体"/>
          <w:sz w:val="24"/>
        </w:rPr>
      </w:pPr>
      <w:bookmarkStart w:id="4" w:name="_Toc513029210"/>
      <w:bookmarkStart w:id="5" w:name="_Toc16938526"/>
      <w:bookmarkStart w:id="6" w:name="_Toc20823282"/>
      <w:r>
        <w:rPr>
          <w:rFonts w:hint="eastAsia" w:ascii="宋体" w:hAnsi="宋体"/>
          <w:sz w:val="24"/>
        </w:rPr>
        <w:t>1、招标文件构成</w:t>
      </w:r>
      <w:bookmarkEnd w:id="4"/>
      <w:bookmarkEnd w:id="5"/>
      <w:bookmarkEnd w:id="6"/>
    </w:p>
    <w:p>
      <w:pPr>
        <w:adjustRightInd w:val="0"/>
        <w:snapToGrid w:val="0"/>
        <w:spacing w:line="360" w:lineRule="auto"/>
        <w:ind w:firstLine="480" w:firstLineChars="200"/>
        <w:rPr>
          <w:rFonts w:ascii="宋体" w:hAnsi="宋体"/>
          <w:sz w:val="24"/>
        </w:rPr>
      </w:pPr>
      <w:r>
        <w:rPr>
          <w:rFonts w:hint="eastAsia" w:ascii="宋体" w:hAnsi="宋体"/>
          <w:sz w:val="24"/>
        </w:rPr>
        <w:t>1.1 招标文件由以下部分组成：</w:t>
      </w:r>
    </w:p>
    <w:p>
      <w:pPr>
        <w:adjustRightInd w:val="0"/>
        <w:snapToGrid w:val="0"/>
        <w:spacing w:line="360" w:lineRule="auto"/>
        <w:ind w:firstLine="480" w:firstLineChars="200"/>
        <w:rPr>
          <w:rFonts w:ascii="宋体" w:hAnsi="宋体"/>
          <w:sz w:val="24"/>
        </w:rPr>
      </w:pPr>
      <w:r>
        <w:rPr>
          <w:rFonts w:hint="eastAsia" w:ascii="宋体" w:hAnsi="宋体"/>
          <w:sz w:val="24"/>
        </w:rPr>
        <w:t>（1）招标公告</w:t>
      </w:r>
    </w:p>
    <w:p>
      <w:pPr>
        <w:adjustRightInd w:val="0"/>
        <w:snapToGrid w:val="0"/>
        <w:spacing w:line="360" w:lineRule="auto"/>
        <w:ind w:firstLine="480" w:firstLineChars="200"/>
        <w:rPr>
          <w:rFonts w:ascii="宋体" w:hAnsi="宋体"/>
          <w:sz w:val="24"/>
        </w:rPr>
      </w:pPr>
      <w:r>
        <w:rPr>
          <w:rFonts w:hint="eastAsia" w:ascii="宋体" w:hAnsi="宋体"/>
          <w:sz w:val="24"/>
        </w:rPr>
        <w:t>（2）投标须知</w:t>
      </w:r>
    </w:p>
    <w:p>
      <w:pPr>
        <w:adjustRightInd w:val="0"/>
        <w:snapToGrid w:val="0"/>
        <w:spacing w:line="360" w:lineRule="auto"/>
        <w:ind w:firstLine="480" w:firstLineChars="200"/>
        <w:rPr>
          <w:rFonts w:ascii="宋体" w:hAnsi="宋体"/>
          <w:sz w:val="24"/>
        </w:rPr>
      </w:pPr>
      <w:r>
        <w:rPr>
          <w:rFonts w:hint="eastAsia" w:ascii="宋体" w:hAnsi="宋体"/>
          <w:sz w:val="24"/>
        </w:rPr>
        <w:t>（3）评标办法</w:t>
      </w:r>
    </w:p>
    <w:p>
      <w:pPr>
        <w:adjustRightInd w:val="0"/>
        <w:snapToGrid w:val="0"/>
        <w:spacing w:line="360" w:lineRule="auto"/>
        <w:ind w:firstLine="480" w:firstLineChars="200"/>
        <w:rPr>
          <w:rFonts w:ascii="宋体" w:hAnsi="宋体"/>
          <w:sz w:val="24"/>
        </w:rPr>
      </w:pPr>
      <w:r>
        <w:rPr>
          <w:rFonts w:hint="eastAsia" w:ascii="宋体" w:hAnsi="宋体"/>
          <w:sz w:val="24"/>
        </w:rPr>
        <w:t>（4）项目需求</w:t>
      </w:r>
    </w:p>
    <w:p>
      <w:pPr>
        <w:adjustRightInd w:val="0"/>
        <w:snapToGrid w:val="0"/>
        <w:spacing w:line="360" w:lineRule="auto"/>
        <w:ind w:firstLine="480" w:firstLineChars="200"/>
        <w:rPr>
          <w:rFonts w:ascii="宋体" w:hAnsi="宋体"/>
          <w:sz w:val="24"/>
        </w:rPr>
      </w:pPr>
      <w:r>
        <w:rPr>
          <w:rFonts w:hint="eastAsia" w:ascii="宋体" w:hAnsi="宋体"/>
          <w:sz w:val="24"/>
        </w:rPr>
        <w:t>（5）投标文件格式</w:t>
      </w:r>
    </w:p>
    <w:p>
      <w:pPr>
        <w:adjustRightInd w:val="0"/>
        <w:snapToGrid w:val="0"/>
        <w:spacing w:line="360" w:lineRule="auto"/>
        <w:ind w:firstLine="480" w:firstLineChars="200"/>
        <w:rPr>
          <w:rFonts w:ascii="宋体" w:hAnsi="宋体"/>
          <w:sz w:val="24"/>
        </w:rPr>
      </w:pPr>
      <w:r>
        <w:rPr>
          <w:rFonts w:hint="eastAsia" w:ascii="宋体" w:hAnsi="宋体"/>
          <w:sz w:val="24"/>
        </w:rPr>
        <w:t>请仔细检查招标文件是否齐全，如有缺漏请立即与招标人或代理机构联系解决。</w:t>
      </w:r>
    </w:p>
    <w:p>
      <w:pPr>
        <w:adjustRightInd w:val="0"/>
        <w:snapToGrid w:val="0"/>
        <w:spacing w:line="360" w:lineRule="auto"/>
        <w:ind w:firstLine="480" w:firstLineChars="200"/>
        <w:rPr>
          <w:rFonts w:ascii="宋体" w:hAnsi="宋体"/>
          <w:sz w:val="24"/>
        </w:rPr>
      </w:pPr>
      <w:r>
        <w:rPr>
          <w:rFonts w:hint="eastAsia" w:ascii="宋体" w:hAnsi="宋体"/>
          <w:sz w:val="24"/>
        </w:rPr>
        <w:t>1.2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djustRightInd w:val="0"/>
        <w:snapToGrid w:val="0"/>
        <w:spacing w:line="360" w:lineRule="auto"/>
        <w:ind w:firstLine="480" w:firstLineChars="200"/>
        <w:rPr>
          <w:rFonts w:ascii="宋体" w:hAnsi="宋体"/>
          <w:sz w:val="24"/>
        </w:rPr>
      </w:pPr>
      <w:bookmarkStart w:id="7" w:name="_Toc16938527"/>
      <w:bookmarkStart w:id="8" w:name="_Toc20823283"/>
      <w:bookmarkStart w:id="9" w:name="_Toc462564070"/>
      <w:bookmarkStart w:id="10" w:name="_Toc513029211"/>
      <w:r>
        <w:rPr>
          <w:rFonts w:hint="eastAsia" w:ascii="宋体" w:hAnsi="宋体"/>
          <w:sz w:val="24"/>
        </w:rPr>
        <w:t>2、招标文件的澄清</w:t>
      </w:r>
      <w:bookmarkEnd w:id="7"/>
      <w:bookmarkEnd w:id="8"/>
      <w:bookmarkEnd w:id="9"/>
      <w:bookmarkEnd w:id="10"/>
    </w:p>
    <w:p>
      <w:pPr>
        <w:adjustRightInd w:val="0"/>
        <w:snapToGrid w:val="0"/>
        <w:spacing w:line="360" w:lineRule="auto"/>
        <w:ind w:firstLine="480" w:firstLineChars="200"/>
        <w:rPr>
          <w:rFonts w:ascii="宋体" w:hAnsi="宋体"/>
          <w:sz w:val="24"/>
        </w:rPr>
      </w:pPr>
      <w:r>
        <w:rPr>
          <w:rFonts w:hint="eastAsia" w:ascii="宋体" w:hAnsi="宋体"/>
          <w:sz w:val="24"/>
        </w:rPr>
        <w:t>2.1任何要求对招标文件进行澄清的投标人，应于</w:t>
      </w:r>
      <w:r>
        <w:rPr>
          <w:rFonts w:hint="eastAsia" w:ascii="宋体" w:hAnsi="宋体"/>
          <w:sz w:val="24"/>
          <w:highlight w:val="none"/>
        </w:rPr>
        <w:t>2024年</w:t>
      </w:r>
      <w:r>
        <w:rPr>
          <w:rFonts w:hint="eastAsia" w:ascii="宋体" w:hAnsi="宋体"/>
          <w:sz w:val="24"/>
          <w:highlight w:val="none"/>
          <w:lang w:val="en-US" w:eastAsia="zh-CN"/>
        </w:rPr>
        <w:t>05</w:t>
      </w:r>
      <w:r>
        <w:rPr>
          <w:rFonts w:hint="eastAsia" w:ascii="宋体" w:hAnsi="宋体"/>
          <w:sz w:val="24"/>
          <w:highlight w:val="none"/>
        </w:rPr>
        <w:t xml:space="preserve">月 </w:t>
      </w:r>
      <w:r>
        <w:rPr>
          <w:rFonts w:hint="eastAsia" w:ascii="宋体" w:hAnsi="宋体"/>
          <w:sz w:val="24"/>
          <w:highlight w:val="none"/>
          <w:lang w:val="en-US" w:eastAsia="zh-CN"/>
        </w:rPr>
        <w:t>31</w:t>
      </w:r>
      <w:r>
        <w:rPr>
          <w:rFonts w:hint="eastAsia" w:ascii="宋体" w:hAnsi="宋体"/>
          <w:sz w:val="24"/>
          <w:highlight w:val="none"/>
        </w:rPr>
        <w:t>日17:0</w:t>
      </w:r>
      <w:r>
        <w:rPr>
          <w:rFonts w:hint="eastAsia" w:ascii="宋体" w:hAnsi="宋体"/>
          <w:sz w:val="24"/>
        </w:rPr>
        <w:t>0之前以邮件形式发送至如下邮箱1010491310@qq.com，否则招标人可以不作回复。</w:t>
      </w:r>
    </w:p>
    <w:p>
      <w:pPr>
        <w:adjustRightInd w:val="0"/>
        <w:snapToGrid w:val="0"/>
        <w:spacing w:line="360" w:lineRule="auto"/>
        <w:ind w:firstLine="480" w:firstLineChars="200"/>
        <w:outlineLvl w:val="3"/>
        <w:rPr>
          <w:rFonts w:ascii="宋体" w:hAnsi="宋体"/>
          <w:sz w:val="24"/>
        </w:rPr>
      </w:pPr>
      <w:bookmarkStart w:id="11" w:name="_Toc462564071"/>
      <w:bookmarkStart w:id="12" w:name="_Toc20823284"/>
      <w:bookmarkStart w:id="13" w:name="_Toc513029212"/>
      <w:bookmarkStart w:id="14" w:name="_Toc16938528"/>
      <w:r>
        <w:rPr>
          <w:rFonts w:hint="eastAsia" w:ascii="宋体" w:hAnsi="宋体"/>
          <w:sz w:val="24"/>
        </w:rPr>
        <w:t>3、招标文件的解释</w:t>
      </w:r>
    </w:p>
    <w:p>
      <w:pPr>
        <w:adjustRightInd w:val="0"/>
        <w:snapToGrid w:val="0"/>
        <w:spacing w:line="360" w:lineRule="auto"/>
        <w:ind w:firstLine="480" w:firstLineChars="200"/>
        <w:rPr>
          <w:rFonts w:ascii="宋体" w:hAnsi="宋体"/>
          <w:sz w:val="24"/>
        </w:rPr>
      </w:pPr>
      <w:r>
        <w:rPr>
          <w:rFonts w:hint="eastAsia" w:ascii="宋体" w:hAnsi="宋体"/>
          <w:bCs/>
          <w:sz w:val="24"/>
        </w:rPr>
        <w:t>3.1</w:t>
      </w:r>
      <w:r>
        <w:rPr>
          <w:rFonts w:hint="eastAsia" w:ascii="宋体" w:hAnsi="宋体"/>
          <w:sz w:val="24"/>
        </w:rPr>
        <w:t>招标文件需求部分（投标人资格要求、项目需求、商务技术评分标准）由招标人解释，其它部分由代理机构解释。</w:t>
      </w:r>
    </w:p>
    <w:p>
      <w:pPr>
        <w:adjustRightInd w:val="0"/>
        <w:snapToGrid w:val="0"/>
        <w:spacing w:line="360" w:lineRule="auto"/>
        <w:ind w:firstLine="480" w:firstLineChars="200"/>
        <w:rPr>
          <w:rFonts w:ascii="宋体" w:hAnsi="宋体"/>
          <w:sz w:val="24"/>
        </w:rPr>
      </w:pPr>
      <w:r>
        <w:rPr>
          <w:rFonts w:hint="eastAsia" w:ascii="宋体" w:hAnsi="宋体"/>
          <w:sz w:val="24"/>
        </w:rPr>
        <w:t>4、招标文件的修改</w:t>
      </w:r>
      <w:bookmarkEnd w:id="11"/>
      <w:bookmarkEnd w:id="12"/>
      <w:bookmarkEnd w:id="13"/>
      <w:bookmarkEnd w:id="14"/>
    </w:p>
    <w:p>
      <w:pPr>
        <w:adjustRightInd w:val="0"/>
        <w:snapToGrid w:val="0"/>
        <w:spacing w:line="360" w:lineRule="auto"/>
        <w:ind w:firstLine="480" w:firstLineChars="200"/>
        <w:rPr>
          <w:rFonts w:ascii="宋体" w:hAnsi="宋体"/>
          <w:sz w:val="24"/>
        </w:rPr>
      </w:pPr>
      <w:r>
        <w:rPr>
          <w:rFonts w:hint="eastAsia" w:ascii="宋体" w:hAnsi="宋体"/>
          <w:sz w:val="24"/>
        </w:rPr>
        <w:t>4.1 在投标截止时间前，招标人可以对招标文件进行修改。</w:t>
      </w:r>
    </w:p>
    <w:p>
      <w:pPr>
        <w:adjustRightInd w:val="0"/>
        <w:snapToGrid w:val="0"/>
        <w:spacing w:line="360" w:lineRule="auto"/>
        <w:ind w:firstLine="480" w:firstLineChars="200"/>
        <w:rPr>
          <w:rFonts w:ascii="宋体" w:hAnsi="宋体"/>
          <w:sz w:val="24"/>
        </w:rPr>
      </w:pPr>
      <w:r>
        <w:rPr>
          <w:rFonts w:hint="eastAsia" w:ascii="宋体" w:hAnsi="宋体"/>
          <w:sz w:val="24"/>
        </w:rPr>
        <w:t>4.2 招标人有权按照法定的要求推迟投标截止日期和开标日期。</w:t>
      </w:r>
    </w:p>
    <w:p>
      <w:pPr>
        <w:adjustRightInd w:val="0"/>
        <w:snapToGrid w:val="0"/>
        <w:spacing w:line="360" w:lineRule="auto"/>
        <w:ind w:firstLine="480" w:firstLineChars="200"/>
        <w:rPr>
          <w:rFonts w:ascii="宋体" w:hAnsi="宋体"/>
          <w:sz w:val="24"/>
        </w:rPr>
      </w:pPr>
      <w:r>
        <w:rPr>
          <w:rFonts w:hint="eastAsia" w:ascii="宋体" w:hAnsi="宋体"/>
          <w:sz w:val="24"/>
        </w:rPr>
        <w:t>4.3 招标文件的修改将作为招标文件的组成部分，并对投标人具有约束力。</w:t>
      </w:r>
    </w:p>
    <w:p>
      <w:pPr>
        <w:adjustRightInd w:val="0"/>
        <w:snapToGrid w:val="0"/>
        <w:spacing w:line="360" w:lineRule="auto"/>
        <w:ind w:firstLine="482" w:firstLineChars="200"/>
        <w:rPr>
          <w:rFonts w:ascii="宋体" w:hAnsi="宋体"/>
          <w:b/>
          <w:bCs/>
          <w:sz w:val="24"/>
        </w:rPr>
      </w:pPr>
      <w:bookmarkStart w:id="15" w:name="_Toc16938529"/>
      <w:bookmarkStart w:id="16" w:name="_Toc20823285"/>
      <w:bookmarkStart w:id="17" w:name="_Toc513029213"/>
      <w:bookmarkStart w:id="18" w:name="_Toc120614216"/>
      <w:bookmarkStart w:id="19" w:name="_Toc462564072"/>
      <w:r>
        <w:rPr>
          <w:rFonts w:hint="eastAsia" w:ascii="宋体" w:hAnsi="宋体"/>
          <w:b/>
          <w:bCs/>
          <w:sz w:val="24"/>
        </w:rPr>
        <w:t>二、投标文件的编制</w:t>
      </w:r>
      <w:bookmarkEnd w:id="15"/>
      <w:bookmarkEnd w:id="16"/>
      <w:bookmarkEnd w:id="17"/>
      <w:bookmarkEnd w:id="18"/>
      <w:bookmarkEnd w:id="19"/>
    </w:p>
    <w:p>
      <w:pPr>
        <w:adjustRightInd w:val="0"/>
        <w:snapToGrid w:val="0"/>
        <w:spacing w:line="360" w:lineRule="auto"/>
        <w:ind w:firstLine="480" w:firstLineChars="200"/>
        <w:rPr>
          <w:rFonts w:ascii="宋体" w:hAnsi="宋体"/>
          <w:sz w:val="24"/>
        </w:rPr>
      </w:pPr>
      <w:bookmarkStart w:id="20" w:name="_Toc20823286"/>
      <w:bookmarkStart w:id="21" w:name="_Toc16938530"/>
      <w:bookmarkStart w:id="22" w:name="_Toc513029214"/>
      <w:bookmarkStart w:id="23" w:name="_Toc462564073"/>
      <w:r>
        <w:rPr>
          <w:rFonts w:hint="eastAsia" w:ascii="宋体" w:hAnsi="宋体"/>
          <w:sz w:val="24"/>
        </w:rPr>
        <w:t>1、投标文件的语言及度量衡单位</w:t>
      </w:r>
      <w:bookmarkEnd w:id="20"/>
      <w:bookmarkEnd w:id="21"/>
      <w:bookmarkEnd w:id="22"/>
      <w:bookmarkEnd w:id="23"/>
    </w:p>
    <w:p>
      <w:pPr>
        <w:adjustRightInd w:val="0"/>
        <w:snapToGrid w:val="0"/>
        <w:spacing w:line="360" w:lineRule="auto"/>
        <w:ind w:firstLine="480" w:firstLineChars="200"/>
        <w:rPr>
          <w:rFonts w:ascii="宋体" w:hAnsi="宋体"/>
          <w:sz w:val="24"/>
        </w:rPr>
      </w:pPr>
      <w:r>
        <w:rPr>
          <w:rFonts w:hint="eastAsia" w:ascii="宋体" w:hAnsi="宋体"/>
          <w:sz w:val="24"/>
        </w:rPr>
        <w:t>1.1 投标人提交的投标文件以及投标人与招标人就有关招标的所有来往通知、函件和文件均应使用简体中文。</w:t>
      </w:r>
    </w:p>
    <w:p>
      <w:pPr>
        <w:adjustRightInd w:val="0"/>
        <w:snapToGrid w:val="0"/>
        <w:spacing w:line="360" w:lineRule="auto"/>
        <w:ind w:firstLine="480" w:firstLineChars="200"/>
        <w:rPr>
          <w:rFonts w:ascii="宋体" w:hAnsi="宋体"/>
          <w:sz w:val="24"/>
        </w:rPr>
      </w:pPr>
      <w:r>
        <w:rPr>
          <w:rFonts w:hint="eastAsia" w:ascii="宋体" w:hAnsi="宋体"/>
          <w:sz w:val="24"/>
        </w:rPr>
        <w:t>1.2 除技术性能另有规定外，投标文件所使用的度量衡单位，均须采用国家法定计量单位。</w:t>
      </w:r>
    </w:p>
    <w:p>
      <w:pPr>
        <w:adjustRightInd w:val="0"/>
        <w:snapToGrid w:val="0"/>
        <w:spacing w:line="360" w:lineRule="auto"/>
        <w:ind w:firstLine="480" w:firstLineChars="200"/>
        <w:rPr>
          <w:rFonts w:ascii="宋体" w:hAnsi="宋体"/>
          <w:sz w:val="24"/>
        </w:rPr>
      </w:pPr>
      <w:bookmarkStart w:id="24" w:name="_Hlt26954838"/>
      <w:bookmarkEnd w:id="24"/>
      <w:bookmarkStart w:id="25" w:name="_Hlt26668975"/>
      <w:bookmarkEnd w:id="25"/>
      <w:bookmarkStart w:id="26" w:name="_Hlt26670360"/>
      <w:bookmarkEnd w:id="26"/>
      <w:bookmarkStart w:id="27" w:name="_Toc14577360"/>
      <w:bookmarkStart w:id="28" w:name="_Toc49090511"/>
      <w:r>
        <w:rPr>
          <w:rFonts w:hint="eastAsia" w:ascii="宋体" w:hAnsi="宋体"/>
          <w:sz w:val="24"/>
        </w:rPr>
        <w:t>2、投标文件要求</w:t>
      </w:r>
    </w:p>
    <w:p>
      <w:pPr>
        <w:pStyle w:val="5"/>
        <w:adjustRightInd w:val="0"/>
        <w:snapToGrid w:val="0"/>
        <w:ind w:firstLine="480" w:firstLineChars="200"/>
        <w:rPr>
          <w:rFonts w:hAnsi="宋体"/>
          <w:kern w:val="2"/>
          <w:szCs w:val="24"/>
        </w:rPr>
      </w:pPr>
      <w:r>
        <w:rPr>
          <w:rFonts w:hint="eastAsia" w:hAnsi="宋体"/>
          <w:kern w:val="2"/>
          <w:szCs w:val="24"/>
        </w:rPr>
        <w:t>2.1投标文件组成</w:t>
      </w:r>
    </w:p>
    <w:p>
      <w:pPr>
        <w:pStyle w:val="5"/>
        <w:adjustRightInd w:val="0"/>
        <w:snapToGrid w:val="0"/>
        <w:ind w:firstLine="480" w:firstLineChars="200"/>
        <w:rPr>
          <w:rFonts w:hAnsi="宋体"/>
          <w:kern w:val="2"/>
          <w:szCs w:val="24"/>
        </w:rPr>
      </w:pPr>
      <w:r>
        <w:rPr>
          <w:rFonts w:hint="eastAsia" w:hAnsi="宋体"/>
          <w:kern w:val="2"/>
          <w:szCs w:val="24"/>
        </w:rPr>
        <w:t>2.1.1资格技术审查部分</w:t>
      </w:r>
    </w:p>
    <w:p>
      <w:pPr>
        <w:spacing w:line="360" w:lineRule="auto"/>
        <w:ind w:firstLine="480" w:firstLineChars="200"/>
        <w:rPr>
          <w:rFonts w:ascii="宋体" w:hAnsi="宋体"/>
          <w:sz w:val="24"/>
        </w:rPr>
      </w:pPr>
      <w:r>
        <w:rPr>
          <w:rFonts w:hint="eastAsia" w:ascii="宋体" w:hAnsi="宋体"/>
          <w:sz w:val="24"/>
        </w:rPr>
        <w:t>（1）法定代表人身份证明书；</w:t>
      </w:r>
    </w:p>
    <w:p>
      <w:pPr>
        <w:spacing w:line="360" w:lineRule="auto"/>
        <w:ind w:firstLine="480" w:firstLineChars="200"/>
        <w:rPr>
          <w:rFonts w:ascii="宋体" w:hAnsi="宋体"/>
          <w:sz w:val="24"/>
        </w:rPr>
      </w:pPr>
      <w:r>
        <w:rPr>
          <w:rFonts w:hint="eastAsia" w:ascii="宋体" w:hAnsi="宋体"/>
          <w:sz w:val="24"/>
        </w:rPr>
        <w:t>（2）法定代表人授权委托书；</w:t>
      </w:r>
    </w:p>
    <w:p>
      <w:pPr>
        <w:pStyle w:val="5"/>
        <w:adjustRightInd w:val="0"/>
        <w:snapToGrid w:val="0"/>
        <w:ind w:firstLine="480" w:firstLineChars="200"/>
        <w:rPr>
          <w:rFonts w:hAnsi="宋体"/>
          <w:kern w:val="2"/>
          <w:szCs w:val="24"/>
        </w:rPr>
      </w:pPr>
      <w:r>
        <w:rPr>
          <w:rFonts w:hint="eastAsia" w:hAnsi="宋体"/>
          <w:kern w:val="2"/>
          <w:szCs w:val="24"/>
        </w:rPr>
        <w:t>（3）投标人企业法人营业执照；</w:t>
      </w:r>
    </w:p>
    <w:p>
      <w:pPr>
        <w:pStyle w:val="5"/>
        <w:adjustRightInd w:val="0"/>
        <w:snapToGrid w:val="0"/>
        <w:ind w:firstLine="480" w:firstLineChars="200"/>
        <w:rPr>
          <w:rFonts w:hAnsi="宋体"/>
          <w:kern w:val="2"/>
          <w:szCs w:val="24"/>
        </w:rPr>
      </w:pPr>
      <w:r>
        <w:rPr>
          <w:rFonts w:hint="eastAsia" w:hAnsi="宋体"/>
          <w:kern w:val="2"/>
          <w:szCs w:val="24"/>
        </w:rPr>
        <w:t>（4）承诺书；</w:t>
      </w:r>
    </w:p>
    <w:p>
      <w:pPr>
        <w:pStyle w:val="5"/>
        <w:adjustRightInd w:val="0"/>
        <w:snapToGrid w:val="0"/>
        <w:ind w:firstLine="480" w:firstLineChars="200"/>
        <w:rPr>
          <w:rFonts w:hAnsi="宋体"/>
          <w:kern w:val="2"/>
          <w:szCs w:val="24"/>
        </w:rPr>
      </w:pPr>
      <w:r>
        <w:rPr>
          <w:rFonts w:hint="eastAsia" w:hAnsi="宋体"/>
          <w:kern w:val="2"/>
          <w:szCs w:val="24"/>
        </w:rPr>
        <w:t>（5）技术偏离表（详见第四章）；</w:t>
      </w:r>
    </w:p>
    <w:p>
      <w:pPr>
        <w:pStyle w:val="5"/>
        <w:adjustRightInd w:val="0"/>
        <w:snapToGrid w:val="0"/>
        <w:ind w:firstLine="480" w:firstLineChars="200"/>
        <w:rPr>
          <w:rFonts w:hAnsi="宋体"/>
          <w:kern w:val="2"/>
          <w:szCs w:val="24"/>
        </w:rPr>
      </w:pPr>
      <w:r>
        <w:rPr>
          <w:rFonts w:hint="eastAsia" w:hAnsi="宋体"/>
          <w:kern w:val="2"/>
          <w:szCs w:val="24"/>
        </w:rPr>
        <w:t>（6）按照技术标评分细则提供。</w:t>
      </w:r>
    </w:p>
    <w:p>
      <w:pPr>
        <w:pStyle w:val="5"/>
        <w:adjustRightInd w:val="0"/>
        <w:snapToGrid w:val="0"/>
        <w:ind w:firstLine="480" w:firstLineChars="200"/>
        <w:rPr>
          <w:rFonts w:hAnsi="宋体"/>
          <w:kern w:val="2"/>
          <w:szCs w:val="24"/>
        </w:rPr>
      </w:pPr>
      <w:r>
        <w:rPr>
          <w:rFonts w:hint="eastAsia" w:hAnsi="宋体"/>
          <w:kern w:val="2"/>
          <w:szCs w:val="24"/>
        </w:rPr>
        <w:t>2.1.2商务标文件</w:t>
      </w:r>
    </w:p>
    <w:p>
      <w:pPr>
        <w:pStyle w:val="5"/>
        <w:numPr>
          <w:ilvl w:val="0"/>
          <w:numId w:val="1"/>
        </w:numPr>
        <w:adjustRightInd w:val="0"/>
        <w:snapToGrid w:val="0"/>
        <w:ind w:firstLine="480" w:firstLineChars="200"/>
        <w:rPr>
          <w:rFonts w:hAnsi="宋体"/>
          <w:kern w:val="2"/>
          <w:szCs w:val="24"/>
        </w:rPr>
      </w:pPr>
      <w:r>
        <w:rPr>
          <w:rFonts w:hint="eastAsia" w:hAnsi="宋体"/>
          <w:kern w:val="2"/>
          <w:szCs w:val="24"/>
        </w:rPr>
        <w:t>报价响应函；</w:t>
      </w:r>
    </w:p>
    <w:p>
      <w:pPr>
        <w:pStyle w:val="5"/>
        <w:numPr>
          <w:ilvl w:val="0"/>
          <w:numId w:val="1"/>
        </w:numPr>
        <w:adjustRightInd w:val="0"/>
        <w:snapToGrid w:val="0"/>
        <w:ind w:firstLine="480" w:firstLineChars="200"/>
        <w:rPr>
          <w:rFonts w:hAnsi="宋体"/>
          <w:kern w:val="2"/>
          <w:szCs w:val="24"/>
        </w:rPr>
      </w:pPr>
      <w:r>
        <w:rPr>
          <w:rFonts w:hint="eastAsia" w:hAnsi="宋体"/>
          <w:kern w:val="2"/>
          <w:szCs w:val="24"/>
        </w:rPr>
        <w:t>报价表（详见第四章）；</w:t>
      </w:r>
    </w:p>
    <w:p>
      <w:pPr>
        <w:pStyle w:val="5"/>
        <w:adjustRightInd w:val="0"/>
        <w:snapToGrid w:val="0"/>
        <w:ind w:firstLine="480" w:firstLineChars="200"/>
        <w:rPr>
          <w:rFonts w:hAnsi="宋体"/>
          <w:kern w:val="2"/>
          <w:szCs w:val="24"/>
        </w:rPr>
      </w:pPr>
      <w:r>
        <w:rPr>
          <w:rFonts w:hint="eastAsia" w:hAnsi="宋体"/>
          <w:kern w:val="2"/>
          <w:szCs w:val="24"/>
        </w:rPr>
        <w:t>（3）分项报价明细表（格式自拟）。</w:t>
      </w:r>
    </w:p>
    <w:p>
      <w:pPr>
        <w:pStyle w:val="5"/>
        <w:adjustRightInd w:val="0"/>
        <w:snapToGrid w:val="0"/>
        <w:ind w:firstLine="480" w:firstLineChars="200"/>
        <w:rPr>
          <w:rFonts w:hAnsi="宋体"/>
          <w:kern w:val="2"/>
          <w:szCs w:val="24"/>
        </w:rPr>
      </w:pPr>
      <w:r>
        <w:rPr>
          <w:rFonts w:hint="eastAsia" w:hAnsi="宋体"/>
          <w:kern w:val="2"/>
          <w:szCs w:val="24"/>
        </w:rPr>
        <w:t>2.2投标文件装订及份数</w:t>
      </w:r>
    </w:p>
    <w:p>
      <w:pPr>
        <w:pStyle w:val="5"/>
        <w:adjustRightInd w:val="0"/>
        <w:snapToGrid w:val="0"/>
        <w:ind w:firstLine="480" w:firstLineChars="200"/>
        <w:rPr>
          <w:rFonts w:hAnsi="宋体"/>
          <w:kern w:val="2"/>
          <w:szCs w:val="24"/>
        </w:rPr>
      </w:pPr>
      <w:r>
        <w:rPr>
          <w:rFonts w:hint="eastAsia" w:hAnsi="宋体"/>
          <w:kern w:val="2"/>
          <w:szCs w:val="24"/>
        </w:rPr>
        <w:t>投标文件分册装订，第一册为“资格技术审查文件”、第二册为“商务标文件”。所有文件正本1份，副本4份。所有投标文件不予退还。正本与副本不一致的以正本为准。</w:t>
      </w:r>
    </w:p>
    <w:p>
      <w:pPr>
        <w:adjustRightInd w:val="0"/>
        <w:snapToGrid w:val="0"/>
        <w:spacing w:line="360" w:lineRule="auto"/>
        <w:ind w:firstLine="480" w:firstLineChars="200"/>
        <w:rPr>
          <w:rFonts w:ascii="宋体" w:hAnsi="宋体"/>
          <w:sz w:val="24"/>
        </w:rPr>
      </w:pPr>
      <w:r>
        <w:rPr>
          <w:rFonts w:hint="eastAsia" w:ascii="宋体" w:hAnsi="宋体"/>
          <w:sz w:val="24"/>
        </w:rPr>
        <w:t>3、投标有效期</w:t>
      </w:r>
      <w:bookmarkEnd w:id="27"/>
      <w:bookmarkEnd w:id="28"/>
    </w:p>
    <w:p>
      <w:pPr>
        <w:adjustRightInd w:val="0"/>
        <w:snapToGrid w:val="0"/>
        <w:spacing w:line="360" w:lineRule="auto"/>
        <w:ind w:firstLine="480" w:firstLineChars="200"/>
        <w:rPr>
          <w:rFonts w:ascii="宋体" w:hAnsi="宋体"/>
          <w:sz w:val="24"/>
        </w:rPr>
      </w:pPr>
      <w:r>
        <w:rPr>
          <w:rFonts w:hint="eastAsia" w:ascii="宋体" w:hAnsi="宋体"/>
          <w:sz w:val="24"/>
        </w:rPr>
        <w:t>3.1投标有效期为招标人规定的开标之日后60天。投标有效期比规定短的将被视为非响应性投标而予以拒绝。</w:t>
      </w:r>
    </w:p>
    <w:p>
      <w:pPr>
        <w:adjustRightInd w:val="0"/>
        <w:snapToGrid w:val="0"/>
        <w:spacing w:line="360" w:lineRule="auto"/>
        <w:ind w:firstLine="480" w:firstLineChars="200"/>
        <w:rPr>
          <w:rFonts w:ascii="宋体" w:hAnsi="宋体"/>
          <w:sz w:val="24"/>
        </w:rPr>
      </w:pPr>
      <w:r>
        <w:rPr>
          <w:rFonts w:hint="eastAsia" w:ascii="宋体" w:hAnsi="宋体"/>
          <w:sz w:val="24"/>
        </w:rPr>
        <w:t>4、投标有效期的延长</w:t>
      </w:r>
    </w:p>
    <w:p>
      <w:pPr>
        <w:adjustRightInd w:val="0"/>
        <w:snapToGrid w:val="0"/>
        <w:spacing w:line="360" w:lineRule="auto"/>
        <w:ind w:firstLine="480" w:firstLineChars="200"/>
        <w:rPr>
          <w:rFonts w:ascii="宋体" w:hAnsi="宋体"/>
          <w:sz w:val="24"/>
        </w:rPr>
      </w:pPr>
      <w:r>
        <w:rPr>
          <w:rFonts w:hint="eastAsia" w:ascii="宋体" w:hAnsi="宋体"/>
          <w:sz w:val="24"/>
        </w:rPr>
        <w:t>4.1在特殊情况下，招标人于原投标有效期满之前，可向投标人提出延长投标有效期的要求。这种要求与答复均应采用书面形式。投标人可以拒绝招标人的这一要求而放弃投标，同意延长投标有效期的投标人既不能要求也不允许修改其投标文件。受投标有效期约束的所有权利与义务均延长至新的有效期。</w:t>
      </w:r>
    </w:p>
    <w:p>
      <w:pPr>
        <w:adjustRightInd w:val="0"/>
        <w:snapToGrid w:val="0"/>
        <w:spacing w:line="360" w:lineRule="auto"/>
        <w:ind w:firstLine="482" w:firstLineChars="200"/>
        <w:rPr>
          <w:rFonts w:ascii="宋体" w:hAnsi="宋体"/>
          <w:b/>
          <w:bCs/>
          <w:sz w:val="24"/>
        </w:rPr>
      </w:pPr>
      <w:r>
        <w:rPr>
          <w:rFonts w:hint="eastAsia" w:ascii="宋体" w:hAnsi="宋体"/>
          <w:b/>
          <w:bCs/>
          <w:sz w:val="24"/>
        </w:rPr>
        <w:t>三、投标文件的递交</w:t>
      </w:r>
    </w:p>
    <w:p>
      <w:pPr>
        <w:pStyle w:val="5"/>
        <w:adjustRightInd w:val="0"/>
        <w:snapToGrid w:val="0"/>
        <w:ind w:firstLine="480" w:firstLineChars="200"/>
        <w:rPr>
          <w:rFonts w:hAnsi="宋体"/>
          <w:kern w:val="2"/>
          <w:szCs w:val="24"/>
        </w:rPr>
      </w:pPr>
      <w:r>
        <w:rPr>
          <w:rFonts w:hint="eastAsia" w:hAnsi="宋体"/>
          <w:kern w:val="2"/>
          <w:szCs w:val="24"/>
        </w:rPr>
        <w:t>1、文件递交方式：直接送达。</w:t>
      </w:r>
    </w:p>
    <w:p>
      <w:pPr>
        <w:pStyle w:val="5"/>
        <w:adjustRightInd w:val="0"/>
        <w:snapToGrid w:val="0"/>
        <w:ind w:firstLine="480" w:firstLineChars="200"/>
        <w:rPr>
          <w:rFonts w:hAnsi="宋体"/>
          <w:kern w:val="2"/>
          <w:szCs w:val="24"/>
        </w:rPr>
      </w:pPr>
      <w:r>
        <w:rPr>
          <w:rFonts w:hint="eastAsia" w:hAnsi="宋体"/>
          <w:kern w:val="2"/>
          <w:szCs w:val="24"/>
        </w:rPr>
        <w:t>2、投标文件递交截止时间及地点：</w:t>
      </w:r>
      <w:r>
        <w:rPr>
          <w:rFonts w:hint="eastAsia" w:hAnsi="宋体"/>
          <w:kern w:val="2"/>
          <w:szCs w:val="24"/>
          <w:lang w:eastAsia="zh-CN"/>
        </w:rPr>
        <w:t>2024年06月14日14点30分</w:t>
      </w:r>
      <w:r>
        <w:rPr>
          <w:rFonts w:hint="eastAsia" w:hAnsi="宋体"/>
          <w:kern w:val="2"/>
          <w:szCs w:val="24"/>
        </w:rPr>
        <w:t>；</w:t>
      </w:r>
      <w:r>
        <w:rPr>
          <w:rFonts w:hint="eastAsia" w:hAnsi="宋体"/>
          <w:szCs w:val="24"/>
          <w:shd w:val="clear" w:color="auto" w:fill="FFFFFF"/>
        </w:rPr>
        <w:t>南通市崇川区石桥路333号南通通安聚龙银服科技有限公司2楼会议室。</w:t>
      </w:r>
    </w:p>
    <w:p>
      <w:pPr>
        <w:pStyle w:val="5"/>
        <w:adjustRightInd w:val="0"/>
        <w:snapToGrid w:val="0"/>
        <w:ind w:firstLine="480" w:firstLineChars="200"/>
        <w:rPr>
          <w:rFonts w:hAnsi="宋体"/>
          <w:kern w:val="2"/>
          <w:szCs w:val="24"/>
        </w:rPr>
      </w:pPr>
      <w:r>
        <w:rPr>
          <w:rFonts w:hint="eastAsia" w:hAnsi="宋体"/>
          <w:kern w:val="2"/>
          <w:szCs w:val="24"/>
        </w:rPr>
        <w:t>3、投标文件截止时间：投标文件必须在规定的接收截止时间前送至指定地点，招标人或代理机构将拒绝接收在截止时间后递交的文件。</w:t>
      </w:r>
    </w:p>
    <w:p>
      <w:pPr>
        <w:adjustRightInd w:val="0"/>
        <w:snapToGrid w:val="0"/>
        <w:spacing w:line="360" w:lineRule="auto"/>
        <w:ind w:firstLine="482" w:firstLineChars="200"/>
        <w:rPr>
          <w:rFonts w:ascii="宋体" w:hAnsi="宋体"/>
          <w:b/>
          <w:bCs/>
          <w:sz w:val="24"/>
        </w:rPr>
      </w:pPr>
      <w:r>
        <w:rPr>
          <w:rFonts w:hint="eastAsia" w:ascii="宋体" w:hAnsi="宋体"/>
          <w:b/>
          <w:bCs/>
          <w:sz w:val="24"/>
        </w:rPr>
        <w:t>四、开标</w:t>
      </w:r>
    </w:p>
    <w:p>
      <w:pPr>
        <w:pStyle w:val="5"/>
        <w:adjustRightInd w:val="0"/>
        <w:snapToGrid w:val="0"/>
        <w:ind w:firstLine="480" w:firstLineChars="200"/>
        <w:rPr>
          <w:rFonts w:hAnsi="宋体"/>
          <w:kern w:val="2"/>
          <w:szCs w:val="24"/>
        </w:rPr>
      </w:pPr>
      <w:r>
        <w:rPr>
          <w:rFonts w:hint="eastAsia" w:hAnsi="宋体"/>
          <w:kern w:val="2"/>
          <w:szCs w:val="24"/>
        </w:rPr>
        <w:t>1、开标时间：</w:t>
      </w:r>
      <w:r>
        <w:rPr>
          <w:rFonts w:hint="eastAsia" w:hAnsi="宋体"/>
          <w:kern w:val="2"/>
          <w:szCs w:val="24"/>
          <w:lang w:eastAsia="zh-CN"/>
        </w:rPr>
        <w:t>2024年06月14日14点30分</w:t>
      </w:r>
      <w:r>
        <w:rPr>
          <w:rFonts w:hint="eastAsia" w:hAnsi="宋体"/>
          <w:kern w:val="2"/>
          <w:szCs w:val="24"/>
        </w:rPr>
        <w:t>，如有变动，另行通知。</w:t>
      </w:r>
    </w:p>
    <w:p>
      <w:pPr>
        <w:pStyle w:val="5"/>
        <w:adjustRightInd w:val="0"/>
        <w:snapToGrid w:val="0"/>
        <w:ind w:firstLine="480" w:firstLineChars="200"/>
        <w:rPr>
          <w:rFonts w:hAnsi="宋体"/>
          <w:kern w:val="2"/>
          <w:szCs w:val="24"/>
        </w:rPr>
      </w:pPr>
      <w:r>
        <w:rPr>
          <w:rFonts w:hint="eastAsia" w:hAnsi="宋体"/>
          <w:kern w:val="2"/>
          <w:szCs w:val="24"/>
        </w:rPr>
        <w:t>2、开标地点：南通市崇川区石桥路333号南通通安聚龙银服科技有限公司2楼会议室。</w:t>
      </w:r>
    </w:p>
    <w:p>
      <w:pPr>
        <w:pStyle w:val="5"/>
        <w:adjustRightInd w:val="0"/>
        <w:snapToGrid w:val="0"/>
        <w:ind w:firstLine="480" w:firstLineChars="200"/>
        <w:rPr>
          <w:rFonts w:hAnsi="宋体"/>
          <w:kern w:val="2"/>
          <w:szCs w:val="24"/>
        </w:rPr>
      </w:pPr>
      <w:r>
        <w:rPr>
          <w:rFonts w:hint="eastAsia" w:hAnsi="宋体"/>
          <w:kern w:val="2"/>
          <w:szCs w:val="24"/>
        </w:rPr>
        <w:t>3、中标通知书一经发出，即具有法律效力。招标人、中标人依法承担法律责任。</w:t>
      </w:r>
    </w:p>
    <w:p>
      <w:pPr>
        <w:pStyle w:val="5"/>
        <w:adjustRightInd w:val="0"/>
        <w:snapToGrid w:val="0"/>
        <w:ind w:firstLine="480" w:firstLineChars="200"/>
        <w:rPr>
          <w:rFonts w:hAnsi="宋体"/>
          <w:kern w:val="2"/>
          <w:szCs w:val="24"/>
        </w:rPr>
      </w:pPr>
      <w:r>
        <w:rPr>
          <w:rFonts w:hint="eastAsia" w:hAnsi="宋体"/>
          <w:kern w:val="2"/>
          <w:szCs w:val="24"/>
        </w:rPr>
        <w:t>4、本项目解释权在招标人，招标人无需向落选投标人解释任何理由。</w:t>
      </w:r>
    </w:p>
    <w:p>
      <w:pPr>
        <w:pStyle w:val="6"/>
        <w:spacing w:line="360" w:lineRule="auto"/>
        <w:ind w:firstLine="482" w:firstLineChars="200"/>
        <w:rPr>
          <w:rFonts w:ascii="宋体" w:hAnsi="宋体"/>
          <w:b/>
          <w:bCs/>
          <w:sz w:val="24"/>
        </w:rPr>
      </w:pPr>
      <w:r>
        <w:rPr>
          <w:rFonts w:hint="eastAsia" w:ascii="宋体" w:hAnsi="宋体"/>
          <w:b/>
          <w:bCs/>
          <w:sz w:val="24"/>
        </w:rPr>
        <w:t>五、项目需求</w:t>
      </w:r>
    </w:p>
    <w:p>
      <w:pPr>
        <w:keepNext/>
        <w:keepLines/>
        <w:widowControl/>
        <w:snapToGrid w:val="0"/>
        <w:spacing w:line="360" w:lineRule="auto"/>
        <w:ind w:firstLine="643"/>
        <w:jc w:val="left"/>
        <w:rPr>
          <w:rFonts w:ascii="宋体" w:hAnsi="宋体"/>
          <w:color w:val="000000"/>
          <w:sz w:val="24"/>
        </w:rPr>
      </w:pPr>
      <w:r>
        <w:rPr>
          <w:rFonts w:hint="eastAsia" w:ascii="宋体" w:hAnsi="宋体"/>
          <w:color w:val="000000"/>
          <w:sz w:val="24"/>
        </w:rPr>
        <w:t>（一）、项目背景简介</w:t>
      </w:r>
    </w:p>
    <w:p>
      <w:pPr>
        <w:widowControl/>
        <w:snapToGrid w:val="0"/>
        <w:spacing w:line="360" w:lineRule="auto"/>
        <w:ind w:firstLine="640"/>
        <w:jc w:val="left"/>
        <w:rPr>
          <w:rFonts w:ascii="宋体" w:hAnsi="宋体"/>
          <w:color w:val="000000"/>
          <w:sz w:val="24"/>
        </w:rPr>
      </w:pPr>
      <w:r>
        <w:rPr>
          <w:rFonts w:hint="eastAsia" w:ascii="宋体" w:hAnsi="宋体"/>
          <w:color w:val="000000"/>
          <w:sz w:val="24"/>
        </w:rPr>
        <w:t>为提高区域现金处理中心现金库业务的安全、高效化管理，引进运输机器人、智能分拣设备、信息化交接管理设备，以及调度系统和交接管理系统，提升区域现金中心的安全、信息化、高效化的管理水平，降低人员人体力劳动，降低人员使用成本。</w:t>
      </w:r>
    </w:p>
    <w:p>
      <w:pPr>
        <w:keepNext/>
        <w:keepLines/>
        <w:widowControl/>
        <w:snapToGrid w:val="0"/>
        <w:spacing w:line="360" w:lineRule="auto"/>
        <w:ind w:firstLine="640"/>
        <w:jc w:val="left"/>
        <w:rPr>
          <w:rFonts w:ascii="宋体" w:hAnsi="宋体"/>
          <w:color w:val="000000"/>
          <w:sz w:val="24"/>
        </w:rPr>
      </w:pPr>
      <w:r>
        <w:rPr>
          <w:rFonts w:hint="eastAsia" w:ascii="宋体" w:hAnsi="宋体"/>
          <w:color w:val="000000"/>
          <w:sz w:val="24"/>
        </w:rPr>
        <w:t>（二）、项目采购物品名称、型号、数量、交货日期</w:t>
      </w:r>
    </w:p>
    <w:p>
      <w:pPr>
        <w:widowControl/>
        <w:snapToGrid w:val="0"/>
        <w:spacing w:line="360" w:lineRule="auto"/>
        <w:ind w:firstLine="640"/>
        <w:jc w:val="left"/>
        <w:rPr>
          <w:rFonts w:ascii="宋体" w:hAnsi="宋体"/>
          <w:color w:val="000000"/>
          <w:sz w:val="24"/>
        </w:rPr>
      </w:pPr>
      <w:r>
        <w:rPr>
          <w:rFonts w:hint="eastAsia" w:ascii="宋体" w:hAnsi="宋体"/>
          <w:color w:val="000000"/>
          <w:sz w:val="24"/>
        </w:rPr>
        <w:t>项目采购物品名称：</w:t>
      </w:r>
      <w:r>
        <w:rPr>
          <w:rFonts w:hint="eastAsia" w:ascii="宋体" w:hAnsi="宋体"/>
          <w:color w:val="000000"/>
          <w:sz w:val="24"/>
          <w:lang w:eastAsia="zh-CN"/>
        </w:rPr>
        <w:t>南通通安聚龙银服科技有限公司区域现金处理中心金库非见面交接自动化流转项目</w:t>
      </w:r>
      <w:r>
        <w:rPr>
          <w:rFonts w:hint="eastAsia" w:ascii="宋体" w:hAnsi="宋体"/>
          <w:color w:val="000000"/>
          <w:sz w:val="24"/>
        </w:rPr>
        <w:t>；</w:t>
      </w:r>
    </w:p>
    <w:p>
      <w:pPr>
        <w:widowControl/>
        <w:snapToGrid w:val="0"/>
        <w:spacing w:line="360" w:lineRule="auto"/>
        <w:ind w:firstLine="640"/>
        <w:jc w:val="left"/>
        <w:rPr>
          <w:rFonts w:ascii="宋体" w:hAnsi="宋体"/>
          <w:color w:val="000000"/>
          <w:sz w:val="24"/>
        </w:rPr>
      </w:pPr>
      <w:r>
        <w:rPr>
          <w:rFonts w:hint="eastAsia" w:ascii="宋体" w:hAnsi="宋体"/>
          <w:color w:val="000000"/>
          <w:sz w:val="24"/>
        </w:rPr>
        <w:t>交货日期：5个月</w:t>
      </w:r>
    </w:p>
    <w:p>
      <w:pPr>
        <w:keepNext/>
        <w:keepLines/>
        <w:widowControl/>
        <w:snapToGrid w:val="0"/>
        <w:spacing w:line="360" w:lineRule="auto"/>
        <w:ind w:firstLine="640"/>
        <w:jc w:val="left"/>
        <w:rPr>
          <w:rFonts w:ascii="宋体" w:hAnsi="宋体"/>
          <w:color w:val="000000"/>
          <w:sz w:val="24"/>
        </w:rPr>
      </w:pPr>
      <w:r>
        <w:rPr>
          <w:rFonts w:hint="eastAsia" w:ascii="宋体" w:hAnsi="宋体"/>
          <w:color w:val="000000"/>
          <w:sz w:val="24"/>
        </w:rPr>
        <w:t>（三）、项目技术要求</w:t>
      </w:r>
    </w:p>
    <w:p>
      <w:pPr>
        <w:widowControl/>
        <w:snapToGrid w:val="0"/>
        <w:spacing w:line="360" w:lineRule="auto"/>
        <w:ind w:firstLine="560"/>
        <w:jc w:val="left"/>
        <w:rPr>
          <w:rFonts w:ascii="宋体" w:hAnsi="宋体"/>
          <w:color w:val="000000"/>
          <w:sz w:val="24"/>
        </w:rPr>
      </w:pPr>
      <w:r>
        <w:rPr>
          <w:rFonts w:hint="eastAsia" w:ascii="宋体" w:hAnsi="宋体"/>
          <w:b/>
          <w:bCs/>
          <w:color w:val="000000"/>
          <w:sz w:val="24"/>
        </w:rPr>
        <w:t>本项目为系统集成性项目，项目所需设备、软件、服务等全部由中标人提供。</w:t>
      </w:r>
    </w:p>
    <w:p>
      <w:pPr>
        <w:widowControl/>
        <w:snapToGrid w:val="0"/>
        <w:spacing w:line="360" w:lineRule="auto"/>
        <w:ind w:firstLine="560"/>
        <w:jc w:val="left"/>
        <w:rPr>
          <w:rFonts w:ascii="宋体" w:hAnsi="宋体"/>
          <w:color w:val="000000"/>
          <w:sz w:val="24"/>
        </w:rPr>
      </w:pPr>
      <w:r>
        <w:rPr>
          <w:rFonts w:hint="eastAsia" w:ascii="宋体" w:hAnsi="宋体"/>
          <w:color w:val="000000"/>
          <w:sz w:val="24"/>
        </w:rPr>
        <w:t>1.业务功能需求</w:t>
      </w:r>
    </w:p>
    <w:p>
      <w:pPr>
        <w:pStyle w:val="2"/>
        <w:ind w:firstLine="480" w:firstLineChars="200"/>
        <w:rPr>
          <w:rFonts w:ascii="宋体" w:hAnsi="宋体"/>
          <w:color w:val="000000"/>
          <w:sz w:val="24"/>
        </w:rPr>
      </w:pPr>
      <w:r>
        <w:rPr>
          <w:rFonts w:hint="eastAsia" w:ascii="宋体" w:hAnsi="宋体"/>
          <w:color w:val="000000"/>
          <w:sz w:val="24"/>
        </w:rPr>
        <w:t>1.1晚接款箱入库</w:t>
      </w:r>
    </w:p>
    <w:p>
      <w:pPr>
        <w:pStyle w:val="2"/>
        <w:ind w:firstLine="480" w:firstLineChars="200"/>
        <w:rPr>
          <w:rFonts w:ascii="宋体" w:hAnsi="宋体"/>
          <w:color w:val="000000"/>
          <w:sz w:val="24"/>
        </w:rPr>
      </w:pPr>
      <w:r>
        <w:rPr>
          <w:rFonts w:hint="eastAsia" w:ascii="宋体" w:hAnsi="宋体"/>
          <w:color w:val="000000"/>
          <w:sz w:val="24"/>
        </w:rPr>
        <w:t xml:space="preserve">   实现晚接款箱入库由外交接区到临时款箱的的非见面信息化交接，通过机器人自动将款箱运输到临时款箱库进行寄库过夜；</w:t>
      </w:r>
    </w:p>
    <w:p>
      <w:pPr>
        <w:pStyle w:val="2"/>
        <w:ind w:firstLine="480" w:firstLineChars="200"/>
        <w:rPr>
          <w:rFonts w:ascii="宋体" w:hAnsi="宋体"/>
          <w:color w:val="000000"/>
          <w:sz w:val="24"/>
        </w:rPr>
      </w:pPr>
      <w:r>
        <w:rPr>
          <w:rFonts w:hint="eastAsia" w:ascii="宋体" w:hAnsi="宋体"/>
          <w:color w:val="000000"/>
          <w:sz w:val="24"/>
        </w:rPr>
        <w:t>1.2款箱库T+1出库至配款间</w:t>
      </w:r>
    </w:p>
    <w:p>
      <w:pPr>
        <w:pStyle w:val="2"/>
        <w:ind w:firstLine="480" w:firstLineChars="200"/>
        <w:rPr>
          <w:rFonts w:ascii="宋体" w:hAnsi="宋体"/>
          <w:color w:val="000000"/>
          <w:sz w:val="24"/>
        </w:rPr>
      </w:pPr>
      <w:r>
        <w:rPr>
          <w:rFonts w:hint="eastAsia" w:ascii="宋体" w:hAnsi="宋体"/>
          <w:color w:val="000000"/>
          <w:sz w:val="24"/>
        </w:rPr>
        <w:t xml:space="preserve">   实现临时款箱库到配款间款箱的非见面信息化交接，通过机器人实现自动化运输；</w:t>
      </w:r>
    </w:p>
    <w:p>
      <w:pPr>
        <w:pStyle w:val="2"/>
        <w:ind w:firstLine="480" w:firstLineChars="200"/>
        <w:rPr>
          <w:rFonts w:ascii="宋体" w:hAnsi="宋体"/>
          <w:color w:val="000000"/>
          <w:sz w:val="24"/>
        </w:rPr>
      </w:pPr>
      <w:r>
        <w:rPr>
          <w:rFonts w:hint="eastAsia" w:ascii="宋体" w:hAnsi="宋体"/>
          <w:color w:val="000000"/>
          <w:sz w:val="24"/>
        </w:rPr>
        <w:t>1.3配款间上缴现金至清分中心</w:t>
      </w:r>
    </w:p>
    <w:p>
      <w:pPr>
        <w:pStyle w:val="2"/>
        <w:ind w:firstLine="480" w:firstLineChars="200"/>
        <w:rPr>
          <w:rFonts w:ascii="宋体" w:hAnsi="宋体"/>
          <w:color w:val="000000"/>
          <w:sz w:val="24"/>
        </w:rPr>
      </w:pPr>
      <w:r>
        <w:rPr>
          <w:rFonts w:ascii="宋体" w:hAnsi="宋体"/>
          <w:color w:val="000000"/>
          <w:sz w:val="24"/>
        </w:rPr>
        <w:t>A</w:t>
      </w:r>
      <w:r>
        <w:rPr>
          <w:rFonts w:hint="eastAsia" w:ascii="宋体" w:hAnsi="宋体"/>
          <w:color w:val="000000"/>
          <w:sz w:val="24"/>
        </w:rPr>
        <w:t>、实现配款间内部的3个开箱卡把台现金箱自动化下料，通过运输设备及分拣设备实现现金箱装托盘货架；</w:t>
      </w:r>
    </w:p>
    <w:p>
      <w:pPr>
        <w:pStyle w:val="2"/>
        <w:ind w:firstLine="480" w:firstLineChars="200"/>
        <w:rPr>
          <w:rFonts w:ascii="宋体" w:hAnsi="宋体"/>
          <w:color w:val="000000"/>
          <w:sz w:val="24"/>
        </w:rPr>
      </w:pPr>
      <w:r>
        <w:rPr>
          <w:rFonts w:hint="eastAsia" w:ascii="宋体" w:hAnsi="宋体"/>
          <w:color w:val="000000"/>
          <w:sz w:val="24"/>
        </w:rPr>
        <w:t>B、托盘货架确保运输过程中的现金防护安全，避免被人员接触；</w:t>
      </w:r>
    </w:p>
    <w:p>
      <w:pPr>
        <w:pStyle w:val="2"/>
        <w:ind w:firstLine="480" w:firstLineChars="200"/>
        <w:rPr>
          <w:rFonts w:ascii="宋体" w:hAnsi="宋体"/>
          <w:color w:val="000000"/>
          <w:sz w:val="24"/>
        </w:rPr>
      </w:pPr>
      <w:r>
        <w:rPr>
          <w:rFonts w:ascii="宋体" w:hAnsi="宋体"/>
          <w:color w:val="000000"/>
          <w:sz w:val="24"/>
        </w:rPr>
        <w:t>C</w:t>
      </w:r>
      <w:r>
        <w:rPr>
          <w:rFonts w:hint="eastAsia" w:ascii="宋体" w:hAnsi="宋体"/>
          <w:color w:val="000000"/>
          <w:sz w:val="24"/>
        </w:rPr>
        <w:t>、配款间到清分中心实现非见面信息化交接；</w:t>
      </w:r>
    </w:p>
    <w:p>
      <w:pPr>
        <w:pStyle w:val="2"/>
        <w:ind w:firstLine="480" w:firstLineChars="200"/>
        <w:rPr>
          <w:rFonts w:ascii="宋体" w:hAnsi="宋体"/>
          <w:color w:val="000000"/>
          <w:sz w:val="24"/>
        </w:rPr>
      </w:pPr>
      <w:r>
        <w:rPr>
          <w:rFonts w:ascii="宋体" w:hAnsi="宋体"/>
          <w:color w:val="000000"/>
          <w:sz w:val="24"/>
        </w:rPr>
        <w:t>D</w:t>
      </w:r>
      <w:r>
        <w:rPr>
          <w:rFonts w:hint="eastAsia" w:ascii="宋体" w:hAnsi="宋体"/>
          <w:color w:val="000000"/>
          <w:sz w:val="24"/>
        </w:rPr>
        <w:t>、通过分拣上料机器人对接清分中心下拨设备进行自动化上料，每小时不低于45箱；</w:t>
      </w:r>
    </w:p>
    <w:p>
      <w:pPr>
        <w:pStyle w:val="2"/>
        <w:ind w:firstLine="480" w:firstLineChars="200"/>
        <w:rPr>
          <w:rFonts w:ascii="宋体" w:hAnsi="宋体"/>
          <w:color w:val="000000"/>
          <w:sz w:val="24"/>
        </w:rPr>
      </w:pPr>
      <w:r>
        <w:rPr>
          <w:rFonts w:hint="eastAsia" w:ascii="宋体" w:hAnsi="宋体"/>
          <w:color w:val="000000"/>
          <w:sz w:val="24"/>
        </w:rPr>
        <w:t>1.4配款间领取现金业务</w:t>
      </w:r>
    </w:p>
    <w:p>
      <w:pPr>
        <w:pStyle w:val="2"/>
        <w:ind w:firstLine="480" w:firstLineChars="200"/>
        <w:rPr>
          <w:rFonts w:ascii="宋体" w:hAnsi="宋体"/>
          <w:color w:val="000000"/>
          <w:sz w:val="24"/>
        </w:rPr>
      </w:pPr>
      <w:r>
        <w:rPr>
          <w:rFonts w:hint="eastAsia" w:ascii="宋体" w:hAnsi="宋体"/>
          <w:color w:val="000000"/>
          <w:sz w:val="24"/>
        </w:rPr>
        <w:t xml:space="preserve">   实现配款间现金领取信息化交接（同时支持见面交接和非见面交接两种模式），通过机器人实现运输自动化，领款区域为清分中心、内交接区、业务库；</w:t>
      </w:r>
    </w:p>
    <w:p>
      <w:pPr>
        <w:pStyle w:val="2"/>
        <w:ind w:firstLine="480" w:firstLineChars="200"/>
        <w:rPr>
          <w:rFonts w:ascii="宋体" w:hAnsi="宋体"/>
          <w:color w:val="000000"/>
          <w:sz w:val="24"/>
        </w:rPr>
      </w:pPr>
      <w:r>
        <w:rPr>
          <w:rFonts w:hint="eastAsia" w:ascii="宋体" w:hAnsi="宋体"/>
          <w:color w:val="000000"/>
          <w:sz w:val="24"/>
        </w:rPr>
        <w:t>1.5配款间款箱入库配线业务</w:t>
      </w:r>
    </w:p>
    <w:p>
      <w:pPr>
        <w:pStyle w:val="2"/>
        <w:ind w:firstLine="480" w:firstLineChars="200"/>
        <w:rPr>
          <w:rFonts w:ascii="宋体" w:hAnsi="宋体"/>
          <w:color w:val="000000"/>
          <w:sz w:val="24"/>
        </w:rPr>
      </w:pPr>
      <w:r>
        <w:rPr>
          <w:rFonts w:hint="eastAsia" w:ascii="宋体" w:hAnsi="宋体"/>
          <w:color w:val="000000"/>
          <w:sz w:val="24"/>
        </w:rPr>
        <w:t xml:space="preserve">   实现配款间到尾箱库区的款箱业务非见面交接，T+0配款间到尾箱库库缓存区的自动化运输,T+N款箱入临时库寄存，再按日期出库到尾箱库缓存区进行配线业务；</w:t>
      </w:r>
    </w:p>
    <w:p>
      <w:pPr>
        <w:pStyle w:val="2"/>
        <w:ind w:firstLine="480" w:firstLineChars="200"/>
        <w:rPr>
          <w:rFonts w:ascii="宋体" w:hAnsi="宋体"/>
          <w:color w:val="000000"/>
          <w:sz w:val="24"/>
        </w:rPr>
      </w:pPr>
      <w:r>
        <w:rPr>
          <w:rFonts w:hint="eastAsia" w:ascii="宋体" w:hAnsi="宋体"/>
          <w:color w:val="000000"/>
          <w:sz w:val="24"/>
        </w:rPr>
        <w:t>1.6上门收款业务</w:t>
      </w:r>
    </w:p>
    <w:p>
      <w:pPr>
        <w:pStyle w:val="2"/>
        <w:ind w:firstLine="480" w:firstLineChars="200"/>
        <w:rPr>
          <w:rFonts w:ascii="宋体" w:hAnsi="宋体"/>
          <w:color w:val="000000"/>
          <w:sz w:val="24"/>
        </w:rPr>
      </w:pPr>
      <w:r>
        <w:rPr>
          <w:rFonts w:ascii="宋体" w:hAnsi="宋体"/>
          <w:color w:val="000000"/>
          <w:sz w:val="24"/>
        </w:rPr>
        <w:t>A</w:t>
      </w:r>
      <w:r>
        <w:rPr>
          <w:rFonts w:hint="eastAsia" w:ascii="宋体" w:hAnsi="宋体"/>
          <w:color w:val="000000"/>
          <w:sz w:val="24"/>
        </w:rPr>
        <w:t>、T+1模式：上门收款箱入款箱库寄存，次日出库入清分中心，实现非见面交接，机器人运输自动化；</w:t>
      </w:r>
    </w:p>
    <w:p>
      <w:pPr>
        <w:pStyle w:val="2"/>
        <w:ind w:firstLine="480" w:firstLineChars="200"/>
        <w:rPr>
          <w:rFonts w:ascii="宋体" w:hAnsi="宋体"/>
          <w:color w:val="000000"/>
          <w:sz w:val="24"/>
        </w:rPr>
      </w:pPr>
      <w:r>
        <w:rPr>
          <w:rFonts w:ascii="宋体" w:hAnsi="宋体"/>
          <w:color w:val="000000"/>
          <w:sz w:val="24"/>
        </w:rPr>
        <w:t>B</w:t>
      </w:r>
      <w:r>
        <w:rPr>
          <w:rFonts w:hint="eastAsia" w:ascii="宋体" w:hAnsi="宋体"/>
          <w:color w:val="000000"/>
          <w:sz w:val="24"/>
        </w:rPr>
        <w:t>、T+0模式：外交区到清分中心实现非见面业务交接，实现上门收款箱自动化运输；</w:t>
      </w:r>
    </w:p>
    <w:p>
      <w:pPr>
        <w:pStyle w:val="2"/>
        <w:ind w:firstLine="480" w:firstLineChars="200"/>
        <w:rPr>
          <w:rFonts w:ascii="宋体" w:hAnsi="宋体"/>
          <w:color w:val="000000"/>
          <w:sz w:val="24"/>
        </w:rPr>
      </w:pPr>
      <w:r>
        <w:rPr>
          <w:rFonts w:hint="eastAsia" w:ascii="宋体" w:hAnsi="宋体"/>
          <w:color w:val="000000"/>
          <w:sz w:val="24"/>
        </w:rPr>
        <w:t>1.7清分间上缴现金至业务库</w:t>
      </w:r>
    </w:p>
    <w:p>
      <w:pPr>
        <w:pStyle w:val="2"/>
        <w:ind w:firstLine="480" w:firstLineChars="200"/>
        <w:rPr>
          <w:rFonts w:ascii="宋体" w:hAnsi="宋体"/>
          <w:color w:val="000000"/>
          <w:sz w:val="24"/>
        </w:rPr>
      </w:pPr>
      <w:r>
        <w:rPr>
          <w:rFonts w:hint="eastAsia" w:ascii="宋体" w:hAnsi="宋体"/>
          <w:color w:val="000000"/>
          <w:sz w:val="24"/>
        </w:rPr>
        <w:t>实现清分间到内交接区的自动化辅助运输；</w:t>
      </w:r>
    </w:p>
    <w:p>
      <w:pPr>
        <w:pStyle w:val="2"/>
        <w:ind w:firstLine="480" w:firstLineChars="200"/>
        <w:rPr>
          <w:rFonts w:ascii="宋体" w:hAnsi="宋体"/>
          <w:color w:val="000000"/>
          <w:sz w:val="24"/>
        </w:rPr>
      </w:pPr>
      <w:r>
        <w:rPr>
          <w:rFonts w:hint="eastAsia" w:ascii="宋体" w:hAnsi="宋体"/>
          <w:color w:val="000000"/>
          <w:sz w:val="24"/>
        </w:rPr>
        <w:t>1.8 ATM清机加钞业务</w:t>
      </w:r>
    </w:p>
    <w:p>
      <w:pPr>
        <w:pStyle w:val="2"/>
        <w:ind w:firstLine="480" w:firstLineChars="200"/>
        <w:rPr>
          <w:rFonts w:ascii="宋体" w:hAnsi="宋体"/>
          <w:color w:val="000000"/>
          <w:sz w:val="24"/>
        </w:rPr>
      </w:pPr>
      <w:r>
        <w:rPr>
          <w:rFonts w:ascii="宋体" w:hAnsi="宋体"/>
          <w:color w:val="000000"/>
          <w:sz w:val="24"/>
        </w:rPr>
        <w:t>A</w:t>
      </w:r>
      <w:r>
        <w:rPr>
          <w:rFonts w:hint="eastAsia" w:ascii="宋体" w:hAnsi="宋体"/>
          <w:color w:val="000000"/>
          <w:sz w:val="24"/>
        </w:rPr>
        <w:t>、ATM钞箱由外交区至ATM间分见面交接及运输自动化</w:t>
      </w:r>
    </w:p>
    <w:p>
      <w:pPr>
        <w:pStyle w:val="2"/>
        <w:ind w:firstLine="480" w:firstLineChars="200"/>
        <w:rPr>
          <w:rFonts w:ascii="宋体" w:hAnsi="宋体"/>
          <w:color w:val="000000"/>
          <w:sz w:val="24"/>
        </w:rPr>
      </w:pPr>
      <w:r>
        <w:rPr>
          <w:rFonts w:hint="eastAsia" w:ascii="宋体" w:hAnsi="宋体"/>
          <w:color w:val="000000"/>
          <w:sz w:val="24"/>
        </w:rPr>
        <w:t>B、ATM钞箱由尾箱库至ATM间分见面交接及运输自动化</w:t>
      </w:r>
    </w:p>
    <w:p>
      <w:pPr>
        <w:pStyle w:val="2"/>
        <w:ind w:firstLine="480" w:firstLineChars="200"/>
        <w:rPr>
          <w:rFonts w:ascii="宋体" w:hAnsi="宋体"/>
          <w:color w:val="000000"/>
          <w:sz w:val="24"/>
        </w:rPr>
      </w:pPr>
      <w:r>
        <w:rPr>
          <w:rFonts w:hint="eastAsia" w:ascii="宋体" w:hAnsi="宋体"/>
          <w:color w:val="000000"/>
          <w:sz w:val="24"/>
        </w:rPr>
        <w:t>C、ATM加钞领款至清分中心非见面交接及运输自动化</w:t>
      </w:r>
    </w:p>
    <w:p>
      <w:pPr>
        <w:pStyle w:val="2"/>
        <w:ind w:firstLine="480" w:firstLineChars="200"/>
        <w:rPr>
          <w:rFonts w:ascii="宋体" w:hAnsi="宋体"/>
          <w:color w:val="000000"/>
          <w:sz w:val="24"/>
        </w:rPr>
      </w:pPr>
      <w:r>
        <w:rPr>
          <w:rFonts w:hint="eastAsia" w:ascii="宋体" w:hAnsi="宋体"/>
          <w:color w:val="000000"/>
          <w:sz w:val="24"/>
        </w:rPr>
        <w:t>D、ATM加钞领款至业务库分见面交接（或见面交接）及运输自动化</w:t>
      </w:r>
    </w:p>
    <w:p>
      <w:pPr>
        <w:pStyle w:val="2"/>
        <w:ind w:firstLine="720" w:firstLineChars="300"/>
        <w:rPr>
          <w:rFonts w:ascii="宋体" w:hAnsi="宋体"/>
          <w:color w:val="000000"/>
          <w:sz w:val="24"/>
        </w:rPr>
      </w:pPr>
      <w:r>
        <w:rPr>
          <w:rFonts w:hint="eastAsia" w:ascii="宋体" w:hAnsi="宋体"/>
          <w:color w:val="000000"/>
          <w:sz w:val="24"/>
        </w:rPr>
        <w:t>2、一般性技术规范</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2.1.所用软硬件技术为业内广泛使用的先进、成熟技术。</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2.2.设备噪音：＜75dB。</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2.3.设备适用环境温度：-15℃～50℃；大气压：86kPa～106kPa。30</w:t>
      </w:r>
    </w:p>
    <w:p>
      <w:pPr>
        <w:widowControl/>
        <w:snapToGrid w:val="0"/>
        <w:spacing w:line="360" w:lineRule="auto"/>
        <w:ind w:firstLine="720" w:firstLineChars="300"/>
        <w:jc w:val="left"/>
        <w:rPr>
          <w:rFonts w:ascii="宋体" w:hAnsi="宋体"/>
          <w:color w:val="000000"/>
          <w:sz w:val="24"/>
        </w:rPr>
      </w:pPr>
      <w:r>
        <w:rPr>
          <w:rFonts w:hint="eastAsia" w:ascii="宋体" w:hAnsi="宋体"/>
          <w:color w:val="000000"/>
          <w:sz w:val="24"/>
        </w:rPr>
        <w:t>3、硬件技术规范</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3.1运输机人</w:t>
      </w:r>
    </w:p>
    <w:p>
      <w:pPr>
        <w:pStyle w:val="2"/>
        <w:ind w:firstLine="630" w:firstLineChars="300"/>
      </w:pPr>
      <w:r>
        <w:rPr>
          <w:rFonts w:hint="eastAsia"/>
        </w:rPr>
        <w:t>数量：10台</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搬运负载能力：1吨；</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负载运行速度≥1m/s；</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定位导航系统：激光+二维码导航</w:t>
      </w:r>
    </w:p>
    <w:p>
      <w:pPr>
        <w:widowControl/>
        <w:snapToGrid w:val="0"/>
        <w:spacing w:line="360" w:lineRule="auto"/>
        <w:ind w:firstLine="720" w:firstLineChars="300"/>
        <w:jc w:val="left"/>
        <w:rPr>
          <w:rFonts w:ascii="宋体" w:hAnsi="宋体"/>
          <w:color w:val="000000"/>
          <w:sz w:val="24"/>
        </w:rPr>
      </w:pPr>
      <w:r>
        <w:rPr>
          <w:rFonts w:hint="eastAsia" w:ascii="宋体" w:hAnsi="宋体"/>
          <w:color w:val="000000"/>
          <w:sz w:val="24"/>
        </w:rPr>
        <w:t>具有自动快速充电功能；</w:t>
      </w:r>
    </w:p>
    <w:p>
      <w:pPr>
        <w:widowControl/>
        <w:snapToGrid w:val="0"/>
        <w:spacing w:line="360" w:lineRule="auto"/>
        <w:ind w:firstLine="720" w:firstLineChars="300"/>
        <w:jc w:val="left"/>
        <w:rPr>
          <w:rFonts w:ascii="宋体" w:hAnsi="宋体"/>
          <w:color w:val="000000"/>
          <w:sz w:val="24"/>
        </w:rPr>
      </w:pPr>
      <w:r>
        <w:rPr>
          <w:rFonts w:hint="eastAsia" w:ascii="宋体" w:hAnsi="宋体"/>
          <w:color w:val="000000"/>
          <w:sz w:val="24"/>
        </w:rPr>
        <w:t>充电桩具有过温和短路保护功能，充电装数量不少于3台；</w:t>
      </w:r>
    </w:p>
    <w:p>
      <w:pPr>
        <w:widowControl/>
        <w:snapToGrid w:val="0"/>
        <w:spacing w:line="360" w:lineRule="auto"/>
        <w:ind w:firstLine="630" w:firstLineChars="300"/>
        <w:jc w:val="left"/>
      </w:pPr>
      <w:r>
        <w:rPr>
          <w:rFonts w:hint="eastAsia"/>
        </w:rPr>
        <w:t xml:space="preserve"> </w:t>
      </w:r>
      <w:r>
        <w:rPr>
          <w:rFonts w:hint="eastAsia" w:ascii="宋体" w:hAnsi="宋体"/>
          <w:color w:val="000000"/>
          <w:sz w:val="24"/>
        </w:rPr>
        <w:t>其他配套辅材投标方根据场地情况自行确定数量，（例如：如二维码、调试数据线，充电线、底层调度控制系统等）</w:t>
      </w:r>
    </w:p>
    <w:p>
      <w:pPr>
        <w:widowControl/>
        <w:snapToGrid w:val="0"/>
        <w:spacing w:line="360" w:lineRule="auto"/>
        <w:ind w:firstLine="720" w:firstLineChars="300"/>
        <w:jc w:val="left"/>
        <w:rPr>
          <w:rFonts w:ascii="宋体" w:hAnsi="宋体"/>
          <w:color w:val="000000"/>
          <w:sz w:val="24"/>
        </w:rPr>
      </w:pPr>
      <w:r>
        <w:rPr>
          <w:rFonts w:hint="eastAsia" w:ascii="宋体" w:hAnsi="宋体"/>
          <w:color w:val="000000"/>
          <w:sz w:val="24"/>
        </w:rPr>
        <w:t>3.2平板车</w:t>
      </w:r>
    </w:p>
    <w:p>
      <w:pPr>
        <w:pStyle w:val="2"/>
      </w:pPr>
      <w:r>
        <w:rPr>
          <w:rFonts w:hint="eastAsia"/>
        </w:rPr>
        <w:t xml:space="preserve">     数量：70个</w:t>
      </w:r>
    </w:p>
    <w:p>
      <w:pPr>
        <w:pStyle w:val="2"/>
      </w:pPr>
      <w:r>
        <w:rPr>
          <w:rFonts w:hint="eastAsia"/>
        </w:rPr>
        <w:t xml:space="preserve">     尺寸：长度1250mm</w:t>
      </w:r>
    </w:p>
    <w:p>
      <w:pPr>
        <w:pStyle w:val="2"/>
      </w:pPr>
      <w:r>
        <w:rPr>
          <w:rFonts w:hint="eastAsia"/>
        </w:rPr>
        <w:t xml:space="preserve">           宽度： 不大于1000mm</w:t>
      </w:r>
    </w:p>
    <w:p>
      <w:pPr>
        <w:pStyle w:val="2"/>
        <w:ind w:firstLine="1260" w:firstLineChars="600"/>
      </w:pPr>
      <w:r>
        <w:rPr>
          <w:rFonts w:hint="eastAsia"/>
        </w:rPr>
        <w:t>高度：不大于330mm</w:t>
      </w:r>
    </w:p>
    <w:p>
      <w:pPr>
        <w:pStyle w:val="2"/>
        <w:ind w:firstLine="1260" w:firstLineChars="600"/>
      </w:pPr>
      <w:r>
        <w:rPr>
          <w:rFonts w:hint="eastAsia"/>
        </w:rPr>
        <w:t>把手高度：1050mm ----1100mm之间</w:t>
      </w:r>
    </w:p>
    <w:p>
      <w:pPr>
        <w:widowControl/>
        <w:snapToGrid w:val="0"/>
        <w:spacing w:line="360" w:lineRule="auto"/>
        <w:ind w:firstLine="420" w:firstLineChars="200"/>
        <w:jc w:val="left"/>
        <w:rPr>
          <w:rFonts w:ascii="宋体" w:hAnsi="宋体"/>
          <w:color w:val="000000"/>
          <w:sz w:val="24"/>
        </w:rPr>
      </w:pPr>
      <w:r>
        <w:rPr>
          <w:rFonts w:hint="eastAsia"/>
        </w:rPr>
        <w:t xml:space="preserve">  </w:t>
      </w:r>
      <w:r>
        <w:rPr>
          <w:rFonts w:hint="eastAsia" w:ascii="宋体" w:hAnsi="宋体"/>
          <w:color w:val="000000"/>
          <w:sz w:val="24"/>
        </w:rPr>
        <w:t>3.3现金箱周转车</w:t>
      </w:r>
    </w:p>
    <w:p>
      <w:pPr>
        <w:pStyle w:val="2"/>
      </w:pPr>
      <w:r>
        <w:rPr>
          <w:rFonts w:hint="eastAsia"/>
        </w:rPr>
        <w:t xml:space="preserve">      数量：13个（备注：大面额的12个，小面额3个）</w:t>
      </w:r>
    </w:p>
    <w:p>
      <w:pPr>
        <w:pStyle w:val="2"/>
      </w:pPr>
      <w:r>
        <w:rPr>
          <w:rFonts w:hint="eastAsia"/>
        </w:rPr>
        <w:t xml:space="preserve">         最大外形尺寸不大于1400mm,高度小于1800mm，大面额存储能力不小于12箱，满足运输机器人运输和分拣机器人抓取需求；</w:t>
      </w:r>
    </w:p>
    <w:p>
      <w:pPr>
        <w:pStyle w:val="2"/>
        <w:ind w:firstLine="720" w:firstLineChars="300"/>
        <w:rPr>
          <w:rFonts w:ascii="宋体" w:hAnsi="宋体"/>
          <w:color w:val="000000"/>
          <w:sz w:val="24"/>
        </w:rPr>
      </w:pPr>
      <w:r>
        <w:rPr>
          <w:rFonts w:hint="eastAsia" w:ascii="宋体" w:hAnsi="宋体"/>
          <w:color w:val="000000"/>
          <w:sz w:val="24"/>
        </w:rPr>
        <w:t>3.4 现金移动货架</w:t>
      </w:r>
    </w:p>
    <w:p>
      <w:pPr>
        <w:pStyle w:val="2"/>
        <w:ind w:firstLine="960" w:firstLineChars="400"/>
        <w:rPr>
          <w:rFonts w:ascii="宋体" w:hAnsi="宋体"/>
          <w:color w:val="000000"/>
          <w:sz w:val="24"/>
        </w:rPr>
      </w:pPr>
      <w:r>
        <w:rPr>
          <w:rFonts w:hint="eastAsia" w:ascii="宋体" w:hAnsi="宋体"/>
          <w:color w:val="000000"/>
          <w:sz w:val="24"/>
        </w:rPr>
        <w:t>数量：20个</w:t>
      </w:r>
    </w:p>
    <w:p>
      <w:pPr>
        <w:pStyle w:val="2"/>
        <w:ind w:firstLine="720" w:firstLineChars="300"/>
        <w:rPr>
          <w:rFonts w:ascii="宋体" w:hAnsi="宋体"/>
          <w:color w:val="000000"/>
          <w:sz w:val="24"/>
        </w:rPr>
      </w:pPr>
      <w:r>
        <w:rPr>
          <w:rFonts w:hint="eastAsia" w:ascii="宋体" w:hAnsi="宋体"/>
          <w:color w:val="000000"/>
          <w:sz w:val="24"/>
        </w:rPr>
        <w:t xml:space="preserve">  满足ATM钞箱包运输需求，确保钞箱包运输过程不会掉落，笼车的宽度尺寸不大于1000mm，长度尺寸不大于1300mm，高度不大于1800mm</w:t>
      </w:r>
    </w:p>
    <w:p>
      <w:pPr>
        <w:pStyle w:val="2"/>
        <w:ind w:firstLine="720" w:firstLineChars="300"/>
        <w:rPr>
          <w:rFonts w:ascii="宋体" w:hAnsi="宋体"/>
          <w:color w:val="000000"/>
          <w:sz w:val="24"/>
        </w:rPr>
      </w:pPr>
      <w:r>
        <w:rPr>
          <w:rFonts w:hint="eastAsia" w:ascii="宋体" w:hAnsi="宋体"/>
          <w:color w:val="000000"/>
          <w:sz w:val="24"/>
        </w:rPr>
        <w:t>3.5 现金箱</w:t>
      </w:r>
    </w:p>
    <w:p>
      <w:pPr>
        <w:pStyle w:val="2"/>
        <w:ind w:firstLine="720" w:firstLineChars="300"/>
        <w:rPr>
          <w:rFonts w:ascii="宋体" w:hAnsi="宋体"/>
          <w:color w:val="000000"/>
          <w:sz w:val="24"/>
        </w:rPr>
      </w:pPr>
      <w:r>
        <w:rPr>
          <w:rFonts w:hint="eastAsia" w:ascii="宋体" w:hAnsi="宋体"/>
          <w:color w:val="000000"/>
          <w:sz w:val="24"/>
        </w:rPr>
        <w:t>数量：260个</w:t>
      </w:r>
    </w:p>
    <w:p>
      <w:pPr>
        <w:spacing w:line="440" w:lineRule="exact"/>
        <w:ind w:firstLine="720" w:firstLineChars="300"/>
        <w:rPr>
          <w:rFonts w:ascii="宋体" w:hAnsi="宋体"/>
          <w:color w:val="000000"/>
          <w:sz w:val="24"/>
        </w:rPr>
      </w:pPr>
      <w:r>
        <w:rPr>
          <w:rFonts w:hint="eastAsia" w:ascii="宋体" w:hAnsi="宋体"/>
          <w:color w:val="000000"/>
          <w:sz w:val="24"/>
        </w:rPr>
        <w:t>外形尺寸：540mm*470mm*172mm</w:t>
      </w:r>
    </w:p>
    <w:p>
      <w:pPr>
        <w:spacing w:line="440" w:lineRule="exact"/>
        <w:ind w:firstLine="720" w:firstLineChars="300"/>
        <w:rPr>
          <w:rFonts w:ascii="宋体" w:hAnsi="宋体"/>
          <w:color w:val="000000"/>
          <w:sz w:val="24"/>
        </w:rPr>
      </w:pPr>
      <w:r>
        <w:rPr>
          <w:rFonts w:hint="eastAsia" w:ascii="宋体" w:hAnsi="宋体"/>
          <w:color w:val="000000"/>
          <w:sz w:val="24"/>
        </w:rPr>
        <w:t>料箱四周有把手，料箱底面为平面，不可折叠，没有盖子。料箱内腔尺寸如下：</w:t>
      </w:r>
    </w:p>
    <w:p>
      <w:pPr>
        <w:spacing w:line="440" w:lineRule="exact"/>
        <w:ind w:firstLine="240" w:firstLineChars="100"/>
        <w:rPr>
          <w:rFonts w:ascii="宋体" w:hAnsi="宋体"/>
          <w:color w:val="000000"/>
          <w:sz w:val="24"/>
        </w:rPr>
      </w:pPr>
      <w:r>
        <w:rPr>
          <w:rFonts w:hint="eastAsia" w:ascii="宋体" w:hAnsi="宋体"/>
          <w:color w:val="000000"/>
          <w:sz w:val="24"/>
        </w:rPr>
        <w:t>大号料箱：长500mm×宽430mm×高165mm，数量100个</w:t>
      </w:r>
    </w:p>
    <w:p>
      <w:pPr>
        <w:spacing w:line="440" w:lineRule="exact"/>
        <w:ind w:firstLine="240" w:firstLineChars="100"/>
        <w:rPr>
          <w:rFonts w:ascii="宋体" w:hAnsi="宋体"/>
          <w:color w:val="000000"/>
          <w:sz w:val="24"/>
        </w:rPr>
      </w:pPr>
      <w:r>
        <w:rPr>
          <w:rFonts w:hint="eastAsia" w:ascii="宋体" w:hAnsi="宋体"/>
          <w:color w:val="000000"/>
          <w:sz w:val="24"/>
        </w:rPr>
        <w:t>中号料箱：长500mm×宽410mm×高165mm，数量20个</w:t>
      </w:r>
    </w:p>
    <w:p>
      <w:pPr>
        <w:spacing w:line="440" w:lineRule="exact"/>
        <w:ind w:firstLine="240" w:firstLineChars="100"/>
        <w:rPr>
          <w:rFonts w:ascii="宋体" w:hAnsi="宋体"/>
          <w:color w:val="000000"/>
          <w:sz w:val="24"/>
        </w:rPr>
      </w:pPr>
      <w:r>
        <w:rPr>
          <w:rFonts w:hint="eastAsia" w:ascii="宋体" w:hAnsi="宋体"/>
          <w:color w:val="000000"/>
          <w:sz w:val="24"/>
        </w:rPr>
        <w:t>小号料箱：长500mm×宽370mm×高165mm，数量20个</w:t>
      </w:r>
    </w:p>
    <w:p>
      <w:pPr>
        <w:spacing w:line="440" w:lineRule="exact"/>
        <w:ind w:firstLine="240" w:firstLineChars="100"/>
        <w:rPr>
          <w:rFonts w:ascii="宋体" w:hAnsi="宋体"/>
          <w:color w:val="000000"/>
          <w:sz w:val="24"/>
        </w:rPr>
      </w:pPr>
      <w:r>
        <w:rPr>
          <w:rFonts w:hint="eastAsia" w:ascii="宋体" w:hAnsi="宋体"/>
          <w:color w:val="000000"/>
          <w:sz w:val="24"/>
        </w:rPr>
        <w:t>承重要求</w:t>
      </w:r>
    </w:p>
    <w:p>
      <w:pPr>
        <w:spacing w:line="440" w:lineRule="exact"/>
        <w:ind w:firstLine="720" w:firstLineChars="300"/>
        <w:rPr>
          <w:rFonts w:ascii="宋体" w:hAnsi="宋体"/>
          <w:color w:val="000000"/>
          <w:sz w:val="24"/>
        </w:rPr>
      </w:pPr>
      <w:r>
        <w:rPr>
          <w:rFonts w:hint="eastAsia" w:ascii="宋体" w:hAnsi="宋体"/>
          <w:color w:val="000000"/>
          <w:sz w:val="24"/>
        </w:rPr>
        <w:t>料箱承重不低于30公斤。堆码大于5层，堆码承重不低于180公斤。</w:t>
      </w:r>
    </w:p>
    <w:p>
      <w:pPr>
        <w:pStyle w:val="2"/>
      </w:pPr>
      <w:r>
        <w:rPr>
          <w:rFonts w:hint="eastAsia"/>
        </w:rPr>
        <w:t xml:space="preserve">  现金箱重量：小于2kg</w:t>
      </w:r>
    </w:p>
    <w:p>
      <w:pPr>
        <w:spacing w:line="440" w:lineRule="exact"/>
        <w:ind w:firstLine="240" w:firstLineChars="100"/>
        <w:rPr>
          <w:rFonts w:ascii="宋体" w:hAnsi="宋体"/>
          <w:color w:val="000000"/>
          <w:sz w:val="24"/>
        </w:rPr>
      </w:pPr>
      <w:r>
        <w:rPr>
          <w:rFonts w:hint="eastAsia" w:ascii="宋体" w:hAnsi="宋体"/>
          <w:color w:val="000000"/>
          <w:sz w:val="24"/>
        </w:rPr>
        <w:t>料箱颜色要求</w:t>
      </w:r>
    </w:p>
    <w:p>
      <w:pPr>
        <w:spacing w:line="440" w:lineRule="exact"/>
        <w:ind w:firstLine="240" w:firstLineChars="100"/>
        <w:rPr>
          <w:rFonts w:ascii="宋体" w:hAnsi="宋体"/>
          <w:color w:val="000000"/>
          <w:sz w:val="24"/>
        </w:rPr>
      </w:pPr>
      <w:r>
        <w:rPr>
          <w:rFonts w:hint="eastAsia" w:ascii="宋体" w:hAnsi="宋体"/>
          <w:color w:val="000000"/>
          <w:sz w:val="24"/>
        </w:rPr>
        <w:t>大号料箱颜色为红色</w:t>
      </w:r>
    </w:p>
    <w:p>
      <w:pPr>
        <w:spacing w:line="440" w:lineRule="exact"/>
        <w:ind w:firstLine="240" w:firstLineChars="100"/>
        <w:rPr>
          <w:rFonts w:ascii="宋体" w:hAnsi="宋体"/>
          <w:color w:val="000000"/>
          <w:sz w:val="24"/>
        </w:rPr>
      </w:pPr>
      <w:r>
        <w:rPr>
          <w:rFonts w:hint="eastAsia" w:ascii="宋体" w:hAnsi="宋体"/>
          <w:color w:val="000000"/>
          <w:sz w:val="24"/>
        </w:rPr>
        <w:t>中号料箱颜色为三种，分别为深绿色、褐色、深蓝色。</w:t>
      </w:r>
    </w:p>
    <w:p>
      <w:pPr>
        <w:spacing w:line="440" w:lineRule="exact"/>
        <w:ind w:firstLine="240" w:firstLineChars="100"/>
        <w:rPr>
          <w:rFonts w:ascii="宋体" w:hAnsi="宋体"/>
          <w:color w:val="000000"/>
          <w:sz w:val="24"/>
        </w:rPr>
      </w:pPr>
      <w:r>
        <w:rPr>
          <w:rFonts w:hint="eastAsia" w:ascii="宋体" w:hAnsi="宋体"/>
          <w:color w:val="000000"/>
          <w:sz w:val="24"/>
        </w:rPr>
        <w:t>小号料箱颜色为两种，分别为紫色、草绿色</w:t>
      </w:r>
    </w:p>
    <w:p>
      <w:pPr>
        <w:pStyle w:val="2"/>
        <w:ind w:firstLine="720" w:firstLineChars="300"/>
        <w:rPr>
          <w:rFonts w:ascii="宋体" w:hAnsi="宋体"/>
          <w:color w:val="000000"/>
          <w:sz w:val="24"/>
        </w:rPr>
      </w:pPr>
      <w:r>
        <w:rPr>
          <w:rFonts w:hint="eastAsia" w:ascii="宋体" w:hAnsi="宋体"/>
          <w:color w:val="000000"/>
          <w:sz w:val="24"/>
        </w:rPr>
        <w:t>3.6开箱间操作台</w:t>
      </w:r>
    </w:p>
    <w:p>
      <w:pPr>
        <w:pStyle w:val="2"/>
        <w:ind w:firstLine="720" w:firstLineChars="300"/>
        <w:rPr>
          <w:rFonts w:ascii="宋体" w:hAnsi="宋体"/>
          <w:color w:val="000000"/>
          <w:sz w:val="24"/>
        </w:rPr>
      </w:pPr>
      <w:r>
        <w:rPr>
          <w:rFonts w:hint="eastAsia" w:ascii="宋体" w:hAnsi="宋体"/>
          <w:color w:val="000000"/>
          <w:sz w:val="24"/>
        </w:rPr>
        <w:t>数量：3个</w:t>
      </w:r>
    </w:p>
    <w:p>
      <w:pPr>
        <w:pStyle w:val="2"/>
        <w:rPr>
          <w:rFonts w:ascii="宋体" w:hAnsi="宋体"/>
          <w:color w:val="000000"/>
          <w:sz w:val="24"/>
        </w:rPr>
      </w:pPr>
      <w:r>
        <w:rPr>
          <w:rFonts w:hint="eastAsia" w:ascii="宋体" w:hAnsi="宋体"/>
          <w:color w:val="000000"/>
          <w:sz w:val="24"/>
        </w:rPr>
        <w:t xml:space="preserve">      台面要求白钢，结构结实耐用，需设计有现金箱自动下料口，结构合理化作业高效化，根据业务需求电脑及PDA等位置合理化设计；</w:t>
      </w:r>
    </w:p>
    <w:p>
      <w:pPr>
        <w:pStyle w:val="2"/>
        <w:rPr>
          <w:rFonts w:ascii="宋体" w:hAnsi="宋体"/>
          <w:color w:val="000000"/>
          <w:sz w:val="24"/>
        </w:rPr>
      </w:pPr>
      <w:r>
        <w:rPr>
          <w:rFonts w:hint="eastAsia" w:ascii="宋体" w:hAnsi="宋体"/>
          <w:color w:val="000000"/>
          <w:sz w:val="24"/>
        </w:rPr>
        <w:t xml:space="preserve">      3.7现金箱分拣上下料机器人</w:t>
      </w:r>
    </w:p>
    <w:p>
      <w:pPr>
        <w:pStyle w:val="2"/>
        <w:rPr>
          <w:rFonts w:ascii="宋体" w:hAnsi="宋体"/>
          <w:color w:val="000000"/>
          <w:sz w:val="24"/>
        </w:rPr>
      </w:pPr>
      <w:r>
        <w:rPr>
          <w:rFonts w:hint="eastAsia" w:ascii="宋体" w:hAnsi="宋体"/>
          <w:color w:val="000000"/>
          <w:sz w:val="24"/>
        </w:rPr>
        <w:t xml:space="preserve">      数量：3台</w:t>
      </w:r>
    </w:p>
    <w:p>
      <w:pPr>
        <w:pStyle w:val="2"/>
        <w:rPr>
          <w:rFonts w:ascii="宋体" w:hAnsi="宋体"/>
          <w:color w:val="000000"/>
          <w:sz w:val="24"/>
        </w:rPr>
      </w:pPr>
      <w:r>
        <w:rPr>
          <w:rFonts w:hint="eastAsia" w:ascii="宋体" w:hAnsi="宋体"/>
          <w:color w:val="000000"/>
          <w:sz w:val="24"/>
        </w:rPr>
        <w:t xml:space="preserve">      承载能力：不小于50kg</w:t>
      </w:r>
    </w:p>
    <w:p>
      <w:pPr>
        <w:pStyle w:val="2"/>
        <w:rPr>
          <w:rFonts w:ascii="宋体" w:hAnsi="宋体"/>
          <w:color w:val="000000"/>
          <w:sz w:val="24"/>
        </w:rPr>
      </w:pPr>
      <w:r>
        <w:rPr>
          <w:rFonts w:hint="eastAsia" w:ascii="宋体" w:hAnsi="宋体"/>
          <w:color w:val="000000"/>
          <w:sz w:val="24"/>
        </w:rPr>
        <w:t xml:space="preserve">      分拣速度：每小时不低于45箱</w:t>
      </w:r>
    </w:p>
    <w:p>
      <w:pPr>
        <w:widowControl/>
        <w:snapToGrid w:val="0"/>
        <w:spacing w:line="360" w:lineRule="auto"/>
        <w:ind w:firstLine="720" w:firstLineChars="300"/>
        <w:jc w:val="left"/>
      </w:pPr>
      <w:r>
        <w:rPr>
          <w:rFonts w:hint="eastAsia" w:ascii="宋体" w:hAnsi="宋体"/>
          <w:color w:val="000000"/>
          <w:sz w:val="24"/>
        </w:rPr>
        <w:t>其他配套辅材投标方根据场地情况自行确定数量，（例如：如二维码、调试数据线，充电线、底层调度控制系统等）</w:t>
      </w:r>
    </w:p>
    <w:p>
      <w:pPr>
        <w:pStyle w:val="2"/>
        <w:rPr>
          <w:rFonts w:ascii="宋体" w:hAnsi="宋体"/>
          <w:color w:val="000000"/>
          <w:sz w:val="24"/>
        </w:rPr>
      </w:pPr>
      <w:r>
        <w:rPr>
          <w:rFonts w:hint="eastAsia" w:ascii="宋体" w:hAnsi="宋体"/>
          <w:color w:val="000000"/>
          <w:sz w:val="24"/>
        </w:rPr>
        <w:t xml:space="preserve">      3.8 无线全覆盖网络要求</w:t>
      </w:r>
    </w:p>
    <w:p>
      <w:pPr>
        <w:pStyle w:val="2"/>
        <w:ind w:firstLine="720" w:firstLineChars="300"/>
        <w:rPr>
          <w:rFonts w:ascii="宋体" w:hAnsi="宋体"/>
          <w:color w:val="000000"/>
          <w:sz w:val="24"/>
        </w:rPr>
      </w:pPr>
      <w:r>
        <w:rPr>
          <w:rFonts w:hint="eastAsia" w:ascii="宋体" w:hAnsi="宋体"/>
          <w:color w:val="000000"/>
          <w:sz w:val="24"/>
        </w:rPr>
        <w:t>数量：1套</w:t>
      </w:r>
    </w:p>
    <w:p>
      <w:pPr>
        <w:pStyle w:val="2"/>
        <w:rPr>
          <w:rFonts w:ascii="宋体" w:hAnsi="宋体"/>
          <w:color w:val="000000"/>
          <w:sz w:val="24"/>
        </w:rPr>
      </w:pPr>
      <w:r>
        <w:rPr>
          <w:rFonts w:hint="eastAsia" w:ascii="宋体" w:hAnsi="宋体"/>
          <w:color w:val="000000"/>
          <w:sz w:val="24"/>
        </w:rPr>
        <w:t xml:space="preserve">      满足尾箱库、临时款箱库2个、配款间、清分间、ATM间、重空库、贵重金属库、外币库及各个区域之间的廊道和电梯能实现无线网络全覆盖，投标方需根据场地实测情况测算设备数量，以及网络安全设备等数量，确保信号稳定全覆盖，流畅切换；</w:t>
      </w:r>
    </w:p>
    <w:p>
      <w:pPr>
        <w:pStyle w:val="2"/>
        <w:rPr>
          <w:rFonts w:ascii="宋体" w:hAnsi="宋体"/>
          <w:color w:val="000000"/>
          <w:sz w:val="24"/>
        </w:rPr>
      </w:pPr>
      <w:r>
        <w:rPr>
          <w:rFonts w:hint="eastAsia" w:ascii="宋体" w:hAnsi="宋体"/>
          <w:color w:val="000000"/>
          <w:sz w:val="24"/>
        </w:rPr>
        <w:t xml:space="preserve">      3.9 电动平移门</w:t>
      </w:r>
    </w:p>
    <w:p>
      <w:pPr>
        <w:pStyle w:val="2"/>
        <w:rPr>
          <w:rFonts w:ascii="宋体" w:hAnsi="宋体"/>
          <w:color w:val="000000"/>
          <w:sz w:val="24"/>
        </w:rPr>
      </w:pPr>
      <w:r>
        <w:rPr>
          <w:rFonts w:hint="eastAsia" w:ascii="宋体" w:hAnsi="宋体"/>
          <w:color w:val="000000"/>
          <w:sz w:val="24"/>
        </w:rPr>
        <w:t xml:space="preserve">      数量：7个</w:t>
      </w:r>
    </w:p>
    <w:p>
      <w:pPr>
        <w:pStyle w:val="2"/>
        <w:rPr>
          <w:rFonts w:ascii="宋体" w:hAnsi="宋体"/>
          <w:color w:val="000000"/>
          <w:sz w:val="24"/>
        </w:rPr>
      </w:pPr>
      <w:r>
        <w:rPr>
          <w:rFonts w:hint="eastAsia" w:ascii="宋体" w:hAnsi="宋体"/>
          <w:color w:val="000000"/>
          <w:sz w:val="24"/>
        </w:rPr>
        <w:t xml:space="preserve">      投标方需要根据场地现场测量进行设计制作，电动平移门需要支持人脸、指纹、备用钥匙多种开启，运输机器人能够通过系统对接实现与平移门的联动开关控制；</w:t>
      </w:r>
    </w:p>
    <w:p>
      <w:pPr>
        <w:pStyle w:val="2"/>
        <w:rPr>
          <w:rFonts w:ascii="宋体" w:hAnsi="宋体"/>
          <w:color w:val="000000"/>
          <w:sz w:val="24"/>
        </w:rPr>
      </w:pPr>
      <w:r>
        <w:rPr>
          <w:rFonts w:hint="eastAsia" w:ascii="宋体" w:hAnsi="宋体"/>
          <w:color w:val="000000"/>
          <w:sz w:val="24"/>
        </w:rPr>
        <w:t xml:space="preserve">      3.10现有电动平移门改造</w:t>
      </w:r>
    </w:p>
    <w:p>
      <w:pPr>
        <w:pStyle w:val="2"/>
        <w:rPr>
          <w:rFonts w:ascii="宋体" w:hAnsi="宋体"/>
          <w:color w:val="000000"/>
          <w:sz w:val="24"/>
        </w:rPr>
      </w:pPr>
      <w:r>
        <w:rPr>
          <w:rFonts w:hint="eastAsia" w:ascii="宋体" w:hAnsi="宋体"/>
          <w:color w:val="000000"/>
          <w:sz w:val="24"/>
        </w:rPr>
        <w:t xml:space="preserve">      数量：6个</w:t>
      </w:r>
    </w:p>
    <w:p>
      <w:pPr>
        <w:pStyle w:val="2"/>
        <w:rPr>
          <w:rFonts w:ascii="宋体" w:hAnsi="宋体"/>
          <w:color w:val="000000"/>
          <w:sz w:val="24"/>
        </w:rPr>
      </w:pPr>
      <w:r>
        <w:rPr>
          <w:rFonts w:hint="eastAsia" w:ascii="宋体" w:hAnsi="宋体"/>
          <w:color w:val="000000"/>
          <w:sz w:val="24"/>
        </w:rPr>
        <w:t xml:space="preserve">      改造现有平移门控制模块及系统，实现人脸指纹扫描开启以及机器人通讯自动控制开启功能；</w:t>
      </w:r>
    </w:p>
    <w:p>
      <w:pPr>
        <w:pStyle w:val="2"/>
        <w:rPr>
          <w:rFonts w:ascii="宋体" w:hAnsi="宋体"/>
          <w:color w:val="000000"/>
          <w:sz w:val="24"/>
        </w:rPr>
      </w:pPr>
      <w:r>
        <w:rPr>
          <w:rFonts w:hint="eastAsia" w:ascii="宋体" w:hAnsi="宋体"/>
          <w:color w:val="000000"/>
          <w:sz w:val="24"/>
        </w:rPr>
        <w:t xml:space="preserve">      3.11电梯对接控制改造</w:t>
      </w:r>
    </w:p>
    <w:p>
      <w:pPr>
        <w:pStyle w:val="2"/>
        <w:rPr>
          <w:rFonts w:ascii="宋体" w:hAnsi="宋体"/>
          <w:color w:val="000000"/>
          <w:sz w:val="24"/>
        </w:rPr>
      </w:pPr>
      <w:r>
        <w:rPr>
          <w:rFonts w:hint="eastAsia" w:ascii="宋体" w:hAnsi="宋体"/>
          <w:color w:val="000000"/>
          <w:sz w:val="24"/>
        </w:rPr>
        <w:t xml:space="preserve">      对电梯控制加设控制模块，实现机器人等电梯，下电梯时对电梯门开启关闭的自动化控制；</w:t>
      </w:r>
    </w:p>
    <w:p>
      <w:pPr>
        <w:pStyle w:val="2"/>
        <w:rPr>
          <w:rFonts w:ascii="宋体" w:hAnsi="宋体"/>
          <w:color w:val="000000"/>
          <w:sz w:val="24"/>
        </w:rPr>
      </w:pPr>
      <w:r>
        <w:rPr>
          <w:rFonts w:hint="eastAsia" w:ascii="宋体" w:hAnsi="宋体"/>
          <w:color w:val="000000"/>
          <w:sz w:val="24"/>
        </w:rPr>
        <w:t xml:space="preserve">      3.12信息化设备需求</w:t>
      </w:r>
    </w:p>
    <w:p>
      <w:pPr>
        <w:pStyle w:val="2"/>
        <w:rPr>
          <w:rFonts w:ascii="宋体" w:hAnsi="宋体"/>
          <w:color w:val="000000"/>
          <w:sz w:val="24"/>
        </w:rPr>
      </w:pPr>
      <w:r>
        <w:rPr>
          <w:rFonts w:hint="eastAsia" w:ascii="宋体" w:hAnsi="宋体"/>
          <w:color w:val="000000"/>
          <w:sz w:val="24"/>
        </w:rPr>
        <w:t xml:space="preserve">      1）RFID手持设备</w:t>
      </w:r>
    </w:p>
    <w:p>
      <w:pPr>
        <w:pStyle w:val="2"/>
        <w:rPr>
          <w:rFonts w:ascii="宋体" w:hAnsi="宋体"/>
          <w:color w:val="000000"/>
          <w:sz w:val="24"/>
        </w:rPr>
      </w:pPr>
      <w:r>
        <w:rPr>
          <w:rFonts w:hint="eastAsia" w:ascii="宋体" w:hAnsi="宋体"/>
          <w:color w:val="000000"/>
          <w:sz w:val="24"/>
        </w:rPr>
        <w:t xml:space="preserve">      数量：12台</w:t>
      </w:r>
    </w:p>
    <w:p>
      <w:pPr>
        <w:pStyle w:val="2"/>
        <w:rPr>
          <w:rFonts w:ascii="宋体" w:hAnsi="宋体"/>
          <w:color w:val="000000"/>
          <w:sz w:val="24"/>
        </w:rPr>
      </w:pPr>
      <w:r>
        <w:rPr>
          <w:rFonts w:hint="eastAsia" w:ascii="宋体" w:hAnsi="宋体"/>
          <w:color w:val="000000"/>
          <w:sz w:val="24"/>
        </w:rPr>
        <w:t xml:space="preserve">      </w:t>
      </w:r>
    </w:p>
    <w:p>
      <w:pPr>
        <w:pStyle w:val="2"/>
        <w:rPr>
          <w:rFonts w:ascii="宋体" w:hAnsi="宋体"/>
          <w:color w:val="000000"/>
          <w:sz w:val="24"/>
        </w:rPr>
      </w:pPr>
      <w:r>
        <w:rPr>
          <w:rFonts w:hint="eastAsia" w:ascii="宋体" w:hAnsi="宋体"/>
          <w:color w:val="000000"/>
          <w:sz w:val="24"/>
        </w:rPr>
        <w:t xml:space="preserve">      满足项目中需要的人脸识别、RFID标签扫描、二维码扫描功能，设备需要稳定可靠，耐用；</w:t>
      </w:r>
    </w:p>
    <w:p>
      <w:pPr>
        <w:pStyle w:val="2"/>
        <w:rPr>
          <w:rFonts w:ascii="宋体" w:hAnsi="宋体"/>
          <w:color w:val="000000"/>
          <w:sz w:val="24"/>
        </w:rPr>
      </w:pPr>
      <w:r>
        <w:rPr>
          <w:rFonts w:hint="eastAsia" w:ascii="宋体" w:hAnsi="宋体"/>
          <w:color w:val="000000"/>
          <w:sz w:val="24"/>
        </w:rPr>
        <w:t xml:space="preserve">      2）工业平板电脑</w:t>
      </w:r>
    </w:p>
    <w:p>
      <w:pPr>
        <w:pStyle w:val="2"/>
        <w:rPr>
          <w:rFonts w:ascii="宋体" w:hAnsi="宋体"/>
          <w:color w:val="000000"/>
          <w:sz w:val="24"/>
        </w:rPr>
      </w:pPr>
      <w:r>
        <w:rPr>
          <w:rFonts w:hint="eastAsia" w:ascii="宋体" w:hAnsi="宋体"/>
          <w:color w:val="000000"/>
          <w:sz w:val="24"/>
        </w:rPr>
        <w:t xml:space="preserve">      数量：4台</w:t>
      </w:r>
    </w:p>
    <w:p>
      <w:pPr>
        <w:pStyle w:val="2"/>
        <w:rPr>
          <w:rFonts w:ascii="宋体" w:hAnsi="宋体"/>
          <w:color w:val="000000"/>
          <w:sz w:val="24"/>
        </w:rPr>
      </w:pPr>
      <w:r>
        <w:rPr>
          <w:rFonts w:hint="eastAsia" w:ascii="宋体" w:hAnsi="宋体"/>
          <w:color w:val="000000"/>
          <w:sz w:val="24"/>
        </w:rPr>
        <w:t xml:space="preserve">      操作系统：不低于Android10</w:t>
      </w:r>
    </w:p>
    <w:p>
      <w:pPr>
        <w:pStyle w:val="2"/>
        <w:rPr>
          <w:rFonts w:ascii="宋体" w:hAnsi="宋体"/>
          <w:color w:val="000000"/>
          <w:sz w:val="24"/>
        </w:rPr>
      </w:pPr>
      <w:r>
        <w:rPr>
          <w:rFonts w:hint="eastAsia" w:ascii="宋体" w:hAnsi="宋体"/>
          <w:color w:val="000000"/>
          <w:sz w:val="24"/>
        </w:rPr>
        <w:t xml:space="preserve">      处理器：不低于8核2.2GHz</w:t>
      </w:r>
    </w:p>
    <w:p>
      <w:pPr>
        <w:pStyle w:val="2"/>
        <w:rPr>
          <w:rFonts w:ascii="宋体" w:hAnsi="宋体"/>
          <w:color w:val="000000"/>
          <w:sz w:val="24"/>
        </w:rPr>
      </w:pPr>
      <w:r>
        <w:rPr>
          <w:rFonts w:hint="eastAsia" w:ascii="宋体" w:hAnsi="宋体"/>
          <w:color w:val="000000"/>
          <w:sz w:val="24"/>
        </w:rPr>
        <w:t xml:space="preserve">      支持二维码扫描，人脸识别</w:t>
      </w:r>
    </w:p>
    <w:p>
      <w:pPr>
        <w:pStyle w:val="2"/>
        <w:rPr>
          <w:rFonts w:ascii="宋体" w:hAnsi="宋体"/>
          <w:color w:val="000000"/>
          <w:sz w:val="24"/>
        </w:rPr>
      </w:pPr>
      <w:r>
        <w:rPr>
          <w:rFonts w:hint="eastAsia" w:ascii="宋体" w:hAnsi="宋体"/>
          <w:color w:val="000000"/>
          <w:sz w:val="24"/>
        </w:rPr>
        <w:t xml:space="preserve">      屏幕尺寸：不小于10.1寸</w:t>
      </w:r>
    </w:p>
    <w:p>
      <w:pPr>
        <w:pStyle w:val="2"/>
        <w:rPr>
          <w:rFonts w:ascii="宋体" w:hAnsi="宋体"/>
          <w:color w:val="000000"/>
          <w:sz w:val="24"/>
        </w:rPr>
      </w:pPr>
      <w:r>
        <w:rPr>
          <w:rFonts w:hint="eastAsia" w:ascii="宋体" w:hAnsi="宋体"/>
          <w:color w:val="000000"/>
          <w:sz w:val="24"/>
        </w:rPr>
        <w:t xml:space="preserve">      数据通讯：支持4g、蓝牙、WIFI</w:t>
      </w:r>
    </w:p>
    <w:p>
      <w:pPr>
        <w:pStyle w:val="2"/>
        <w:rPr>
          <w:rFonts w:ascii="宋体" w:hAnsi="宋体"/>
          <w:color w:val="000000"/>
          <w:sz w:val="24"/>
        </w:rPr>
      </w:pPr>
      <w:r>
        <w:rPr>
          <w:rFonts w:hint="eastAsia" w:ascii="宋体" w:hAnsi="宋体"/>
          <w:color w:val="000000"/>
          <w:sz w:val="24"/>
        </w:rPr>
        <w:t xml:space="preserve">      防护等级：IP67</w:t>
      </w:r>
    </w:p>
    <w:p>
      <w:pPr>
        <w:pStyle w:val="2"/>
        <w:rPr>
          <w:rFonts w:ascii="宋体" w:hAnsi="宋体"/>
          <w:color w:val="000000"/>
          <w:sz w:val="24"/>
        </w:rPr>
      </w:pPr>
      <w:r>
        <w:rPr>
          <w:rFonts w:hint="eastAsia" w:ascii="宋体" w:hAnsi="宋体"/>
          <w:color w:val="000000"/>
          <w:sz w:val="24"/>
        </w:rPr>
        <w:t xml:space="preserve">      满足系统调度需求和人员操作的需求</w:t>
      </w:r>
    </w:p>
    <w:p>
      <w:pPr>
        <w:pStyle w:val="2"/>
        <w:rPr>
          <w:rFonts w:ascii="宋体" w:hAnsi="宋体"/>
          <w:color w:val="000000"/>
          <w:sz w:val="24"/>
        </w:rPr>
      </w:pPr>
      <w:r>
        <w:rPr>
          <w:rFonts w:hint="eastAsia" w:ascii="宋体" w:hAnsi="宋体"/>
          <w:color w:val="000000"/>
          <w:sz w:val="24"/>
        </w:rPr>
        <w:t xml:space="preserve">      3）RFID扫描门</w:t>
      </w:r>
    </w:p>
    <w:p>
      <w:pPr>
        <w:pStyle w:val="2"/>
        <w:rPr>
          <w:rFonts w:ascii="宋体" w:hAnsi="宋体"/>
          <w:color w:val="000000"/>
          <w:sz w:val="24"/>
        </w:rPr>
      </w:pPr>
      <w:r>
        <w:rPr>
          <w:rFonts w:hint="eastAsia" w:ascii="宋体" w:hAnsi="宋体"/>
          <w:color w:val="000000"/>
          <w:sz w:val="24"/>
        </w:rPr>
        <w:t xml:space="preserve">      数量：6套</w:t>
      </w:r>
    </w:p>
    <w:p>
      <w:pPr>
        <w:pStyle w:val="2"/>
        <w:rPr>
          <w:rFonts w:ascii="宋体" w:hAnsi="宋体"/>
          <w:color w:val="000000"/>
          <w:sz w:val="24"/>
        </w:rPr>
      </w:pPr>
      <w:r>
        <w:rPr>
          <w:rFonts w:hint="eastAsia" w:ascii="宋体" w:hAnsi="宋体"/>
          <w:color w:val="000000"/>
          <w:sz w:val="24"/>
        </w:rPr>
        <w:t xml:space="preserve">      能够准确扫描各类款箱、ATM钞箱、凭证包内的RFID标签，实现快速信息化扫描等功能；</w:t>
      </w:r>
    </w:p>
    <w:p>
      <w:pPr>
        <w:pStyle w:val="2"/>
        <w:rPr>
          <w:rFonts w:ascii="宋体" w:hAnsi="宋体"/>
          <w:color w:val="000000"/>
          <w:sz w:val="24"/>
        </w:rPr>
      </w:pPr>
      <w:r>
        <w:rPr>
          <w:rFonts w:hint="eastAsia" w:ascii="宋体" w:hAnsi="宋体"/>
          <w:color w:val="000000"/>
          <w:sz w:val="24"/>
        </w:rPr>
        <w:t xml:space="preserve">      4）显示器</w:t>
      </w:r>
    </w:p>
    <w:p>
      <w:pPr>
        <w:pStyle w:val="2"/>
        <w:rPr>
          <w:rFonts w:ascii="宋体" w:hAnsi="宋体"/>
          <w:color w:val="000000"/>
          <w:sz w:val="24"/>
        </w:rPr>
      </w:pPr>
      <w:r>
        <w:rPr>
          <w:rFonts w:hint="eastAsia" w:ascii="宋体" w:hAnsi="宋体"/>
          <w:color w:val="000000"/>
          <w:sz w:val="24"/>
        </w:rPr>
        <w:t xml:space="preserve">      数量：6个</w:t>
      </w:r>
    </w:p>
    <w:p>
      <w:pPr>
        <w:pStyle w:val="2"/>
        <w:rPr>
          <w:rFonts w:ascii="宋体" w:hAnsi="宋体"/>
          <w:color w:val="000000"/>
          <w:sz w:val="24"/>
        </w:rPr>
      </w:pPr>
      <w:r>
        <w:rPr>
          <w:rFonts w:hint="eastAsia" w:ascii="宋体" w:hAnsi="宋体"/>
          <w:color w:val="000000"/>
          <w:sz w:val="24"/>
        </w:rPr>
        <w:t xml:space="preserve">      尺寸：不小于40寸</w:t>
      </w:r>
    </w:p>
    <w:p>
      <w:pPr>
        <w:pStyle w:val="2"/>
        <w:rPr>
          <w:rFonts w:ascii="宋体" w:hAnsi="宋体"/>
          <w:color w:val="000000"/>
          <w:sz w:val="24"/>
        </w:rPr>
      </w:pPr>
      <w:r>
        <w:rPr>
          <w:rFonts w:hint="eastAsia" w:ascii="宋体" w:hAnsi="宋体"/>
          <w:color w:val="000000"/>
          <w:sz w:val="24"/>
        </w:rPr>
        <w:t xml:space="preserve">      5）电脑一体机</w:t>
      </w:r>
    </w:p>
    <w:p>
      <w:pPr>
        <w:pStyle w:val="2"/>
        <w:rPr>
          <w:rFonts w:ascii="宋体" w:hAnsi="宋体"/>
          <w:color w:val="000000"/>
          <w:sz w:val="24"/>
        </w:rPr>
      </w:pPr>
      <w:r>
        <w:rPr>
          <w:rFonts w:hint="eastAsia" w:ascii="宋体" w:hAnsi="宋体"/>
          <w:color w:val="000000"/>
          <w:sz w:val="24"/>
        </w:rPr>
        <w:t xml:space="preserve">      数量：6台</w:t>
      </w:r>
    </w:p>
    <w:p>
      <w:pPr>
        <w:pStyle w:val="2"/>
        <w:rPr>
          <w:rFonts w:ascii="宋体" w:hAnsi="宋体"/>
          <w:color w:val="000000"/>
          <w:sz w:val="24"/>
        </w:rPr>
      </w:pPr>
      <w:r>
        <w:rPr>
          <w:rFonts w:hint="eastAsia" w:ascii="宋体" w:hAnsi="宋体"/>
          <w:color w:val="000000"/>
          <w:sz w:val="24"/>
        </w:rPr>
        <w:t xml:space="preserve">      CPU：不低于i5</w:t>
      </w:r>
    </w:p>
    <w:p>
      <w:pPr>
        <w:pStyle w:val="2"/>
        <w:rPr>
          <w:rFonts w:ascii="宋体" w:hAnsi="宋体"/>
          <w:color w:val="000000"/>
          <w:sz w:val="24"/>
        </w:rPr>
      </w:pPr>
      <w:r>
        <w:rPr>
          <w:rFonts w:hint="eastAsia" w:ascii="宋体" w:hAnsi="宋体"/>
          <w:color w:val="000000"/>
          <w:sz w:val="24"/>
        </w:rPr>
        <w:t xml:space="preserve">      运行内存：不低于8G</w:t>
      </w:r>
    </w:p>
    <w:p>
      <w:pPr>
        <w:pStyle w:val="2"/>
        <w:rPr>
          <w:rFonts w:ascii="宋体" w:hAnsi="宋体"/>
          <w:color w:val="000000"/>
          <w:sz w:val="24"/>
        </w:rPr>
      </w:pPr>
      <w:r>
        <w:rPr>
          <w:rFonts w:hint="eastAsia" w:ascii="宋体" w:hAnsi="宋体"/>
          <w:color w:val="000000"/>
          <w:sz w:val="24"/>
        </w:rPr>
        <w:t xml:space="preserve">      硬盘：不低于256G</w:t>
      </w:r>
    </w:p>
    <w:p>
      <w:pPr>
        <w:pStyle w:val="2"/>
        <w:rPr>
          <w:rFonts w:ascii="宋体" w:hAnsi="宋体"/>
          <w:color w:val="000000"/>
          <w:sz w:val="24"/>
        </w:rPr>
      </w:pPr>
      <w:r>
        <w:rPr>
          <w:rFonts w:hint="eastAsia" w:ascii="宋体" w:hAnsi="宋体"/>
          <w:color w:val="000000"/>
          <w:sz w:val="24"/>
        </w:rPr>
        <w:t xml:space="preserve">      其他系统部署所需的设备，投标方根据方案自行补充；</w:t>
      </w:r>
    </w:p>
    <w:p>
      <w:pPr>
        <w:pStyle w:val="2"/>
        <w:rPr>
          <w:rFonts w:ascii="宋体" w:hAnsi="宋体"/>
          <w:color w:val="000000"/>
          <w:sz w:val="24"/>
        </w:rPr>
      </w:pPr>
      <w:r>
        <w:rPr>
          <w:rFonts w:hint="eastAsia" w:ascii="宋体" w:hAnsi="宋体"/>
          <w:color w:val="000000"/>
          <w:sz w:val="24"/>
        </w:rPr>
        <w:t xml:space="preserve">      3.13配款间自动下料分拣台</w:t>
      </w:r>
    </w:p>
    <w:p>
      <w:pPr>
        <w:pStyle w:val="2"/>
        <w:rPr>
          <w:rFonts w:ascii="宋体" w:hAnsi="宋体"/>
          <w:color w:val="000000"/>
          <w:sz w:val="24"/>
        </w:rPr>
      </w:pPr>
      <w:r>
        <w:rPr>
          <w:rFonts w:hint="eastAsia" w:ascii="宋体" w:hAnsi="宋体"/>
          <w:color w:val="000000"/>
          <w:sz w:val="24"/>
        </w:rPr>
        <w:t xml:space="preserve">      1）操作台</w:t>
      </w:r>
    </w:p>
    <w:p>
      <w:pPr>
        <w:pStyle w:val="2"/>
        <w:rPr>
          <w:rFonts w:ascii="宋体" w:hAnsi="宋体"/>
          <w:color w:val="000000"/>
          <w:sz w:val="24"/>
        </w:rPr>
      </w:pPr>
      <w:r>
        <w:rPr>
          <w:rFonts w:hint="eastAsia" w:ascii="宋体" w:hAnsi="宋体"/>
          <w:color w:val="000000"/>
          <w:sz w:val="24"/>
        </w:rPr>
        <w:t xml:space="preserve">      数量：3台</w:t>
      </w:r>
    </w:p>
    <w:p>
      <w:pPr>
        <w:pStyle w:val="2"/>
        <w:rPr>
          <w:rFonts w:ascii="宋体" w:hAnsi="宋体"/>
          <w:color w:val="000000"/>
          <w:sz w:val="24"/>
        </w:rPr>
      </w:pPr>
      <w:r>
        <w:rPr>
          <w:rFonts w:hint="eastAsia" w:ascii="宋体" w:hAnsi="宋体"/>
          <w:color w:val="000000"/>
          <w:sz w:val="24"/>
        </w:rPr>
        <w:t xml:space="preserve">      要求白钢台面，结实耐用，符合人体工程学要求，考虑业务需求设计合理设备布局；</w:t>
      </w:r>
    </w:p>
    <w:p>
      <w:pPr>
        <w:pStyle w:val="2"/>
        <w:rPr>
          <w:rFonts w:ascii="宋体" w:hAnsi="宋体"/>
          <w:color w:val="000000"/>
          <w:sz w:val="24"/>
        </w:rPr>
      </w:pPr>
      <w:r>
        <w:rPr>
          <w:rFonts w:hint="eastAsia" w:ascii="宋体" w:hAnsi="宋体"/>
          <w:color w:val="000000"/>
          <w:sz w:val="24"/>
        </w:rPr>
        <w:t xml:space="preserve">      2）下料分拣线体</w:t>
      </w:r>
    </w:p>
    <w:p>
      <w:pPr>
        <w:pStyle w:val="2"/>
        <w:rPr>
          <w:rFonts w:ascii="宋体" w:hAnsi="宋体"/>
          <w:color w:val="000000"/>
          <w:sz w:val="24"/>
        </w:rPr>
      </w:pPr>
      <w:r>
        <w:rPr>
          <w:rFonts w:hint="eastAsia" w:ascii="宋体" w:hAnsi="宋体"/>
          <w:color w:val="000000"/>
          <w:sz w:val="24"/>
        </w:rPr>
        <w:t xml:space="preserve">      数量：1套</w:t>
      </w:r>
    </w:p>
    <w:p>
      <w:pPr>
        <w:pStyle w:val="2"/>
        <w:rPr>
          <w:rFonts w:ascii="宋体" w:hAnsi="宋体"/>
          <w:color w:val="000000"/>
          <w:sz w:val="24"/>
        </w:rPr>
      </w:pPr>
      <w:r>
        <w:rPr>
          <w:rFonts w:hint="eastAsia" w:ascii="宋体" w:hAnsi="宋体"/>
          <w:color w:val="000000"/>
          <w:sz w:val="24"/>
        </w:rPr>
        <w:t xml:space="preserve">      实现3个开箱台现金下料自动化分拣汇总，对接现金箱分拣机器人抓取码垛，能够识别各个开箱台下料情况上报控制系统，按要求和分拣机器人进行配合分类装车；</w:t>
      </w:r>
    </w:p>
    <w:p>
      <w:pPr>
        <w:pStyle w:val="2"/>
        <w:rPr>
          <w:rFonts w:ascii="宋体" w:hAnsi="宋体"/>
          <w:color w:val="000000"/>
          <w:sz w:val="24"/>
        </w:rPr>
      </w:pPr>
      <w:r>
        <w:rPr>
          <w:rFonts w:hint="eastAsia" w:ascii="宋体" w:hAnsi="宋体"/>
          <w:color w:val="000000"/>
          <w:sz w:val="24"/>
        </w:rPr>
        <w:t xml:space="preserve">      3.14清分间下拨中心升级改造要求</w:t>
      </w:r>
    </w:p>
    <w:p>
      <w:pPr>
        <w:pStyle w:val="2"/>
        <w:rPr>
          <w:rFonts w:asciiTheme="minorEastAsia" w:hAnsiTheme="minorEastAsia" w:cstheme="minorEastAsia"/>
          <w:sz w:val="28"/>
          <w:szCs w:val="28"/>
        </w:rPr>
      </w:pPr>
      <w:r>
        <w:rPr>
          <w:rFonts w:hint="eastAsia" w:ascii="宋体" w:hAnsi="宋体"/>
          <w:color w:val="000000"/>
          <w:sz w:val="24"/>
        </w:rPr>
        <w:t xml:space="preserve">      数量：4台</w:t>
      </w:r>
    </w:p>
    <w:p>
      <w:pPr>
        <w:pStyle w:val="2"/>
      </w:pPr>
      <w:r>
        <w:rPr>
          <w:rFonts w:hint="eastAsia"/>
        </w:rPr>
        <w:t xml:space="preserve">       增加4台设备，实现清分中心目前4个下拨线体的对接，同时对接分拣机器人，实现现金箱的上料自动化，按业务需求实现箱体数量在位情况识别，下拨顺序的排班，以及小币种人机配合下拨的功能需求；</w:t>
      </w:r>
    </w:p>
    <w:p>
      <w:pPr>
        <w:pStyle w:val="2"/>
      </w:pPr>
      <w:r>
        <w:rPr>
          <w:rFonts w:hint="eastAsia"/>
        </w:rPr>
        <w:t xml:space="preserve">       3.15库区自动化综合调度系统</w:t>
      </w:r>
    </w:p>
    <w:p>
      <w:pPr>
        <w:pStyle w:val="2"/>
      </w:pPr>
      <w:r>
        <w:rPr>
          <w:rFonts w:hint="eastAsia"/>
        </w:rPr>
        <w:t xml:space="preserve">       实现与运输机器人、分拣机器人、信息化设备、各个平移门及电梯等本项目中的自动化设备进行按业务需求逻辑联动控制；</w:t>
      </w:r>
    </w:p>
    <w:p>
      <w:pPr>
        <w:pStyle w:val="2"/>
      </w:pPr>
      <w:r>
        <w:rPr>
          <w:rFonts w:hint="eastAsia"/>
        </w:rPr>
        <w:t xml:space="preserve">       3.16分见面交接系统</w:t>
      </w:r>
    </w:p>
    <w:p>
      <w:pPr>
        <w:pStyle w:val="2"/>
      </w:pPr>
      <w:r>
        <w:rPr>
          <w:rFonts w:hint="eastAsia"/>
        </w:rPr>
        <w:t xml:space="preserve">       实现区域中心内部业务的非见面交接业务形式，通过扫描设备、信息化设备实现人+物业务全程的信息化管理，确保业务的高效准确；</w:t>
      </w:r>
    </w:p>
    <w:p>
      <w:pPr>
        <w:pStyle w:val="2"/>
      </w:pPr>
      <w:r>
        <w:rPr>
          <w:rFonts w:hint="eastAsia"/>
        </w:rPr>
        <w:t xml:space="preserve">       3.17其它</w:t>
      </w:r>
    </w:p>
    <w:p>
      <w:pPr>
        <w:pStyle w:val="2"/>
        <w:rPr>
          <w:rFonts w:hint="eastAsia"/>
        </w:rPr>
      </w:pPr>
      <w:r>
        <w:rPr>
          <w:rFonts w:hint="eastAsia"/>
        </w:rPr>
        <w:t xml:space="preserve">       根据项目需求客户自拟其他配套设备需求，辅材需求以及相应的场地原有设备调整需求，并负责实施完成，：投标人可根据系统及要求适当上调设备数量，但不可低于以上设备数量要求；</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3、技术方案要求</w:t>
      </w:r>
    </w:p>
    <w:p>
      <w:pPr>
        <w:widowControl/>
        <w:snapToGrid w:val="0"/>
        <w:spacing w:line="360" w:lineRule="auto"/>
        <w:ind w:firstLine="480" w:firstLineChars="200"/>
        <w:jc w:val="left"/>
        <w:rPr>
          <w:rFonts w:ascii="宋体" w:hAnsi="宋体"/>
          <w:color w:val="000000"/>
          <w:sz w:val="24"/>
        </w:rPr>
      </w:pPr>
      <w:r>
        <w:rPr>
          <w:rFonts w:hint="eastAsia" w:ascii="宋体" w:hAnsi="宋体"/>
          <w:color w:val="000000"/>
          <w:sz w:val="24"/>
        </w:rPr>
        <w:t>根据南通区域现金处理中心的业务情况，投标方需制定清晰的解决方案，（包括不限于业务系统、业务流程、智能化产品、效率节拍等全面的规划方案技术资料），技术方案文本格式自行定义。</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before="156" w:beforeLines="50" w:after="156" w:afterLines="50" w:line="360" w:lineRule="auto"/>
        <w:ind w:firstLine="2249" w:firstLineChars="700"/>
        <w:rPr>
          <w:rFonts w:ascii="宋体" w:hAnsi="宋体"/>
          <w:b/>
          <w:bCs/>
          <w:sz w:val="32"/>
          <w:szCs w:val="32"/>
        </w:rPr>
      </w:pPr>
      <w:r>
        <w:rPr>
          <w:rFonts w:hint="eastAsia" w:ascii="宋体" w:hAnsi="宋体"/>
          <w:b/>
          <w:bCs/>
          <w:sz w:val="32"/>
          <w:szCs w:val="32"/>
        </w:rPr>
        <w:t>第三章  评标办法（综合评分法）</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第一条  评标原则</w:t>
      </w:r>
    </w:p>
    <w:p>
      <w:pPr>
        <w:pStyle w:val="5"/>
        <w:adjustRightInd w:val="0"/>
        <w:snapToGrid w:val="0"/>
        <w:ind w:firstLine="480" w:firstLineChars="200"/>
        <w:rPr>
          <w:rFonts w:hAnsi="宋体"/>
          <w:kern w:val="2"/>
          <w:szCs w:val="24"/>
        </w:rPr>
      </w:pPr>
      <w:r>
        <w:rPr>
          <w:rFonts w:hint="eastAsia" w:hAnsi="宋体"/>
          <w:kern w:val="2"/>
          <w:szCs w:val="24"/>
        </w:rPr>
        <w:t>1、符合资格的投标人数量不少于三个时，进入评选程序，不足三家的本项目流选。</w:t>
      </w:r>
    </w:p>
    <w:p>
      <w:pPr>
        <w:pStyle w:val="5"/>
        <w:adjustRightInd w:val="0"/>
        <w:snapToGrid w:val="0"/>
        <w:ind w:firstLine="480" w:firstLineChars="200"/>
        <w:rPr>
          <w:rFonts w:hAnsi="宋体"/>
          <w:kern w:val="2"/>
          <w:szCs w:val="24"/>
        </w:rPr>
      </w:pPr>
      <w:r>
        <w:rPr>
          <w:rFonts w:hint="eastAsia" w:hAnsi="宋体"/>
          <w:kern w:val="2"/>
          <w:szCs w:val="24"/>
        </w:rPr>
        <w:t>2、投标人资格同时审查，资格审查未通过的，不再对其后续文件进行评审。</w:t>
      </w:r>
    </w:p>
    <w:p>
      <w:pPr>
        <w:pStyle w:val="5"/>
        <w:adjustRightInd w:val="0"/>
        <w:snapToGrid w:val="0"/>
        <w:ind w:firstLine="480" w:firstLineChars="200"/>
        <w:rPr>
          <w:rFonts w:hAnsi="宋体"/>
          <w:kern w:val="2"/>
          <w:szCs w:val="24"/>
        </w:rPr>
      </w:pPr>
      <w:r>
        <w:rPr>
          <w:rFonts w:hint="eastAsia" w:hAnsi="宋体"/>
          <w:kern w:val="2"/>
          <w:szCs w:val="24"/>
        </w:rPr>
        <w:t>3、本项目投标报价以一次性报价为准。</w:t>
      </w:r>
    </w:p>
    <w:p>
      <w:pPr>
        <w:pStyle w:val="5"/>
        <w:adjustRightInd w:val="0"/>
        <w:snapToGrid w:val="0"/>
        <w:ind w:firstLine="480" w:firstLineChars="200"/>
        <w:rPr>
          <w:rFonts w:hAnsi="宋体"/>
          <w:kern w:val="2"/>
          <w:szCs w:val="24"/>
        </w:rPr>
      </w:pPr>
      <w:r>
        <w:rPr>
          <w:rFonts w:hint="eastAsia" w:hAnsi="宋体"/>
          <w:kern w:val="2"/>
          <w:szCs w:val="24"/>
        </w:rPr>
        <w:t>4、投标人提供的资料必须真实有效，评委在评审中如发现有弄虚作假行为，按无效投标文件处理，骗取中标的，将取消其中标资格。</w:t>
      </w:r>
    </w:p>
    <w:p>
      <w:pPr>
        <w:pStyle w:val="5"/>
        <w:adjustRightInd w:val="0"/>
        <w:snapToGrid w:val="0"/>
        <w:ind w:firstLine="480" w:firstLineChars="200"/>
        <w:rPr>
          <w:rFonts w:hAnsi="宋体"/>
          <w:kern w:val="2"/>
          <w:szCs w:val="24"/>
        </w:rPr>
      </w:pPr>
      <w:r>
        <w:rPr>
          <w:rFonts w:hint="eastAsia" w:hAnsi="宋体"/>
          <w:kern w:val="2"/>
          <w:szCs w:val="24"/>
        </w:rPr>
        <w:t>5、如第一中标候选人放弃中标资格的或者被取消中标资格的，则确定综合得分第二名的投标人为中标候选人，以此类推。</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第二条  评审细则</w:t>
      </w:r>
    </w:p>
    <w:p>
      <w:pPr>
        <w:adjustRightInd w:val="0"/>
        <w:snapToGrid w:val="0"/>
        <w:spacing w:line="360" w:lineRule="auto"/>
        <w:ind w:firstLine="480" w:firstLineChars="200"/>
        <w:rPr>
          <w:rFonts w:ascii="宋体" w:hAnsi="宋体"/>
          <w:sz w:val="24"/>
        </w:rPr>
      </w:pPr>
      <w:r>
        <w:rPr>
          <w:rFonts w:hint="eastAsia" w:ascii="宋体" w:hAnsi="宋体"/>
          <w:sz w:val="24"/>
        </w:rPr>
        <w:t>本项目采用综合评分法。分资格审查、技术标、商务标三部分评审，总分值为100分。</w:t>
      </w:r>
    </w:p>
    <w:p>
      <w:pPr>
        <w:numPr>
          <w:ilvl w:val="0"/>
          <w:numId w:val="2"/>
        </w:numPr>
        <w:adjustRightInd w:val="0"/>
        <w:snapToGrid w:val="0"/>
        <w:spacing w:line="360" w:lineRule="auto"/>
        <w:ind w:firstLine="480" w:firstLineChars="200"/>
        <w:rPr>
          <w:rFonts w:ascii="宋体" w:hAnsi="宋体"/>
          <w:sz w:val="24"/>
        </w:rPr>
      </w:pPr>
      <w:r>
        <w:rPr>
          <w:rFonts w:hint="eastAsia" w:ascii="宋体" w:hAnsi="宋体"/>
          <w:sz w:val="24"/>
        </w:rPr>
        <w:t>资格审查（符合性评审）</w:t>
      </w:r>
    </w:p>
    <w:p>
      <w:pPr>
        <w:adjustRightInd w:val="0"/>
        <w:snapToGrid w:val="0"/>
        <w:spacing w:line="360" w:lineRule="auto"/>
        <w:ind w:firstLine="480" w:firstLineChars="200"/>
        <w:rPr>
          <w:rFonts w:ascii="宋体" w:hAnsi="宋体"/>
          <w:sz w:val="24"/>
        </w:rPr>
      </w:pPr>
      <w:r>
        <w:rPr>
          <w:rFonts w:hint="eastAsia" w:ascii="宋体" w:hAnsi="宋体"/>
          <w:sz w:val="24"/>
        </w:rPr>
        <w:t>本次资格审查采用合格制，各投标人只有满足资格审查必要合格条件后，方可参与后续评审。</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3"/>
        </w:numPr>
        <w:adjustRightInd w:val="0"/>
        <w:snapToGrid w:val="0"/>
        <w:spacing w:line="360" w:lineRule="auto"/>
        <w:ind w:firstLine="480" w:firstLineChars="200"/>
        <w:rPr>
          <w:rFonts w:ascii="宋体" w:hAnsi="宋体"/>
          <w:sz w:val="24"/>
        </w:rPr>
      </w:pPr>
      <w:r>
        <w:rPr>
          <w:rFonts w:hint="eastAsia" w:ascii="宋体" w:hAnsi="宋体"/>
          <w:sz w:val="24"/>
        </w:rPr>
        <w:t>技术标部分评审</w:t>
      </w:r>
    </w:p>
    <w:tbl>
      <w:tblPr>
        <w:tblStyle w:val="13"/>
        <w:tblpPr w:leftFromText="180" w:rightFromText="180" w:vertAnchor="text" w:horzAnchor="margin" w:tblpX="-147" w:tblpY="737"/>
        <w:tblOverlap w:val="never"/>
        <w:tblW w:w="5209" w:type="pct"/>
        <w:tblInd w:w="0" w:type="dxa"/>
        <w:tblLayout w:type="fixed"/>
        <w:tblCellMar>
          <w:top w:w="0" w:type="dxa"/>
          <w:left w:w="108" w:type="dxa"/>
          <w:bottom w:w="0" w:type="dxa"/>
          <w:right w:w="108" w:type="dxa"/>
        </w:tblCellMar>
      </w:tblPr>
      <w:tblGrid>
        <w:gridCol w:w="728"/>
        <w:gridCol w:w="1017"/>
        <w:gridCol w:w="728"/>
        <w:gridCol w:w="6405"/>
      </w:tblGrid>
      <w:tr>
        <w:tblPrEx>
          <w:tblCellMar>
            <w:top w:w="0" w:type="dxa"/>
            <w:left w:w="108" w:type="dxa"/>
            <w:bottom w:w="0" w:type="dxa"/>
            <w:right w:w="108" w:type="dxa"/>
          </w:tblCellMar>
        </w:tblPrEx>
        <w:trPr>
          <w:cantSplit/>
          <w:trHeight w:val="680" w:hRule="atLeast"/>
        </w:trPr>
        <w:tc>
          <w:tcPr>
            <w:tcW w:w="41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 xml:space="preserve">序号 </w:t>
            </w:r>
          </w:p>
        </w:tc>
        <w:tc>
          <w:tcPr>
            <w:tcW w:w="57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 xml:space="preserve">评分点名称 </w:t>
            </w:r>
          </w:p>
        </w:tc>
        <w:tc>
          <w:tcPr>
            <w:tcW w:w="410"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分值</w:t>
            </w:r>
          </w:p>
        </w:tc>
        <w:tc>
          <w:tcPr>
            <w:tcW w:w="3607"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评审标准</w:t>
            </w:r>
          </w:p>
        </w:tc>
      </w:tr>
      <w:tr>
        <w:tblPrEx>
          <w:tblCellMar>
            <w:top w:w="0" w:type="dxa"/>
            <w:left w:w="108" w:type="dxa"/>
            <w:bottom w:w="0" w:type="dxa"/>
            <w:right w:w="108" w:type="dxa"/>
          </w:tblCellMar>
        </w:tblPrEx>
        <w:trPr>
          <w:cantSplit/>
          <w:trHeight w:val="699"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b/>
                <w:bCs/>
                <w:kern w:val="0"/>
                <w:szCs w:val="21"/>
              </w:rPr>
            </w:pPr>
            <w:r>
              <w:rPr>
                <w:rFonts w:hint="eastAsia" w:ascii="宋体" w:hAnsi="宋体"/>
                <w:b/>
                <w:bCs/>
                <w:kern w:val="0"/>
                <w:szCs w:val="21"/>
              </w:rPr>
              <w:t>1</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b/>
                <w:bCs/>
                <w:kern w:val="0"/>
                <w:szCs w:val="21"/>
              </w:rPr>
            </w:pPr>
            <w:r>
              <w:rPr>
                <w:rFonts w:hint="eastAsia" w:ascii="宋体" w:hAnsi="宋体"/>
                <w:b/>
                <w:bCs/>
                <w:kern w:val="0"/>
                <w:szCs w:val="21"/>
              </w:rPr>
              <w:t>技术</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b/>
                <w:bCs/>
                <w:kern w:val="0"/>
                <w:szCs w:val="21"/>
              </w:rPr>
            </w:pPr>
            <w:r>
              <w:rPr>
                <w:rFonts w:hint="eastAsia" w:ascii="宋体" w:hAnsi="宋体"/>
                <w:b/>
                <w:bCs/>
                <w:kern w:val="0"/>
                <w:szCs w:val="21"/>
              </w:rPr>
              <w:t>60</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b/>
                <w:bCs/>
                <w:kern w:val="0"/>
                <w:szCs w:val="21"/>
              </w:rPr>
            </w:pPr>
            <w:r>
              <w:rPr>
                <w:rFonts w:hint="eastAsia" w:ascii="宋体" w:hAnsi="宋体"/>
                <w:b/>
                <w:bCs/>
                <w:kern w:val="0"/>
                <w:szCs w:val="21"/>
              </w:rPr>
              <w:t>技术 60分</w:t>
            </w:r>
          </w:p>
        </w:tc>
      </w:tr>
      <w:tr>
        <w:tblPrEx>
          <w:tblCellMar>
            <w:top w:w="0" w:type="dxa"/>
            <w:left w:w="108" w:type="dxa"/>
            <w:bottom w:w="0" w:type="dxa"/>
            <w:right w:w="108" w:type="dxa"/>
          </w:tblCellMar>
        </w:tblPrEx>
        <w:trPr>
          <w:cantSplit/>
          <w:trHeight w:val="1015"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1.1</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规划方案</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kern w:val="0"/>
                <w:szCs w:val="21"/>
              </w:rPr>
            </w:pPr>
            <w:r>
              <w:rPr>
                <w:rFonts w:hint="eastAsia" w:ascii="宋体" w:hAnsi="宋体"/>
                <w:kern w:val="0"/>
                <w:szCs w:val="21"/>
              </w:rPr>
              <w:t>30</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kern w:val="0"/>
                <w:szCs w:val="21"/>
              </w:rPr>
            </w:pPr>
            <w:r>
              <w:rPr>
                <w:rFonts w:hint="eastAsia" w:ascii="宋体" w:hAnsi="宋体"/>
                <w:kern w:val="0"/>
                <w:szCs w:val="21"/>
              </w:rPr>
              <w:t>根据投标人对项目建设内容的理解打分，重点考核建设内容的完整性、合理性和针对性，优得20--30分，良得10-19分，一般得1-9分，差得0分。本项最高得30分。</w:t>
            </w:r>
          </w:p>
        </w:tc>
      </w:tr>
      <w:tr>
        <w:tblPrEx>
          <w:tblCellMar>
            <w:top w:w="0" w:type="dxa"/>
            <w:left w:w="108" w:type="dxa"/>
            <w:bottom w:w="0" w:type="dxa"/>
            <w:right w:w="108" w:type="dxa"/>
          </w:tblCellMar>
        </w:tblPrEx>
        <w:trPr>
          <w:cantSplit/>
          <w:trHeight w:val="1249"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1.2</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业务流程的合理性</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kern w:val="0"/>
                <w:szCs w:val="21"/>
              </w:rPr>
            </w:pPr>
            <w:r>
              <w:rPr>
                <w:rFonts w:hint="eastAsia" w:ascii="宋体" w:hAnsi="宋体"/>
                <w:kern w:val="0"/>
                <w:szCs w:val="21"/>
              </w:rPr>
              <w:t>20</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kern w:val="0"/>
                <w:szCs w:val="21"/>
              </w:rPr>
            </w:pPr>
            <w:r>
              <w:rPr>
                <w:rFonts w:hint="eastAsia" w:ascii="宋体" w:hAnsi="宋体"/>
                <w:kern w:val="0"/>
                <w:szCs w:val="21"/>
              </w:rPr>
              <w:t>针对软件业务流程设计内容与业务的贴合度，进行理解打分，优得13-20分，良得7-12分，一般得1-6分，差得0分。本项最高得20分。</w:t>
            </w:r>
          </w:p>
        </w:tc>
      </w:tr>
      <w:tr>
        <w:tblPrEx>
          <w:tblCellMar>
            <w:top w:w="0" w:type="dxa"/>
            <w:left w:w="108" w:type="dxa"/>
            <w:bottom w:w="0" w:type="dxa"/>
            <w:right w:w="108" w:type="dxa"/>
          </w:tblCellMar>
        </w:tblPrEx>
        <w:trPr>
          <w:cantSplit/>
          <w:trHeight w:val="1351"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1.3</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实施方案</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kern w:val="0"/>
                <w:szCs w:val="21"/>
              </w:rPr>
            </w:pPr>
            <w:r>
              <w:rPr>
                <w:rFonts w:hint="eastAsia" w:ascii="宋体" w:hAnsi="宋体"/>
                <w:kern w:val="0"/>
                <w:szCs w:val="21"/>
              </w:rPr>
              <w:t>10</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kern w:val="0"/>
                <w:szCs w:val="21"/>
              </w:rPr>
            </w:pPr>
            <w:r>
              <w:rPr>
                <w:rFonts w:hint="eastAsia" w:ascii="宋体" w:hAnsi="宋体"/>
                <w:kern w:val="0"/>
                <w:szCs w:val="21"/>
              </w:rPr>
              <w:t>根据投标人提供的项目实施方案进行理解打分，重点审核实施方案的合理性等方面进行打分。优得8-10分，良得5-7分，一般得1-4分，差得0分。本项最高得10分。</w:t>
            </w:r>
          </w:p>
        </w:tc>
      </w:tr>
      <w:tr>
        <w:tblPrEx>
          <w:tblCellMar>
            <w:top w:w="0" w:type="dxa"/>
            <w:left w:w="108" w:type="dxa"/>
            <w:bottom w:w="0" w:type="dxa"/>
            <w:right w:w="108" w:type="dxa"/>
          </w:tblCellMar>
        </w:tblPrEx>
        <w:trPr>
          <w:cantSplit/>
          <w:trHeight w:val="648"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b/>
                <w:bCs/>
                <w:kern w:val="0"/>
                <w:szCs w:val="21"/>
              </w:rPr>
            </w:pPr>
            <w:r>
              <w:rPr>
                <w:rFonts w:hint="eastAsia" w:ascii="宋体" w:hAnsi="宋体"/>
                <w:b/>
                <w:bCs/>
                <w:kern w:val="0"/>
                <w:szCs w:val="21"/>
              </w:rPr>
              <w:t>2</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b/>
                <w:bCs/>
                <w:kern w:val="0"/>
                <w:szCs w:val="21"/>
              </w:rPr>
            </w:pPr>
            <w:r>
              <w:rPr>
                <w:rFonts w:hint="eastAsia" w:ascii="宋体" w:hAnsi="宋体"/>
                <w:b/>
                <w:bCs/>
                <w:kern w:val="0"/>
                <w:szCs w:val="21"/>
              </w:rPr>
              <w:t>售后服务</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b/>
                <w:bCs/>
                <w:kern w:val="0"/>
                <w:szCs w:val="21"/>
              </w:rPr>
            </w:pPr>
            <w:r>
              <w:rPr>
                <w:rFonts w:hint="eastAsia" w:ascii="宋体" w:hAnsi="宋体"/>
                <w:b/>
                <w:bCs/>
                <w:kern w:val="0"/>
                <w:szCs w:val="21"/>
              </w:rPr>
              <w:t>10</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b/>
                <w:bCs/>
                <w:kern w:val="0"/>
                <w:szCs w:val="21"/>
              </w:rPr>
            </w:pPr>
            <w:r>
              <w:rPr>
                <w:rFonts w:hint="eastAsia" w:ascii="宋体" w:hAnsi="宋体"/>
                <w:b/>
                <w:bCs/>
                <w:kern w:val="0"/>
                <w:szCs w:val="21"/>
              </w:rPr>
              <w:t>服务 10分</w:t>
            </w:r>
          </w:p>
        </w:tc>
      </w:tr>
      <w:tr>
        <w:tblPrEx>
          <w:tblCellMar>
            <w:top w:w="0" w:type="dxa"/>
            <w:left w:w="108" w:type="dxa"/>
            <w:bottom w:w="0" w:type="dxa"/>
            <w:right w:w="108" w:type="dxa"/>
          </w:tblCellMar>
        </w:tblPrEx>
        <w:trPr>
          <w:cantSplit/>
          <w:trHeight w:val="760"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2.1</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培训方案</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kern w:val="0"/>
                <w:szCs w:val="21"/>
              </w:rPr>
            </w:pPr>
            <w:r>
              <w:rPr>
                <w:rFonts w:hint="eastAsia" w:ascii="宋体" w:hAnsi="宋体"/>
                <w:kern w:val="0"/>
                <w:szCs w:val="21"/>
              </w:rPr>
              <w:t>3</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kern w:val="0"/>
                <w:szCs w:val="21"/>
              </w:rPr>
            </w:pPr>
            <w:r>
              <w:rPr>
                <w:rFonts w:hint="eastAsia" w:ascii="宋体" w:hAnsi="宋体"/>
                <w:kern w:val="0"/>
                <w:szCs w:val="21"/>
              </w:rPr>
              <w:t>根据投标人提供的操作、维护人员的培训方案及计划等评分，优得3分，良得2分，一般得1分，差得0分。本项最高得3分。</w:t>
            </w:r>
          </w:p>
        </w:tc>
      </w:tr>
      <w:tr>
        <w:tblPrEx>
          <w:tblCellMar>
            <w:top w:w="0" w:type="dxa"/>
            <w:left w:w="108" w:type="dxa"/>
            <w:bottom w:w="0" w:type="dxa"/>
            <w:right w:w="108" w:type="dxa"/>
          </w:tblCellMar>
        </w:tblPrEx>
        <w:trPr>
          <w:cantSplit/>
          <w:trHeight w:val="1351"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2.2</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kern w:val="0"/>
                <w:szCs w:val="21"/>
              </w:rPr>
            </w:pPr>
            <w:r>
              <w:rPr>
                <w:rFonts w:hint="eastAsia" w:ascii="宋体" w:hAnsi="宋体"/>
                <w:kern w:val="0"/>
                <w:szCs w:val="21"/>
              </w:rPr>
              <w:t>售后服务方案</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kern w:val="0"/>
                <w:szCs w:val="21"/>
              </w:rPr>
            </w:pPr>
            <w:r>
              <w:rPr>
                <w:rFonts w:hint="eastAsia" w:ascii="宋体" w:hAnsi="宋体"/>
                <w:kern w:val="0"/>
                <w:szCs w:val="21"/>
              </w:rPr>
              <w:t>7</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kern w:val="0"/>
                <w:szCs w:val="21"/>
              </w:rPr>
            </w:pPr>
            <w:r>
              <w:rPr>
                <w:rFonts w:hint="eastAsia" w:ascii="宋体" w:hAnsi="宋体"/>
                <w:kern w:val="0"/>
                <w:szCs w:val="21"/>
              </w:rPr>
              <w:t>根据投标人在质保期内的售后服务体系、售后服务人员的技术水平及现场服务措施（如派驻人员、响应时间、服务范围、应急处理方案）等评分 ，优得5-7分，良得3-4分，一般得1-2分，差得0分。本项最高得7分。</w:t>
            </w:r>
          </w:p>
        </w:tc>
      </w:tr>
      <w:tr>
        <w:tblPrEx>
          <w:tblCellMar>
            <w:top w:w="0" w:type="dxa"/>
            <w:left w:w="108" w:type="dxa"/>
            <w:bottom w:w="0" w:type="dxa"/>
            <w:right w:w="108" w:type="dxa"/>
          </w:tblCellMar>
        </w:tblPrEx>
        <w:trPr>
          <w:cantSplit/>
          <w:trHeight w:val="1236" w:hRule="atLeast"/>
        </w:trPr>
        <w:tc>
          <w:tcPr>
            <w:tcW w:w="410"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b/>
                <w:bCs/>
                <w:kern w:val="0"/>
                <w:szCs w:val="21"/>
              </w:rPr>
            </w:pPr>
            <w:r>
              <w:rPr>
                <w:rFonts w:hint="eastAsia" w:ascii="宋体" w:hAnsi="宋体"/>
                <w:b/>
                <w:bCs/>
                <w:kern w:val="0"/>
                <w:szCs w:val="21"/>
              </w:rPr>
              <w:t>3</w:t>
            </w:r>
          </w:p>
        </w:tc>
        <w:tc>
          <w:tcPr>
            <w:tcW w:w="573" w:type="pct"/>
            <w:tcBorders>
              <w:top w:val="nil"/>
              <w:left w:val="nil"/>
              <w:bottom w:val="single" w:color="auto" w:sz="4" w:space="0"/>
              <w:right w:val="single" w:color="auto" w:sz="4" w:space="0"/>
            </w:tcBorders>
            <w:noWrap/>
            <w:vAlign w:val="center"/>
          </w:tcPr>
          <w:p>
            <w:pPr>
              <w:widowControl/>
              <w:jc w:val="center"/>
              <w:rPr>
                <w:rFonts w:ascii="宋体" w:hAnsi="宋体"/>
                <w:b/>
                <w:bCs/>
                <w:kern w:val="0"/>
                <w:szCs w:val="21"/>
              </w:rPr>
            </w:pPr>
            <w:r>
              <w:rPr>
                <w:rFonts w:hint="eastAsia" w:ascii="宋体" w:hAnsi="宋体"/>
                <w:b/>
                <w:bCs/>
                <w:kern w:val="0"/>
                <w:szCs w:val="21"/>
              </w:rPr>
              <w:t>公司实力</w:t>
            </w:r>
          </w:p>
        </w:tc>
        <w:tc>
          <w:tcPr>
            <w:tcW w:w="410" w:type="pct"/>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b/>
                <w:bCs/>
                <w:kern w:val="0"/>
                <w:szCs w:val="21"/>
              </w:rPr>
            </w:pPr>
            <w:r>
              <w:rPr>
                <w:rFonts w:hint="eastAsia" w:ascii="宋体" w:hAnsi="宋体"/>
                <w:b/>
                <w:bCs/>
                <w:kern w:val="0"/>
                <w:szCs w:val="21"/>
              </w:rPr>
              <w:t>10</w:t>
            </w:r>
          </w:p>
        </w:tc>
        <w:tc>
          <w:tcPr>
            <w:tcW w:w="3607" w:type="pct"/>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kern w:val="0"/>
                <w:szCs w:val="21"/>
              </w:rPr>
            </w:pPr>
            <w:r>
              <w:rPr>
                <w:rFonts w:hint="eastAsia" w:ascii="宋体" w:hAnsi="宋体"/>
                <w:kern w:val="0"/>
                <w:szCs w:val="21"/>
              </w:rPr>
              <w:t>1.投标人具有ISO9001质量管理体系认证证书、环境管理体系认证证书、职业健康安全管理体系认证证书，三类证书齐全的得7.5分，每缺少一个扣2.5分。</w:t>
            </w:r>
          </w:p>
          <w:p>
            <w:pPr>
              <w:widowControl/>
              <w:jc w:val="left"/>
              <w:rPr>
                <w:rFonts w:ascii="宋体" w:hAnsi="宋体"/>
                <w:kern w:val="0"/>
                <w:szCs w:val="21"/>
              </w:rPr>
            </w:pPr>
            <w:r>
              <w:rPr>
                <w:rFonts w:hint="eastAsia" w:ascii="宋体" w:hAnsi="宋体"/>
                <w:kern w:val="0"/>
                <w:szCs w:val="21"/>
              </w:rPr>
              <w:t>2.具有行政部门颁发的计算机软件著作权登记证书得2.5分。</w:t>
            </w:r>
          </w:p>
        </w:tc>
      </w:tr>
    </w:tbl>
    <w:p>
      <w:pPr>
        <w:adjustRightInd w:val="0"/>
        <w:snapToGrid w:val="0"/>
        <w:spacing w:before="100" w:beforeAutospacing="1" w:line="360" w:lineRule="auto"/>
        <w:rPr>
          <w:rFonts w:ascii="宋体" w:hAnsi="宋体"/>
          <w:sz w:val="24"/>
        </w:rPr>
      </w:pPr>
    </w:p>
    <w:p>
      <w:pPr>
        <w:adjustRightInd w:val="0"/>
        <w:snapToGrid w:val="0"/>
        <w:spacing w:before="100" w:beforeAutospacing="1" w:line="360" w:lineRule="auto"/>
        <w:ind w:firstLine="480" w:firstLineChars="200"/>
        <w:rPr>
          <w:rFonts w:ascii="宋体" w:hAnsi="宋体"/>
          <w:sz w:val="24"/>
        </w:rPr>
      </w:pPr>
      <w:r>
        <w:rPr>
          <w:rFonts w:hint="eastAsia" w:ascii="宋体" w:hAnsi="宋体"/>
          <w:sz w:val="24"/>
        </w:rPr>
        <w:t>3、价格部分评审</w:t>
      </w:r>
    </w:p>
    <w:tbl>
      <w:tblPr>
        <w:tblStyle w:val="13"/>
        <w:tblW w:w="51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74"/>
        <w:gridCol w:w="1525"/>
        <w:gridCol w:w="898"/>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tblHeader/>
          <w:jc w:val="center"/>
        </w:trPr>
        <w:tc>
          <w:tcPr>
            <w:tcW w:w="325"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序号</w:t>
            </w:r>
          </w:p>
        </w:tc>
        <w:tc>
          <w:tcPr>
            <w:tcW w:w="864"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评分因素</w:t>
            </w:r>
          </w:p>
          <w:p>
            <w:pPr>
              <w:spacing w:line="320" w:lineRule="exact"/>
              <w:ind w:firstLine="27" w:firstLineChars="13"/>
              <w:jc w:val="center"/>
              <w:rPr>
                <w:rFonts w:ascii="宋体" w:hAnsi="宋体"/>
                <w:kern w:val="0"/>
                <w:szCs w:val="21"/>
              </w:rPr>
            </w:pPr>
            <w:r>
              <w:rPr>
                <w:rFonts w:hint="eastAsia" w:ascii="宋体" w:hAnsi="宋体"/>
                <w:kern w:val="0"/>
                <w:szCs w:val="21"/>
              </w:rPr>
              <w:t>及权重</w:t>
            </w:r>
          </w:p>
        </w:tc>
        <w:tc>
          <w:tcPr>
            <w:tcW w:w="509"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分值</w:t>
            </w:r>
          </w:p>
        </w:tc>
        <w:tc>
          <w:tcPr>
            <w:tcW w:w="3302"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0"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1</w:t>
            </w:r>
          </w:p>
        </w:tc>
        <w:tc>
          <w:tcPr>
            <w:tcW w:w="864"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报价</w:t>
            </w:r>
          </w:p>
        </w:tc>
        <w:tc>
          <w:tcPr>
            <w:tcW w:w="509"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20分</w:t>
            </w:r>
          </w:p>
        </w:tc>
        <w:tc>
          <w:tcPr>
            <w:tcW w:w="3302"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rPr>
                <w:rFonts w:ascii="宋体" w:hAnsi="宋体"/>
                <w:kern w:val="0"/>
                <w:szCs w:val="21"/>
              </w:rPr>
            </w:pPr>
            <w:r>
              <w:rPr>
                <w:rFonts w:hint="eastAsia" w:ascii="宋体" w:hAnsi="宋体"/>
                <w:kern w:val="0"/>
                <w:szCs w:val="21"/>
              </w:rPr>
              <w:t>各投标人的有效报价的算术平均值为评标基准价，投标报价等于评标基准价的得满分20分，各投标人的投标报价与评标基准价相比较，每上浮1%扣0.9分，下浮1%扣0.6，不足1%的采用插入法，得分保留小数点后两位。</w:t>
            </w:r>
          </w:p>
        </w:tc>
      </w:tr>
    </w:tbl>
    <w:p>
      <w:pPr>
        <w:adjustRightInd w:val="0"/>
        <w:snapToGrid w:val="0"/>
        <w:spacing w:before="100" w:beforeAutospacing="1" w:line="360" w:lineRule="auto"/>
        <w:ind w:firstLine="482" w:firstLineChars="200"/>
        <w:rPr>
          <w:rFonts w:ascii="宋体" w:hAnsi="宋体"/>
          <w:b/>
          <w:bCs/>
          <w:sz w:val="24"/>
        </w:rPr>
      </w:pPr>
    </w:p>
    <w:p>
      <w:pPr>
        <w:adjustRightInd w:val="0"/>
        <w:snapToGrid w:val="0"/>
        <w:spacing w:before="100" w:beforeAutospacing="1" w:line="360" w:lineRule="auto"/>
        <w:ind w:firstLine="482" w:firstLineChars="200"/>
        <w:rPr>
          <w:rFonts w:ascii="宋体" w:hAnsi="宋体"/>
          <w:b/>
          <w:bCs/>
          <w:sz w:val="24"/>
        </w:rPr>
      </w:pPr>
      <w:r>
        <w:rPr>
          <w:rFonts w:hint="eastAsia" w:ascii="宋体" w:hAnsi="宋体"/>
          <w:b/>
          <w:bCs/>
          <w:sz w:val="24"/>
        </w:rPr>
        <w:t>第三条 确定中标候选人</w:t>
      </w:r>
    </w:p>
    <w:p>
      <w:pPr>
        <w:pStyle w:val="2"/>
      </w:pPr>
    </w:p>
    <w:p>
      <w:pPr>
        <w:adjustRightInd w:val="0"/>
        <w:snapToGrid w:val="0"/>
        <w:spacing w:line="360" w:lineRule="auto"/>
        <w:ind w:firstLine="480" w:firstLineChars="200"/>
        <w:rPr>
          <w:rFonts w:ascii="宋体" w:hAnsi="宋体"/>
          <w:sz w:val="24"/>
        </w:rPr>
      </w:pPr>
      <w:r>
        <w:rPr>
          <w:rFonts w:hint="eastAsia" w:ascii="宋体" w:hAnsi="宋体"/>
          <w:sz w:val="24"/>
        </w:rPr>
        <w:t>投标人技术标和商务标的合计分值，为该投标人的评标总得分。</w:t>
      </w:r>
    </w:p>
    <w:p>
      <w:pPr>
        <w:adjustRightInd w:val="0"/>
        <w:snapToGrid w:val="0"/>
        <w:spacing w:line="360" w:lineRule="auto"/>
        <w:ind w:firstLine="480" w:firstLineChars="200"/>
        <w:rPr>
          <w:rFonts w:ascii="宋体" w:hAnsi="宋体"/>
          <w:sz w:val="24"/>
        </w:rPr>
      </w:pPr>
      <w:r>
        <w:rPr>
          <w:rFonts w:hint="eastAsia" w:ascii="宋体" w:hAnsi="宋体"/>
          <w:sz w:val="24"/>
        </w:rPr>
        <w:t>评标结果按评审后得分由高到低顺序排列。得分相同的，按投标报价由低到高顺序排列。得分且投标报价均相同的由招标人代表抽签确定。投标文件满足招标文件全部实质性要求，且按照评审因素的量化指标评审得分前三名的投标人为中标候选人。</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第四条  无效投标条款</w:t>
      </w:r>
    </w:p>
    <w:p>
      <w:pPr>
        <w:adjustRightInd w:val="0"/>
        <w:snapToGrid w:val="0"/>
        <w:spacing w:line="360" w:lineRule="auto"/>
        <w:ind w:firstLine="480" w:firstLineChars="200"/>
        <w:rPr>
          <w:rFonts w:ascii="宋体" w:hAnsi="宋体"/>
          <w:sz w:val="24"/>
        </w:rPr>
      </w:pPr>
      <w:bookmarkStart w:id="29" w:name="_Toc16938551"/>
      <w:bookmarkStart w:id="30" w:name="_Toc20823307"/>
      <w:bookmarkStart w:id="31" w:name="_Toc513029235"/>
      <w:r>
        <w:rPr>
          <w:rFonts w:hint="eastAsia" w:ascii="宋体" w:hAnsi="宋体"/>
          <w:sz w:val="24"/>
        </w:rPr>
        <w:t>1、同一投标人提交两个（含两个）以上不同的投标报价的。</w:t>
      </w:r>
    </w:p>
    <w:p>
      <w:pPr>
        <w:adjustRightInd w:val="0"/>
        <w:snapToGrid w:val="0"/>
        <w:spacing w:line="360" w:lineRule="auto"/>
        <w:ind w:firstLine="480" w:firstLineChars="200"/>
        <w:rPr>
          <w:rFonts w:ascii="宋体" w:hAnsi="宋体"/>
          <w:sz w:val="24"/>
        </w:rPr>
      </w:pPr>
      <w:r>
        <w:rPr>
          <w:rFonts w:hint="eastAsia" w:ascii="宋体" w:hAnsi="宋体"/>
          <w:sz w:val="24"/>
        </w:rPr>
        <w:t>2、投标人不具备招标文件中规定资格要求的。</w:t>
      </w:r>
    </w:p>
    <w:p>
      <w:pPr>
        <w:adjustRightInd w:val="0"/>
        <w:snapToGrid w:val="0"/>
        <w:spacing w:line="360" w:lineRule="auto"/>
        <w:ind w:firstLine="480" w:firstLineChars="200"/>
        <w:rPr>
          <w:rFonts w:ascii="宋体" w:hAnsi="宋体"/>
          <w:sz w:val="24"/>
        </w:rPr>
      </w:pPr>
      <w:r>
        <w:rPr>
          <w:rFonts w:hint="eastAsia" w:ascii="宋体" w:hAnsi="宋体"/>
          <w:sz w:val="24"/>
        </w:rPr>
        <w:t>3、投标人的报价超过了最高限价的。</w:t>
      </w:r>
    </w:p>
    <w:p>
      <w:pPr>
        <w:adjustRightInd w:val="0"/>
        <w:snapToGrid w:val="0"/>
        <w:spacing w:line="360" w:lineRule="auto"/>
        <w:ind w:firstLine="480" w:firstLineChars="200"/>
        <w:rPr>
          <w:rFonts w:ascii="宋体" w:hAnsi="宋体"/>
          <w:sz w:val="24"/>
        </w:rPr>
      </w:pPr>
      <w:r>
        <w:rPr>
          <w:rFonts w:hint="eastAsia" w:ascii="宋体" w:hAnsi="宋体"/>
          <w:sz w:val="24"/>
        </w:rPr>
        <w:t>4、未通过符合性检查的。</w:t>
      </w:r>
    </w:p>
    <w:p>
      <w:pPr>
        <w:adjustRightInd w:val="0"/>
        <w:snapToGrid w:val="0"/>
        <w:spacing w:line="360" w:lineRule="auto"/>
        <w:ind w:firstLine="480" w:firstLineChars="200"/>
        <w:rPr>
          <w:rFonts w:ascii="宋体" w:hAnsi="宋体"/>
          <w:sz w:val="24"/>
        </w:rPr>
      </w:pPr>
      <w:r>
        <w:rPr>
          <w:rFonts w:hint="eastAsia" w:ascii="宋体" w:hAnsi="宋体"/>
          <w:sz w:val="24"/>
        </w:rPr>
        <w:t>5、不符合招标文件中规定的其他实质性要求和条件的。</w:t>
      </w:r>
    </w:p>
    <w:p>
      <w:pPr>
        <w:adjustRightInd w:val="0"/>
        <w:snapToGrid w:val="0"/>
        <w:spacing w:line="360" w:lineRule="auto"/>
        <w:ind w:firstLine="480" w:firstLineChars="200"/>
        <w:rPr>
          <w:rFonts w:ascii="宋体" w:hAnsi="宋体"/>
          <w:sz w:val="24"/>
        </w:rPr>
      </w:pPr>
      <w:r>
        <w:rPr>
          <w:rFonts w:hint="eastAsia" w:ascii="宋体" w:hAnsi="宋体"/>
          <w:sz w:val="24"/>
        </w:rPr>
        <w:t>6、投标文件含有招标人不能接受的附加条件的。</w:t>
      </w:r>
    </w:p>
    <w:p>
      <w:pPr>
        <w:adjustRightInd w:val="0"/>
        <w:snapToGrid w:val="0"/>
        <w:spacing w:line="360" w:lineRule="auto"/>
        <w:ind w:firstLine="480" w:firstLineChars="200"/>
        <w:rPr>
          <w:rFonts w:ascii="宋体" w:hAnsi="宋体"/>
          <w:sz w:val="24"/>
        </w:rPr>
      </w:pPr>
      <w:r>
        <w:rPr>
          <w:rFonts w:hint="eastAsia" w:ascii="宋体" w:hAnsi="宋体"/>
          <w:sz w:val="24"/>
        </w:rPr>
        <w:t>7、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pPr>
        <w:adjustRightInd w:val="0"/>
        <w:snapToGrid w:val="0"/>
        <w:spacing w:line="360" w:lineRule="auto"/>
        <w:ind w:firstLine="480" w:firstLineChars="200"/>
        <w:rPr>
          <w:rFonts w:ascii="宋体" w:hAnsi="宋体"/>
          <w:sz w:val="24"/>
        </w:rPr>
      </w:pPr>
      <w:r>
        <w:rPr>
          <w:rFonts w:hint="eastAsia" w:ascii="宋体" w:hAnsi="宋体"/>
          <w:sz w:val="24"/>
        </w:rPr>
        <w:t>8、投标文件未按照招标文件要求签字、盖章的。</w:t>
      </w:r>
    </w:p>
    <w:p>
      <w:pPr>
        <w:adjustRightInd w:val="0"/>
        <w:snapToGrid w:val="0"/>
        <w:spacing w:line="360" w:lineRule="auto"/>
        <w:ind w:firstLine="480" w:firstLineChars="200"/>
        <w:rPr>
          <w:rFonts w:ascii="宋体" w:hAnsi="宋体"/>
          <w:sz w:val="24"/>
        </w:rPr>
      </w:pPr>
      <w:r>
        <w:rPr>
          <w:rFonts w:hint="eastAsia" w:ascii="宋体" w:hAnsi="宋体"/>
          <w:sz w:val="24"/>
        </w:rPr>
        <w:t>9、其他法律、法规及本招标文件规定的属无效投标的情形。</w:t>
      </w:r>
    </w:p>
    <w:bookmarkEnd w:id="29"/>
    <w:bookmarkEnd w:id="30"/>
    <w:bookmarkEnd w:id="31"/>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pStyle w:val="2"/>
      </w:pPr>
    </w:p>
    <w:p>
      <w:pPr>
        <w:pStyle w:val="2"/>
      </w:pPr>
    </w:p>
    <w:p>
      <w:pPr>
        <w:adjustRightInd w:val="0"/>
        <w:snapToGrid w:val="0"/>
        <w:spacing w:before="156" w:beforeLines="50" w:after="156" w:afterLines="50" w:line="360" w:lineRule="auto"/>
        <w:jc w:val="center"/>
        <w:rPr>
          <w:rFonts w:ascii="宋体" w:hAnsi="宋体"/>
          <w:b/>
          <w:bCs/>
          <w:sz w:val="32"/>
          <w:szCs w:val="32"/>
        </w:rPr>
      </w:pPr>
      <w:r>
        <w:rPr>
          <w:rFonts w:hint="eastAsia" w:ascii="宋体" w:hAnsi="宋体"/>
          <w:b/>
          <w:bCs/>
          <w:sz w:val="32"/>
          <w:szCs w:val="32"/>
        </w:rPr>
        <w:t>第四章  投标文件格式</w:t>
      </w:r>
    </w:p>
    <w:p>
      <w:pPr>
        <w:jc w:val="center"/>
        <w:rPr>
          <w:rFonts w:ascii="宋体" w:hAnsi="宋体"/>
          <w:sz w:val="44"/>
          <w:szCs w:val="44"/>
        </w:rPr>
      </w:pPr>
    </w:p>
    <w:p>
      <w:pPr>
        <w:pStyle w:val="12"/>
        <w:ind w:firstLine="420"/>
        <w:rPr>
          <w:rFonts w:ascii="宋体" w:hAnsi="宋体"/>
        </w:rPr>
      </w:pPr>
    </w:p>
    <w:p>
      <w:pPr>
        <w:jc w:val="center"/>
        <w:rPr>
          <w:rFonts w:ascii="宋体" w:hAnsi="宋体"/>
          <w:sz w:val="36"/>
          <w:szCs w:val="44"/>
        </w:rPr>
      </w:pPr>
      <w:r>
        <w:rPr>
          <w:rFonts w:hint="eastAsia" w:ascii="宋体" w:hAnsi="宋体"/>
          <w:sz w:val="44"/>
          <w:szCs w:val="44"/>
          <w:u w:val="single"/>
        </w:rPr>
        <w:t xml:space="preserve">                  </w:t>
      </w:r>
      <w:r>
        <w:rPr>
          <w:rFonts w:hint="eastAsia" w:ascii="宋体" w:hAnsi="宋体"/>
          <w:sz w:val="36"/>
          <w:szCs w:val="44"/>
        </w:rPr>
        <w:t>（项目名称）</w:t>
      </w:r>
    </w:p>
    <w:p>
      <w:pPr>
        <w:jc w:val="center"/>
        <w:rPr>
          <w:rFonts w:ascii="宋体" w:hAnsi="宋体"/>
          <w:sz w:val="22"/>
          <w:szCs w:val="28"/>
        </w:rPr>
      </w:pPr>
    </w:p>
    <w:p>
      <w:pPr>
        <w:jc w:val="center"/>
        <w:rPr>
          <w:rFonts w:ascii="宋体" w:hAnsi="宋体"/>
          <w:sz w:val="22"/>
          <w:szCs w:val="28"/>
        </w:rPr>
      </w:pPr>
    </w:p>
    <w:p>
      <w:pPr>
        <w:rPr>
          <w:rFonts w:ascii="宋体" w:hAnsi="宋体"/>
          <w:sz w:val="22"/>
          <w:szCs w:val="28"/>
        </w:rPr>
      </w:pPr>
    </w:p>
    <w:p>
      <w:pPr>
        <w:jc w:val="center"/>
        <w:rPr>
          <w:rFonts w:ascii="宋体" w:hAnsi="宋体"/>
          <w:sz w:val="22"/>
          <w:szCs w:val="28"/>
        </w:rPr>
      </w:pPr>
    </w:p>
    <w:p>
      <w:pPr>
        <w:spacing w:before="312" w:beforeLines="100"/>
        <w:jc w:val="center"/>
        <w:rPr>
          <w:rFonts w:ascii="宋体" w:hAnsi="宋体"/>
          <w:b/>
          <w:bCs/>
          <w:sz w:val="72"/>
          <w:szCs w:val="72"/>
        </w:rPr>
      </w:pPr>
      <w:r>
        <w:rPr>
          <w:rFonts w:hint="eastAsia" w:ascii="宋体" w:hAnsi="宋体"/>
          <w:b/>
          <w:bCs/>
          <w:sz w:val="72"/>
          <w:szCs w:val="72"/>
        </w:rPr>
        <w:t>投 标 文 件</w:t>
      </w:r>
    </w:p>
    <w:p>
      <w:pPr>
        <w:jc w:val="center"/>
        <w:rPr>
          <w:rFonts w:ascii="宋体" w:hAnsi="宋体"/>
          <w:sz w:val="24"/>
          <w:szCs w:val="32"/>
        </w:rPr>
      </w:pPr>
    </w:p>
    <w:p>
      <w:pPr>
        <w:jc w:val="center"/>
        <w:rPr>
          <w:rFonts w:ascii="宋体" w:hAnsi="宋体"/>
          <w:sz w:val="28"/>
          <w:szCs w:val="28"/>
        </w:rPr>
      </w:pPr>
      <w:r>
        <w:rPr>
          <w:rFonts w:hint="eastAsia" w:ascii="宋体" w:hAnsi="宋体"/>
          <w:sz w:val="28"/>
          <w:szCs w:val="28"/>
        </w:rPr>
        <w:t>（资格技术审查/商务标）</w:t>
      </w:r>
    </w:p>
    <w:p>
      <w:pPr>
        <w:jc w:val="center"/>
        <w:rPr>
          <w:rFonts w:ascii="宋体" w:hAnsi="宋体"/>
          <w:sz w:val="24"/>
          <w:szCs w:val="32"/>
        </w:rPr>
      </w:pPr>
    </w:p>
    <w:p>
      <w:pPr>
        <w:jc w:val="center"/>
        <w:rPr>
          <w:rFonts w:ascii="宋体" w:hAnsi="宋体"/>
          <w:sz w:val="24"/>
          <w:szCs w:val="32"/>
        </w:rPr>
      </w:pPr>
    </w:p>
    <w:p>
      <w:pPr>
        <w:rPr>
          <w:rFonts w:ascii="宋体" w:hAnsi="宋体"/>
          <w:sz w:val="32"/>
          <w:szCs w:val="32"/>
        </w:rPr>
      </w:pPr>
    </w:p>
    <w:p>
      <w:pPr>
        <w:pStyle w:val="11"/>
        <w:spacing w:line="420" w:lineRule="atLeast"/>
        <w:ind w:firstLine="840" w:firstLineChars="300"/>
        <w:rPr>
          <w:sz w:val="28"/>
          <w:szCs w:val="28"/>
        </w:rPr>
      </w:pPr>
      <w:r>
        <w:rPr>
          <w:rFonts w:hint="eastAsia"/>
          <w:sz w:val="28"/>
          <w:szCs w:val="28"/>
        </w:rPr>
        <w:t>投标单位：</w:t>
      </w:r>
      <w:r>
        <w:rPr>
          <w:rFonts w:hint="eastAsia"/>
          <w:sz w:val="28"/>
          <w:szCs w:val="28"/>
          <w:u w:val="single"/>
        </w:rPr>
        <w:t xml:space="preserve">                           </w:t>
      </w:r>
      <w:r>
        <w:rPr>
          <w:rFonts w:hint="eastAsia"/>
          <w:sz w:val="28"/>
          <w:szCs w:val="28"/>
        </w:rPr>
        <w:t>（盖单位公章）</w:t>
      </w:r>
    </w:p>
    <w:p>
      <w:pPr>
        <w:pStyle w:val="11"/>
        <w:spacing w:line="420" w:lineRule="atLeast"/>
        <w:ind w:firstLine="840" w:firstLineChars="300"/>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p>
    <w:p>
      <w:pPr>
        <w:pStyle w:val="11"/>
        <w:spacing w:line="420" w:lineRule="atLeast"/>
        <w:ind w:firstLine="840" w:firstLineChars="300"/>
        <w:rPr>
          <w:sz w:val="28"/>
          <w:szCs w:val="28"/>
          <w:u w:val="single"/>
        </w:rPr>
      </w:pPr>
      <w:r>
        <w:rPr>
          <w:rFonts w:hint="eastAsia"/>
          <w:sz w:val="28"/>
          <w:szCs w:val="28"/>
        </w:rPr>
        <w:t>日期：</w:t>
      </w:r>
      <w:r>
        <w:rPr>
          <w:rFonts w:hint="eastAsia"/>
          <w:sz w:val="28"/>
          <w:szCs w:val="28"/>
          <w:u w:val="single"/>
        </w:rPr>
        <w:t xml:space="preserve">                   </w:t>
      </w:r>
    </w:p>
    <w:p>
      <w:pPr>
        <w:pStyle w:val="11"/>
        <w:spacing w:line="420" w:lineRule="atLeast"/>
        <w:ind w:firstLine="840" w:firstLineChars="300"/>
        <w:rPr>
          <w:sz w:val="28"/>
          <w:szCs w:val="28"/>
          <w:u w:val="single"/>
        </w:rPr>
      </w:pPr>
    </w:p>
    <w:p>
      <w:pPr>
        <w:pStyle w:val="7"/>
        <w:spacing w:line="400" w:lineRule="exact"/>
        <w:jc w:val="center"/>
        <w:outlineLvl w:val="2"/>
        <w:rPr>
          <w:rFonts w:hAnsi="宋体"/>
          <w:b/>
          <w:bCs/>
          <w:kern w:val="2"/>
          <w:sz w:val="32"/>
          <w:szCs w:val="32"/>
        </w:rPr>
      </w:pPr>
      <w:bookmarkStart w:id="32" w:name="_Toc5341"/>
      <w:bookmarkStart w:id="33" w:name="_Toc5428"/>
      <w:bookmarkStart w:id="34" w:name="_Toc342573643"/>
    </w:p>
    <w:p>
      <w:pPr>
        <w:pStyle w:val="7"/>
        <w:spacing w:line="400" w:lineRule="exact"/>
        <w:jc w:val="center"/>
        <w:outlineLvl w:val="2"/>
        <w:rPr>
          <w:rFonts w:hAnsi="宋体"/>
          <w:b/>
          <w:bCs/>
          <w:kern w:val="2"/>
          <w:sz w:val="32"/>
          <w:szCs w:val="32"/>
        </w:rPr>
      </w:pPr>
    </w:p>
    <w:p>
      <w:pPr>
        <w:pStyle w:val="7"/>
        <w:spacing w:line="400" w:lineRule="exact"/>
        <w:jc w:val="center"/>
        <w:outlineLvl w:val="2"/>
        <w:rPr>
          <w:rFonts w:hAnsi="宋体"/>
          <w:b/>
          <w:bCs/>
          <w:kern w:val="2"/>
          <w:sz w:val="32"/>
          <w:szCs w:val="32"/>
        </w:rPr>
      </w:pPr>
    </w:p>
    <w:p>
      <w:pPr>
        <w:pStyle w:val="7"/>
        <w:spacing w:line="400" w:lineRule="exact"/>
        <w:jc w:val="center"/>
        <w:outlineLvl w:val="2"/>
        <w:rPr>
          <w:rFonts w:hAnsi="宋体"/>
          <w:b/>
          <w:bCs/>
          <w:kern w:val="2"/>
          <w:sz w:val="32"/>
          <w:szCs w:val="32"/>
        </w:rPr>
      </w:pPr>
    </w:p>
    <w:p>
      <w:pPr>
        <w:pStyle w:val="7"/>
        <w:spacing w:line="400" w:lineRule="exact"/>
        <w:jc w:val="center"/>
        <w:outlineLvl w:val="2"/>
        <w:rPr>
          <w:rFonts w:hAnsi="宋体"/>
          <w:b/>
          <w:bCs/>
          <w:kern w:val="2"/>
          <w:sz w:val="32"/>
          <w:szCs w:val="32"/>
        </w:rPr>
      </w:pPr>
    </w:p>
    <w:p>
      <w:pPr>
        <w:pStyle w:val="7"/>
        <w:spacing w:line="400" w:lineRule="exact"/>
        <w:jc w:val="center"/>
        <w:outlineLvl w:val="2"/>
        <w:rPr>
          <w:rFonts w:hAnsi="宋体"/>
          <w:b/>
          <w:bCs/>
          <w:kern w:val="2"/>
          <w:sz w:val="32"/>
          <w:szCs w:val="32"/>
        </w:rPr>
      </w:pPr>
    </w:p>
    <w:p>
      <w:pPr>
        <w:pStyle w:val="7"/>
        <w:spacing w:line="400" w:lineRule="exact"/>
        <w:jc w:val="center"/>
        <w:outlineLvl w:val="2"/>
        <w:rPr>
          <w:rFonts w:hAnsi="宋体"/>
          <w:b/>
          <w:bCs/>
          <w:kern w:val="2"/>
          <w:sz w:val="32"/>
          <w:szCs w:val="32"/>
        </w:rPr>
      </w:pPr>
    </w:p>
    <w:p>
      <w:pPr>
        <w:pStyle w:val="7"/>
        <w:spacing w:line="400" w:lineRule="exact"/>
        <w:jc w:val="center"/>
        <w:outlineLvl w:val="2"/>
        <w:rPr>
          <w:rFonts w:hAnsi="宋体"/>
          <w:b/>
          <w:bCs/>
          <w:kern w:val="2"/>
          <w:sz w:val="32"/>
          <w:szCs w:val="32"/>
        </w:rPr>
      </w:pPr>
      <w:r>
        <w:rPr>
          <w:rFonts w:hint="eastAsia" w:hAnsi="宋体"/>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（投标人名称）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pPr>
        <w:tabs>
          <w:tab w:val="left" w:pos="851"/>
        </w:tabs>
        <w:spacing w:line="360" w:lineRule="auto"/>
        <w:ind w:left="420" w:leftChars="200"/>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7"/>
        <w:spacing w:line="400" w:lineRule="exact"/>
        <w:jc w:val="center"/>
        <w:outlineLvl w:val="2"/>
        <w:rPr>
          <w:rFonts w:hAnsi="宋体"/>
          <w:b/>
          <w:bCs/>
          <w:kern w:val="2"/>
          <w:sz w:val="32"/>
          <w:szCs w:val="32"/>
        </w:rPr>
      </w:pPr>
      <w:r>
        <w:rPr>
          <w:rFonts w:hint="eastAsia" w:hAnsi="宋体"/>
          <w:b/>
          <w:sz w:val="36"/>
          <w:szCs w:val="36"/>
        </w:rPr>
        <w:br w:type="page"/>
      </w:r>
      <w:bookmarkStart w:id="35" w:name="_Toc17292"/>
      <w:bookmarkStart w:id="36" w:name="_Toc22037"/>
      <w:r>
        <w:rPr>
          <w:rFonts w:hint="eastAsia" w:hAnsi="宋体"/>
          <w:b/>
          <w:bCs/>
          <w:kern w:val="2"/>
          <w:sz w:val="32"/>
          <w:szCs w:val="32"/>
        </w:rPr>
        <w:t>二、授权委托书</w:t>
      </w:r>
      <w:bookmarkEnd w:id="35"/>
      <w:bookmarkEnd w:id="36"/>
    </w:p>
    <w:p>
      <w:pPr>
        <w:pStyle w:val="7"/>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u w:val="single"/>
        </w:rPr>
        <w:t>（</w:t>
      </w:r>
      <w:r>
        <w:rPr>
          <w:rFonts w:hint="eastAsia"/>
          <w:szCs w:val="21"/>
        </w:rPr>
        <w:t>投标人名称）的法定代表人（单位负责人），现委托</w:t>
      </w:r>
      <w:r>
        <w:rPr>
          <w:szCs w:val="21"/>
          <w:u w:val="single"/>
        </w:rPr>
        <w:t xml:space="preserve">                </w:t>
      </w:r>
      <w:r>
        <w:rPr>
          <w:rFonts w:hint="eastAsia"/>
          <w:szCs w:val="21"/>
        </w:rPr>
        <w:t>（姓名）为我方代理人，代理人有权签署、澄清确认、递交、撤回、修改</w:t>
      </w:r>
      <w:r>
        <w:rPr>
          <w:szCs w:val="21"/>
          <w:u w:val="single"/>
        </w:rPr>
        <w:t xml:space="preserve">                       </w:t>
      </w:r>
      <w:r>
        <w:rPr>
          <w:rFonts w:hint="eastAsia"/>
          <w:szCs w:val="21"/>
        </w:rPr>
        <w:t>（项目名称）投标文件、签订合同和处理有关事宜，其法律后果由我方承担。</w:t>
      </w:r>
    </w:p>
    <w:p>
      <w:pPr>
        <w:spacing w:line="360" w:lineRule="auto"/>
        <w:ind w:firstLine="420" w:firstLineChars="200"/>
        <w:rPr>
          <w:szCs w:val="21"/>
        </w:rPr>
      </w:pPr>
      <w:r>
        <w:rPr>
          <w:rFonts w:hint="eastAsia"/>
          <w:szCs w:val="21"/>
        </w:rPr>
        <w:t>代理人无转委托权。</w:t>
      </w:r>
    </w:p>
    <w:p>
      <w:pPr>
        <w:spacing w:line="360" w:lineRule="auto"/>
        <w:ind w:firstLine="420" w:firstLineChars="200"/>
        <w:rPr>
          <w:szCs w:val="21"/>
        </w:rPr>
      </w:pPr>
      <w:r>
        <w:rPr>
          <w:rFonts w:hint="eastAsia"/>
          <w:szCs w:val="21"/>
        </w:rPr>
        <w:t>附：法定代表人（单位负责人）身份证复印件及委托代理人身份证复印件</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jc w:val="center"/>
              <w:rPr>
                <w:rFonts w:hAnsi="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szCs w:val="21"/>
        </w:rPr>
      </w:pPr>
    </w:p>
    <w:p>
      <w:pPr>
        <w:spacing w:line="360" w:lineRule="auto"/>
        <w:ind w:right="-88" w:rightChars="-42" w:firstLine="2738" w:firstLineChars="1304"/>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pPr>
        <w:spacing w:line="360" w:lineRule="auto"/>
        <w:ind w:right="-88" w:rightChars="-42" w:firstLine="2738" w:firstLineChars="1304"/>
        <w:rPr>
          <w:rFonts w:ascii="宋体" w:hAnsi="宋体"/>
          <w:szCs w:val="21"/>
        </w:rPr>
      </w:pPr>
      <w:r>
        <w:rPr>
          <w:rFonts w:hint="eastAsia" w:ascii="宋体" w:hAnsi="宋体"/>
          <w:szCs w:val="21"/>
        </w:rPr>
        <w:t>法定代表人（单位负责人）：</w:t>
      </w:r>
      <w:r>
        <w:rPr>
          <w:rFonts w:hint="eastAsia" w:ascii="宋体" w:hAnsi="宋体"/>
          <w:szCs w:val="21"/>
          <w:u w:val="single"/>
        </w:rPr>
        <w:t xml:space="preserve">                </w:t>
      </w:r>
      <w:r>
        <w:rPr>
          <w:rFonts w:hint="eastAsia" w:ascii="宋体" w:hAnsi="宋体"/>
          <w:szCs w:val="21"/>
        </w:rPr>
        <w:t>（签字或盖章）</w:t>
      </w:r>
    </w:p>
    <w:p>
      <w:pPr>
        <w:spacing w:line="360" w:lineRule="auto"/>
        <w:ind w:right="-88" w:rightChars="-42" w:firstLine="2738" w:firstLineChars="1304"/>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right="-88" w:rightChars="-42" w:firstLine="2738" w:firstLineChars="1304"/>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w:t>
      </w:r>
    </w:p>
    <w:p>
      <w:pPr>
        <w:spacing w:line="360" w:lineRule="auto"/>
        <w:ind w:right="-88" w:rightChars="-42" w:firstLine="2738" w:firstLineChars="1304"/>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spacing w:line="360" w:lineRule="auto"/>
        <w:ind w:right="-88" w:rightChars="-42" w:firstLine="3259" w:firstLineChars="1552"/>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7"/>
        <w:jc w:val="left"/>
        <w:rPr>
          <w:rFonts w:hAnsi="宋体"/>
          <w:sz w:val="21"/>
          <w:szCs w:val="21"/>
        </w:rPr>
      </w:pPr>
    </w:p>
    <w:p>
      <w:pPr>
        <w:pStyle w:val="7"/>
        <w:jc w:val="left"/>
        <w:rPr>
          <w:rFonts w:hAnsi="宋体"/>
          <w:sz w:val="24"/>
        </w:rPr>
      </w:pPr>
    </w:p>
    <w:p>
      <w:pPr>
        <w:pStyle w:val="7"/>
        <w:jc w:val="left"/>
        <w:rPr>
          <w:rFonts w:hAnsi="宋体"/>
          <w:sz w:val="24"/>
        </w:rPr>
      </w:pPr>
    </w:p>
    <w:p>
      <w:pPr>
        <w:pStyle w:val="7"/>
        <w:jc w:val="left"/>
        <w:rPr>
          <w:rFonts w:hAnsi="宋体"/>
          <w:sz w:val="24"/>
        </w:rPr>
      </w:pPr>
    </w:p>
    <w:p>
      <w:pPr>
        <w:pStyle w:val="7"/>
        <w:jc w:val="left"/>
        <w:rPr>
          <w:rFonts w:hAnsi="宋体"/>
          <w:sz w:val="24"/>
        </w:rPr>
      </w:pPr>
    </w:p>
    <w:p>
      <w:pPr>
        <w:pStyle w:val="7"/>
        <w:jc w:val="left"/>
        <w:rPr>
          <w:rFonts w:hAnsi="宋体"/>
          <w:sz w:val="24"/>
        </w:rPr>
      </w:pPr>
    </w:p>
    <w:p>
      <w:pPr>
        <w:pStyle w:val="7"/>
        <w:jc w:val="left"/>
        <w:rPr>
          <w:rFonts w:hAnsi="宋体"/>
          <w:sz w:val="24"/>
        </w:rPr>
      </w:pPr>
    </w:p>
    <w:p>
      <w:pPr>
        <w:pStyle w:val="12"/>
        <w:ind w:firstLine="420"/>
        <w:rPr>
          <w:rFonts w:ascii="宋体" w:hAnsi="宋体"/>
        </w:rPr>
      </w:pPr>
    </w:p>
    <w:p>
      <w:pPr>
        <w:adjustRightInd w:val="0"/>
        <w:snapToGrid w:val="0"/>
        <w:spacing w:before="156" w:beforeLines="50" w:after="156" w:afterLines="50" w:line="360" w:lineRule="auto"/>
        <w:jc w:val="center"/>
        <w:rPr>
          <w:rFonts w:ascii="宋体" w:hAnsi="宋体"/>
          <w:b/>
          <w:bCs/>
          <w:sz w:val="32"/>
          <w:szCs w:val="32"/>
        </w:rPr>
      </w:pPr>
      <w:r>
        <w:rPr>
          <w:rFonts w:hint="eastAsia" w:ascii="宋体" w:hAnsi="宋体"/>
          <w:b/>
          <w:bCs/>
          <w:sz w:val="32"/>
          <w:szCs w:val="32"/>
        </w:rPr>
        <w:t>三、承诺函</w:t>
      </w:r>
    </w:p>
    <w:p>
      <w:pPr>
        <w:adjustRightInd w:val="0"/>
        <w:snapToGrid w:val="0"/>
        <w:spacing w:line="360" w:lineRule="auto"/>
        <w:jc w:val="left"/>
        <w:rPr>
          <w:rFonts w:ascii="宋体" w:hAnsi="宋体"/>
          <w:sz w:val="24"/>
          <w:u w:val="single"/>
        </w:rPr>
      </w:pPr>
      <w:r>
        <w:rPr>
          <w:rFonts w:hint="eastAsia" w:ascii="宋体" w:hAnsi="宋体"/>
          <w:sz w:val="24"/>
        </w:rPr>
        <w:t>致：</w:t>
      </w:r>
      <w:r>
        <w:rPr>
          <w:rFonts w:hint="eastAsia" w:ascii="宋体" w:hAnsi="宋体"/>
          <w:sz w:val="24"/>
          <w:u w:val="single"/>
        </w:rPr>
        <w:t>南通通安聚龙银服科技有限公司</w:t>
      </w:r>
    </w:p>
    <w:p>
      <w:pPr>
        <w:adjustRightInd w:val="0"/>
        <w:snapToGrid w:val="0"/>
        <w:spacing w:line="360" w:lineRule="auto"/>
        <w:ind w:firstLine="480" w:firstLineChars="200"/>
        <w:rPr>
          <w:rFonts w:ascii="宋体" w:hAnsi="宋体"/>
          <w:sz w:val="24"/>
        </w:rPr>
      </w:pPr>
      <w:r>
        <w:rPr>
          <w:rFonts w:hint="eastAsia" w:ascii="宋体" w:hAnsi="宋体"/>
          <w:sz w:val="24"/>
        </w:rPr>
        <w:t>我方在此郑重承诺：</w:t>
      </w:r>
    </w:p>
    <w:p>
      <w:pPr>
        <w:spacing w:line="460" w:lineRule="exact"/>
        <w:ind w:firstLine="480" w:firstLineChars="200"/>
        <w:rPr>
          <w:rFonts w:ascii="宋体" w:hAnsi="宋体" w:cs="Tahoma"/>
          <w:kern w:val="0"/>
          <w:sz w:val="24"/>
        </w:rPr>
      </w:pPr>
      <w:r>
        <w:rPr>
          <w:rFonts w:hint="eastAsia" w:ascii="宋体" w:hAnsi="宋体" w:cs="Tahoma"/>
          <w:kern w:val="0"/>
          <w:sz w:val="24"/>
        </w:rPr>
        <w:t>1、</w:t>
      </w:r>
      <w:r>
        <w:rPr>
          <w:rFonts w:hint="eastAsia" w:ascii="宋体" w:hAnsi="宋体"/>
          <w:sz w:val="24"/>
        </w:rPr>
        <w:t>我公司承诺在本次招标响应中提供的一切文件，无论是原件还是扫描件均真实有效，绝无任何虚假、伪造和夸大的成份。否则，愿承担相应的后果和法律责任。</w:t>
      </w:r>
    </w:p>
    <w:p>
      <w:pPr>
        <w:snapToGrid w:val="0"/>
        <w:spacing w:line="460" w:lineRule="exact"/>
        <w:ind w:firstLine="480" w:firstLineChars="200"/>
        <w:rPr>
          <w:rFonts w:ascii="宋体" w:hAnsi="宋体"/>
          <w:kern w:val="0"/>
          <w:sz w:val="24"/>
        </w:rPr>
      </w:pPr>
      <w:r>
        <w:rPr>
          <w:rFonts w:hint="eastAsia" w:ascii="宋体" w:hAnsi="宋体" w:cs="Tahoma"/>
          <w:kern w:val="0"/>
          <w:sz w:val="24"/>
        </w:rPr>
        <w:t>2、我方提供的所有设备均提供不低于壹年的免费质保及上门服务（产品厂家标准质保服务超过壹年的，按照厂商规定质保服务执行）。项目质保期自验收合格完毕之日起壹年（厂家规定超过壹年的，按照原厂家规定质保服务执行）。</w:t>
      </w:r>
      <w:r>
        <w:rPr>
          <w:rFonts w:hint="eastAsia" w:ascii="宋体" w:hAnsi="宋体"/>
          <w:kern w:val="0"/>
          <w:sz w:val="24"/>
        </w:rPr>
        <w:t>自项目竣工验收之日起计算，我方承诺提供质保期内7*24售后服务和技术支持，所涉及相关费用计入投标总价。不能承诺的作无效投标处理。</w:t>
      </w:r>
    </w:p>
    <w:p>
      <w:pPr>
        <w:spacing w:line="460" w:lineRule="exact"/>
        <w:ind w:firstLine="480" w:firstLineChars="200"/>
        <w:rPr>
          <w:rFonts w:ascii="宋体" w:hAnsi="宋体"/>
          <w:sz w:val="24"/>
        </w:rPr>
      </w:pPr>
      <w:r>
        <w:rPr>
          <w:rFonts w:hint="eastAsia" w:ascii="宋体" w:hAnsi="宋体"/>
          <w:sz w:val="24"/>
        </w:rPr>
        <w:t>3、我方中标后所提供的采购物质保期满后，你方有权选择维保人或自保，你方无论做何种选择，我方都将无条件地保证提供维修所需配件、备件和技术帮助，且所提供的配件价格等必须是优惠价。我方在供货、安装过程中，必须对已有现场环境、成品进行保护，服从你方现场管理，如造成破损，由我方按你方要求进行原样恢复。</w:t>
      </w:r>
    </w:p>
    <w:p>
      <w:pPr>
        <w:adjustRightInd w:val="0"/>
        <w:snapToGrid w:val="0"/>
        <w:spacing w:line="360" w:lineRule="auto"/>
        <w:ind w:firstLine="480" w:firstLineChars="200"/>
        <w:rPr>
          <w:rFonts w:ascii="宋体" w:hAnsi="宋体"/>
          <w:sz w:val="24"/>
        </w:rPr>
      </w:pPr>
    </w:p>
    <w:p>
      <w:pPr>
        <w:pStyle w:val="3"/>
        <w:spacing w:before="0" w:after="0" w:line="360" w:lineRule="auto"/>
        <w:rPr>
          <w:rFonts w:ascii="宋体" w:hAnsi="宋体" w:eastAsia="宋体"/>
          <w:sz w:val="24"/>
          <w:szCs w:val="24"/>
        </w:rPr>
      </w:pPr>
    </w:p>
    <w:p>
      <w:pPr>
        <w:adjustRightInd w:val="0"/>
        <w:snapToGrid w:val="0"/>
        <w:spacing w:line="360" w:lineRule="auto"/>
        <w:ind w:firstLine="460" w:firstLineChars="192"/>
        <w:jc w:val="right"/>
        <w:rPr>
          <w:rFonts w:ascii="宋体" w:hAnsi="宋体"/>
          <w:sz w:val="24"/>
          <w:u w:val="single"/>
        </w:rPr>
      </w:pPr>
      <w:r>
        <w:rPr>
          <w:rFonts w:hint="eastAsia" w:ascii="宋体" w:hAnsi="宋体"/>
          <w:sz w:val="24"/>
        </w:rPr>
        <w:t>投标人：</w:t>
      </w:r>
      <w:r>
        <w:rPr>
          <w:rFonts w:hint="eastAsia" w:ascii="宋体" w:hAnsi="宋体"/>
          <w:sz w:val="24"/>
          <w:u w:val="single"/>
        </w:rPr>
        <w:t xml:space="preserve">           （盖章） </w:t>
      </w:r>
    </w:p>
    <w:p>
      <w:pPr>
        <w:adjustRightInd w:val="0"/>
        <w:snapToGrid w:val="0"/>
        <w:spacing w:line="360" w:lineRule="auto"/>
        <w:ind w:firstLine="460" w:firstLineChars="192"/>
        <w:jc w:val="right"/>
        <w:rPr>
          <w:rFonts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（签字或盖章） </w:t>
      </w:r>
    </w:p>
    <w:p>
      <w:pPr>
        <w:adjustRightInd w:val="0"/>
        <w:snapToGrid w:val="0"/>
        <w:spacing w:line="360" w:lineRule="auto"/>
        <w:ind w:firstLine="460" w:firstLineChars="192"/>
        <w:jc w:val="right"/>
        <w:rPr>
          <w:rFonts w:ascii="宋体" w:hAnsi="宋体"/>
          <w:sz w:val="24"/>
        </w:rPr>
      </w:pPr>
      <w:r>
        <w:rPr>
          <w:rFonts w:hint="eastAsia" w:ascii="宋体" w:hAnsi="宋体"/>
          <w:sz w:val="24"/>
        </w:rPr>
        <w:t>日 期：  年   月   日</w:t>
      </w:r>
    </w:p>
    <w:p>
      <w:pPr>
        <w:pStyle w:val="12"/>
        <w:ind w:left="0" w:leftChars="0" w:firstLine="0" w:firstLineChars="0"/>
        <w:rPr>
          <w:rFonts w:ascii="宋体" w:hAnsi="宋体"/>
        </w:rPr>
      </w:pPr>
    </w:p>
    <w:p>
      <w:pPr>
        <w:pStyle w:val="12"/>
        <w:ind w:left="0" w:leftChars="0" w:firstLine="0" w:firstLineChars="0"/>
        <w:rPr>
          <w:rFonts w:ascii="宋体" w:hAnsi="宋体"/>
        </w:rPr>
      </w:pPr>
    </w:p>
    <w:p>
      <w:pPr>
        <w:pStyle w:val="12"/>
        <w:ind w:left="0" w:leftChars="0" w:firstLine="0" w:firstLineChars="0"/>
        <w:rPr>
          <w:rFonts w:ascii="宋体" w:hAnsi="宋体"/>
        </w:rPr>
      </w:pPr>
    </w:p>
    <w:p>
      <w:pPr>
        <w:pStyle w:val="12"/>
        <w:ind w:left="0" w:leftChars="0" w:firstLine="0" w:firstLineChars="0"/>
        <w:rPr>
          <w:rFonts w:ascii="宋体" w:hAnsi="宋体"/>
        </w:rPr>
      </w:pPr>
    </w:p>
    <w:p>
      <w:pPr>
        <w:pStyle w:val="12"/>
        <w:ind w:left="0" w:leftChars="0" w:firstLine="0" w:firstLineChars="0"/>
        <w:rPr>
          <w:rFonts w:ascii="宋体" w:hAnsi="宋体"/>
        </w:rPr>
      </w:pPr>
    </w:p>
    <w:p>
      <w:pPr>
        <w:pStyle w:val="12"/>
        <w:ind w:left="0" w:leftChars="0" w:firstLine="0" w:firstLineChars="0"/>
        <w:rPr>
          <w:rFonts w:ascii="宋体" w:hAnsi="宋体"/>
        </w:rPr>
      </w:pPr>
    </w:p>
    <w:p>
      <w:pPr>
        <w:pStyle w:val="12"/>
        <w:ind w:left="0" w:leftChars="0" w:firstLine="0" w:firstLineChars="0"/>
        <w:rPr>
          <w:rFonts w:ascii="宋体" w:hAnsi="宋体"/>
        </w:rPr>
      </w:pPr>
    </w:p>
    <w:p>
      <w:pPr>
        <w:pStyle w:val="12"/>
        <w:ind w:left="0" w:leftChars="0" w:firstLine="0" w:firstLineChars="0"/>
        <w:rPr>
          <w:rFonts w:ascii="宋体" w:hAnsi="宋体"/>
        </w:rPr>
      </w:pPr>
    </w:p>
    <w:p>
      <w:pPr>
        <w:pStyle w:val="12"/>
        <w:ind w:left="0" w:leftChars="0" w:firstLine="0" w:firstLineChars="0"/>
        <w:rPr>
          <w:rFonts w:ascii="宋体" w:hAnsi="宋体"/>
        </w:rPr>
      </w:pPr>
    </w:p>
    <w:p>
      <w:pPr>
        <w:adjustRightInd w:val="0"/>
        <w:snapToGrid w:val="0"/>
        <w:spacing w:before="156" w:beforeLines="50" w:after="156" w:afterLines="50" w:line="360" w:lineRule="auto"/>
        <w:jc w:val="center"/>
        <w:rPr>
          <w:rFonts w:ascii="宋体" w:hAnsi="宋体"/>
          <w:b/>
          <w:bCs/>
          <w:sz w:val="32"/>
          <w:szCs w:val="32"/>
        </w:rPr>
      </w:pPr>
      <w:r>
        <w:rPr>
          <w:rFonts w:hint="eastAsia" w:ascii="宋体" w:hAnsi="宋体"/>
          <w:b/>
          <w:bCs/>
          <w:sz w:val="32"/>
          <w:szCs w:val="32"/>
        </w:rPr>
        <w:t>四、技术偏离表</w:t>
      </w:r>
    </w:p>
    <w:tbl>
      <w:tblPr>
        <w:tblStyle w:val="13"/>
        <w:tblpPr w:leftFromText="180" w:rightFromText="180" w:vertAnchor="text" w:horzAnchor="margin" w:tblpXSpec="center" w:tblpY="1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40"/>
        <w:gridCol w:w="3067"/>
        <w:gridCol w:w="2510"/>
        <w:gridCol w:w="121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68" w:type="dxa"/>
            <w:vMerge w:val="restart"/>
            <w:tcBorders>
              <w:top w:val="single" w:color="auto" w:sz="4" w:space="0"/>
              <w:left w:val="single" w:color="auto" w:sz="12" w:space="0"/>
              <w:bottom w:val="single" w:color="auto" w:sz="12" w:space="0"/>
              <w:right w:val="single" w:color="auto" w:sz="4" w:space="0"/>
            </w:tcBorders>
            <w:textDirection w:val="tbRlV"/>
            <w:vAlign w:val="center"/>
          </w:tcPr>
          <w:p>
            <w:pPr>
              <w:ind w:left="113" w:right="113"/>
              <w:jc w:val="center"/>
              <w:rPr>
                <w:rFonts w:ascii="宋体" w:hAnsi="宋体"/>
                <w:sz w:val="28"/>
                <w:szCs w:val="28"/>
              </w:rPr>
            </w:pPr>
            <w:r>
              <w:rPr>
                <w:rFonts w:hint="eastAsia" w:ascii="宋体" w:hAnsi="宋体"/>
                <w:sz w:val="28"/>
                <w:szCs w:val="28"/>
              </w:rPr>
              <w:t>技术偏离</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序号</w:t>
            </w:r>
          </w:p>
        </w:tc>
        <w:tc>
          <w:tcPr>
            <w:tcW w:w="30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招标文件要求</w:t>
            </w:r>
          </w:p>
        </w:tc>
        <w:tc>
          <w:tcPr>
            <w:tcW w:w="25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投标文件响应</w:t>
            </w:r>
          </w:p>
        </w:tc>
        <w:tc>
          <w:tcPr>
            <w:tcW w:w="12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是否存在</w:t>
            </w:r>
          </w:p>
          <w:p>
            <w:pPr>
              <w:snapToGrid w:val="0"/>
              <w:jc w:val="center"/>
              <w:rPr>
                <w:rFonts w:ascii="宋体" w:hAnsi="宋体"/>
                <w:sz w:val="24"/>
                <w:u w:val="single"/>
              </w:rPr>
            </w:pPr>
            <w:r>
              <w:rPr>
                <w:rFonts w:hint="eastAsia" w:ascii="宋体" w:hAnsi="宋体"/>
                <w:sz w:val="24"/>
              </w:rPr>
              <w:t>负偏离</w:t>
            </w:r>
          </w:p>
        </w:tc>
        <w:tc>
          <w:tcPr>
            <w:tcW w:w="90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宋体" w:hAnsi="宋体"/>
                <w:sz w:val="28"/>
                <w:szCs w:val="28"/>
              </w:rPr>
            </w:pPr>
          </w:p>
        </w:tc>
        <w:tc>
          <w:tcPr>
            <w:tcW w:w="840" w:type="dxa"/>
            <w:tcBorders>
              <w:top w:val="single" w:color="auto" w:sz="4" w:space="0"/>
              <w:left w:val="single" w:color="auto" w:sz="4" w:space="0"/>
              <w:bottom w:val="single" w:color="auto" w:sz="4" w:space="0"/>
              <w:right w:val="single" w:color="auto" w:sz="4" w:space="0"/>
            </w:tcBorders>
          </w:tcPr>
          <w:p>
            <w:pPr>
              <w:spacing w:line="720" w:lineRule="auto"/>
              <w:jc w:val="center"/>
              <w:rPr>
                <w:rFonts w:ascii="宋体" w:hAnsi="宋体"/>
                <w:sz w:val="24"/>
                <w:szCs w:val="28"/>
                <w:u w:val="single"/>
              </w:rPr>
            </w:pPr>
          </w:p>
        </w:tc>
        <w:tc>
          <w:tcPr>
            <w:tcW w:w="3067"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2510"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902" w:type="dxa"/>
            <w:tcBorders>
              <w:top w:val="single" w:color="auto" w:sz="4" w:space="0"/>
              <w:left w:val="single" w:color="auto" w:sz="4" w:space="0"/>
              <w:bottom w:val="single" w:color="auto" w:sz="4" w:space="0"/>
              <w:right w:val="single" w:color="auto" w:sz="12" w:space="0"/>
            </w:tcBorders>
            <w:vAlign w:val="center"/>
          </w:tcPr>
          <w:p>
            <w:pPr>
              <w:spacing w:line="720" w:lineRule="auto"/>
              <w:jc w:val="center"/>
              <w:rPr>
                <w:rFonts w:ascii="宋体" w:hAnsi="宋体"/>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宋体" w:hAnsi="宋体"/>
                <w:sz w:val="28"/>
                <w:szCs w:val="28"/>
              </w:rPr>
            </w:pPr>
          </w:p>
        </w:tc>
        <w:tc>
          <w:tcPr>
            <w:tcW w:w="840" w:type="dxa"/>
            <w:tcBorders>
              <w:top w:val="single" w:color="auto" w:sz="4" w:space="0"/>
              <w:left w:val="single" w:color="auto" w:sz="4" w:space="0"/>
              <w:bottom w:val="single" w:color="auto" w:sz="4" w:space="0"/>
              <w:right w:val="single" w:color="auto" w:sz="4" w:space="0"/>
            </w:tcBorders>
          </w:tcPr>
          <w:p>
            <w:pPr>
              <w:spacing w:line="720" w:lineRule="auto"/>
              <w:jc w:val="center"/>
              <w:rPr>
                <w:rFonts w:ascii="宋体" w:hAnsi="宋体"/>
                <w:sz w:val="24"/>
                <w:szCs w:val="28"/>
                <w:u w:val="single"/>
              </w:rPr>
            </w:pPr>
          </w:p>
        </w:tc>
        <w:tc>
          <w:tcPr>
            <w:tcW w:w="3067"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2510"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902" w:type="dxa"/>
            <w:tcBorders>
              <w:top w:val="single" w:color="auto" w:sz="4" w:space="0"/>
              <w:left w:val="single" w:color="auto" w:sz="4" w:space="0"/>
              <w:bottom w:val="single" w:color="auto" w:sz="4" w:space="0"/>
              <w:right w:val="single" w:color="auto" w:sz="12" w:space="0"/>
            </w:tcBorders>
            <w:vAlign w:val="center"/>
          </w:tcPr>
          <w:p>
            <w:pPr>
              <w:spacing w:line="720" w:lineRule="auto"/>
              <w:jc w:val="center"/>
              <w:rPr>
                <w:rFonts w:ascii="宋体" w:hAnsi="宋体"/>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宋体" w:hAnsi="宋体"/>
                <w:sz w:val="28"/>
                <w:szCs w:val="28"/>
              </w:rPr>
            </w:pPr>
          </w:p>
        </w:tc>
        <w:tc>
          <w:tcPr>
            <w:tcW w:w="840" w:type="dxa"/>
            <w:tcBorders>
              <w:top w:val="single" w:color="auto" w:sz="4" w:space="0"/>
              <w:left w:val="single" w:color="auto" w:sz="4" w:space="0"/>
              <w:bottom w:val="single" w:color="auto" w:sz="4" w:space="0"/>
              <w:right w:val="single" w:color="auto" w:sz="4" w:space="0"/>
            </w:tcBorders>
          </w:tcPr>
          <w:p>
            <w:pPr>
              <w:spacing w:line="720" w:lineRule="auto"/>
              <w:jc w:val="center"/>
              <w:rPr>
                <w:rFonts w:ascii="宋体" w:hAnsi="宋体"/>
                <w:sz w:val="24"/>
                <w:szCs w:val="28"/>
                <w:u w:val="single"/>
              </w:rPr>
            </w:pPr>
          </w:p>
        </w:tc>
        <w:tc>
          <w:tcPr>
            <w:tcW w:w="3067"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2510"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902" w:type="dxa"/>
            <w:tcBorders>
              <w:top w:val="single" w:color="auto" w:sz="4" w:space="0"/>
              <w:left w:val="single" w:color="auto" w:sz="4" w:space="0"/>
              <w:bottom w:val="single" w:color="auto" w:sz="4" w:space="0"/>
              <w:right w:val="single" w:color="auto" w:sz="12" w:space="0"/>
            </w:tcBorders>
            <w:vAlign w:val="center"/>
          </w:tcPr>
          <w:p>
            <w:pPr>
              <w:spacing w:line="720" w:lineRule="auto"/>
              <w:jc w:val="center"/>
              <w:rPr>
                <w:rFonts w:ascii="宋体" w:hAnsi="宋体"/>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68"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宋体" w:hAnsi="宋体"/>
                <w:sz w:val="28"/>
                <w:szCs w:val="28"/>
              </w:rPr>
            </w:pPr>
          </w:p>
        </w:tc>
        <w:tc>
          <w:tcPr>
            <w:tcW w:w="840" w:type="dxa"/>
            <w:tcBorders>
              <w:top w:val="single" w:color="auto" w:sz="4" w:space="0"/>
              <w:left w:val="single" w:color="auto" w:sz="4" w:space="0"/>
              <w:bottom w:val="single" w:color="auto" w:sz="4" w:space="0"/>
              <w:right w:val="single" w:color="auto" w:sz="4" w:space="0"/>
            </w:tcBorders>
          </w:tcPr>
          <w:p>
            <w:pPr>
              <w:spacing w:line="720" w:lineRule="auto"/>
              <w:jc w:val="center"/>
              <w:rPr>
                <w:rFonts w:ascii="宋体" w:hAnsi="宋体"/>
                <w:sz w:val="24"/>
                <w:szCs w:val="28"/>
                <w:u w:val="single"/>
              </w:rPr>
            </w:pPr>
          </w:p>
        </w:tc>
        <w:tc>
          <w:tcPr>
            <w:tcW w:w="3067"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2510"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ascii="宋体" w:hAnsi="宋体"/>
                <w:sz w:val="24"/>
                <w:szCs w:val="28"/>
                <w:u w:val="single"/>
              </w:rPr>
            </w:pPr>
          </w:p>
        </w:tc>
        <w:tc>
          <w:tcPr>
            <w:tcW w:w="902" w:type="dxa"/>
            <w:tcBorders>
              <w:top w:val="single" w:color="auto" w:sz="4" w:space="0"/>
              <w:left w:val="single" w:color="auto" w:sz="4" w:space="0"/>
              <w:bottom w:val="single" w:color="auto" w:sz="4" w:space="0"/>
              <w:right w:val="single" w:color="auto" w:sz="12" w:space="0"/>
            </w:tcBorders>
            <w:vAlign w:val="center"/>
          </w:tcPr>
          <w:p>
            <w:pPr>
              <w:spacing w:line="720" w:lineRule="auto"/>
              <w:jc w:val="center"/>
              <w:rPr>
                <w:rFonts w:ascii="宋体" w:hAnsi="宋体"/>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668"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宋体" w:hAnsi="宋体"/>
                <w:sz w:val="28"/>
                <w:szCs w:val="28"/>
              </w:rPr>
            </w:pPr>
          </w:p>
        </w:tc>
        <w:tc>
          <w:tcPr>
            <w:tcW w:w="840" w:type="dxa"/>
            <w:tcBorders>
              <w:top w:val="single" w:color="auto" w:sz="4" w:space="0"/>
              <w:left w:val="single" w:color="auto" w:sz="4" w:space="0"/>
              <w:bottom w:val="single" w:color="auto" w:sz="12" w:space="0"/>
              <w:right w:val="single" w:color="auto" w:sz="4" w:space="0"/>
            </w:tcBorders>
          </w:tcPr>
          <w:p>
            <w:pPr>
              <w:spacing w:line="720" w:lineRule="auto"/>
              <w:jc w:val="center"/>
              <w:rPr>
                <w:rFonts w:ascii="宋体" w:hAnsi="宋体"/>
                <w:sz w:val="24"/>
                <w:szCs w:val="28"/>
                <w:u w:val="single"/>
              </w:rPr>
            </w:pPr>
          </w:p>
        </w:tc>
        <w:tc>
          <w:tcPr>
            <w:tcW w:w="3067" w:type="dxa"/>
            <w:tcBorders>
              <w:top w:val="single" w:color="auto" w:sz="4" w:space="0"/>
              <w:left w:val="single" w:color="auto" w:sz="4" w:space="0"/>
              <w:bottom w:val="single" w:color="auto" w:sz="12" w:space="0"/>
              <w:right w:val="single" w:color="auto" w:sz="4" w:space="0"/>
            </w:tcBorders>
            <w:vAlign w:val="center"/>
          </w:tcPr>
          <w:p>
            <w:pPr>
              <w:spacing w:line="720" w:lineRule="auto"/>
              <w:jc w:val="center"/>
              <w:rPr>
                <w:rFonts w:ascii="宋体" w:hAnsi="宋体"/>
                <w:sz w:val="24"/>
                <w:szCs w:val="28"/>
                <w:u w:val="single"/>
              </w:rPr>
            </w:pPr>
          </w:p>
        </w:tc>
        <w:tc>
          <w:tcPr>
            <w:tcW w:w="2510" w:type="dxa"/>
            <w:tcBorders>
              <w:top w:val="single" w:color="auto" w:sz="4" w:space="0"/>
              <w:left w:val="single" w:color="auto" w:sz="4" w:space="0"/>
              <w:bottom w:val="single" w:color="auto" w:sz="12" w:space="0"/>
              <w:right w:val="single" w:color="auto" w:sz="4" w:space="0"/>
            </w:tcBorders>
            <w:vAlign w:val="center"/>
          </w:tcPr>
          <w:p>
            <w:pPr>
              <w:spacing w:line="720" w:lineRule="auto"/>
              <w:jc w:val="center"/>
              <w:rPr>
                <w:rFonts w:ascii="宋体" w:hAnsi="宋体"/>
                <w:sz w:val="24"/>
                <w:szCs w:val="28"/>
                <w:u w:val="single"/>
              </w:rPr>
            </w:pPr>
          </w:p>
        </w:tc>
        <w:tc>
          <w:tcPr>
            <w:tcW w:w="1218" w:type="dxa"/>
            <w:tcBorders>
              <w:top w:val="single" w:color="auto" w:sz="4" w:space="0"/>
              <w:left w:val="single" w:color="auto" w:sz="4" w:space="0"/>
              <w:bottom w:val="single" w:color="auto" w:sz="12" w:space="0"/>
              <w:right w:val="single" w:color="auto" w:sz="4" w:space="0"/>
            </w:tcBorders>
            <w:vAlign w:val="center"/>
          </w:tcPr>
          <w:p>
            <w:pPr>
              <w:spacing w:line="720" w:lineRule="auto"/>
              <w:jc w:val="center"/>
              <w:rPr>
                <w:rFonts w:ascii="宋体" w:hAnsi="宋体"/>
                <w:sz w:val="24"/>
                <w:szCs w:val="28"/>
                <w:u w:val="single"/>
              </w:rPr>
            </w:pPr>
          </w:p>
        </w:tc>
        <w:tc>
          <w:tcPr>
            <w:tcW w:w="902" w:type="dxa"/>
            <w:tcBorders>
              <w:top w:val="single" w:color="auto" w:sz="4" w:space="0"/>
              <w:left w:val="single" w:color="auto" w:sz="4" w:space="0"/>
              <w:bottom w:val="single" w:color="auto" w:sz="12" w:space="0"/>
              <w:right w:val="single" w:color="auto" w:sz="12" w:space="0"/>
            </w:tcBorders>
            <w:vAlign w:val="center"/>
          </w:tcPr>
          <w:p>
            <w:pPr>
              <w:spacing w:line="720" w:lineRule="auto"/>
              <w:jc w:val="center"/>
              <w:rPr>
                <w:rFonts w:ascii="宋体" w:hAnsi="宋体"/>
                <w:sz w:val="24"/>
                <w:szCs w:val="28"/>
                <w:u w:val="single"/>
              </w:rPr>
            </w:pPr>
          </w:p>
        </w:tc>
      </w:tr>
    </w:tbl>
    <w:p>
      <w:pPr>
        <w:spacing w:line="400" w:lineRule="atLeast"/>
        <w:rPr>
          <w:rFonts w:ascii="宋体" w:hAnsi="宋体"/>
          <w:sz w:val="24"/>
        </w:rPr>
      </w:pPr>
      <w:r>
        <w:rPr>
          <w:rFonts w:hint="eastAsia" w:ascii="宋体" w:hAnsi="宋体"/>
          <w:sz w:val="24"/>
        </w:rPr>
        <w:t>备注：1、此表可自行扩展；</w:t>
      </w:r>
    </w:p>
    <w:p>
      <w:pPr>
        <w:rPr>
          <w:rFonts w:ascii="宋体" w:hAnsi="宋体"/>
          <w:sz w:val="24"/>
        </w:rPr>
      </w:pPr>
    </w:p>
    <w:p>
      <w:pPr>
        <w:pStyle w:val="12"/>
        <w:ind w:left="0" w:leftChars="0" w:firstLine="0" w:firstLineChars="0"/>
        <w:rPr>
          <w:rFonts w:ascii="宋体" w:hAnsi="宋体"/>
        </w:rPr>
      </w:pPr>
    </w:p>
    <w:p>
      <w:pPr>
        <w:pStyle w:val="12"/>
        <w:ind w:left="0" w:leftChars="0" w:firstLine="0" w:firstLineChars="0"/>
        <w:rPr>
          <w:rFonts w:ascii="宋体" w:hAnsi="宋体"/>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p>
    <w:p>
      <w:pPr>
        <w:pStyle w:val="2"/>
      </w:pPr>
    </w:p>
    <w:p>
      <w:pPr>
        <w:pStyle w:val="2"/>
      </w:pPr>
    </w:p>
    <w:p>
      <w:pPr>
        <w:adjustRightInd w:val="0"/>
        <w:snapToGrid w:val="0"/>
        <w:spacing w:before="156" w:beforeLines="50" w:after="156" w:afterLines="50" w:line="360" w:lineRule="auto"/>
        <w:jc w:val="center"/>
        <w:rPr>
          <w:rFonts w:ascii="宋体" w:hAnsi="宋体"/>
          <w:b/>
          <w:bCs/>
          <w:sz w:val="32"/>
          <w:szCs w:val="32"/>
        </w:rPr>
      </w:pPr>
      <w:r>
        <w:rPr>
          <w:rFonts w:hint="eastAsia" w:ascii="宋体" w:hAnsi="宋体"/>
          <w:b/>
          <w:bCs/>
          <w:sz w:val="32"/>
          <w:szCs w:val="32"/>
        </w:rPr>
        <w:t>五、报价响应函</w:t>
      </w:r>
    </w:p>
    <w:p>
      <w:pPr>
        <w:pStyle w:val="7"/>
        <w:adjustRightInd w:val="0"/>
        <w:snapToGrid w:val="0"/>
        <w:spacing w:line="440" w:lineRule="exact"/>
        <w:rPr>
          <w:rFonts w:hAnsi="宋体"/>
          <w:sz w:val="24"/>
          <w:szCs w:val="24"/>
        </w:rPr>
      </w:pPr>
      <w:r>
        <w:rPr>
          <w:rFonts w:hint="eastAsia" w:hAnsi="宋体"/>
          <w:sz w:val="24"/>
          <w:szCs w:val="24"/>
        </w:rPr>
        <w:t>至：</w:t>
      </w:r>
      <w:r>
        <w:rPr>
          <w:rFonts w:hint="eastAsia" w:hAnsi="宋体"/>
          <w:sz w:val="24"/>
          <w:szCs w:val="24"/>
          <w:u w:val="single"/>
        </w:rPr>
        <w:t>（南通通安聚龙银服科技有限公司）</w:t>
      </w:r>
    </w:p>
    <w:p>
      <w:pPr>
        <w:pStyle w:val="7"/>
        <w:adjustRightInd w:val="0"/>
        <w:snapToGrid w:val="0"/>
        <w:spacing w:line="440" w:lineRule="exact"/>
        <w:ind w:firstLine="480" w:firstLineChars="200"/>
        <w:rPr>
          <w:rFonts w:hAnsi="宋体"/>
          <w:sz w:val="24"/>
          <w:szCs w:val="24"/>
        </w:rPr>
      </w:pPr>
      <w:r>
        <w:rPr>
          <w:rFonts w:hint="eastAsia" w:hAnsi="宋体"/>
          <w:sz w:val="24"/>
          <w:szCs w:val="24"/>
        </w:rPr>
        <w:t>根据贵方为</w:t>
      </w:r>
      <w:r>
        <w:rPr>
          <w:rFonts w:hint="eastAsia" w:hAnsi="宋体"/>
          <w:sz w:val="24"/>
          <w:szCs w:val="24"/>
          <w:u w:val="single"/>
        </w:rPr>
        <w:t>（项目名称）</w:t>
      </w:r>
      <w:r>
        <w:rPr>
          <w:rFonts w:hint="eastAsia" w:hAnsi="宋体"/>
          <w:sz w:val="24"/>
          <w:szCs w:val="24"/>
        </w:rPr>
        <w:t>项目招标文件内容，我方签字代表</w:t>
      </w:r>
      <w:r>
        <w:rPr>
          <w:rFonts w:hint="eastAsia" w:hAnsi="宋体"/>
          <w:sz w:val="24"/>
          <w:szCs w:val="24"/>
          <w:u w:val="single"/>
        </w:rPr>
        <w:t>（姓名）</w:t>
      </w:r>
      <w:r>
        <w:rPr>
          <w:rFonts w:hint="eastAsia" w:hAnsi="宋体"/>
          <w:sz w:val="24"/>
          <w:szCs w:val="24"/>
        </w:rPr>
        <w:t>经正式授权并代表投标人</w:t>
      </w:r>
      <w:r>
        <w:rPr>
          <w:rFonts w:hint="eastAsia" w:hAnsi="宋体"/>
          <w:sz w:val="24"/>
          <w:szCs w:val="24"/>
          <w:u w:val="single"/>
        </w:rPr>
        <w:t>（投标人名称）</w:t>
      </w:r>
      <w:r>
        <w:rPr>
          <w:rFonts w:hint="eastAsia" w:hAnsi="宋体"/>
          <w:sz w:val="24"/>
          <w:szCs w:val="24"/>
        </w:rPr>
        <w:t>提交投标文件；</w:t>
      </w:r>
    </w:p>
    <w:p>
      <w:pPr>
        <w:pStyle w:val="7"/>
        <w:adjustRightInd w:val="0"/>
        <w:snapToGrid w:val="0"/>
        <w:spacing w:line="440" w:lineRule="exact"/>
        <w:ind w:firstLine="480" w:firstLineChars="200"/>
        <w:rPr>
          <w:rFonts w:hAnsi="宋体"/>
          <w:sz w:val="24"/>
          <w:szCs w:val="24"/>
        </w:rPr>
      </w:pPr>
      <w:r>
        <w:rPr>
          <w:rFonts w:hint="eastAsia" w:hAnsi="宋体"/>
          <w:sz w:val="24"/>
          <w:szCs w:val="24"/>
        </w:rPr>
        <w:t>据此函，签字代表宣布同意如下：</w:t>
      </w:r>
    </w:p>
    <w:p>
      <w:pPr>
        <w:pStyle w:val="7"/>
        <w:adjustRightInd w:val="0"/>
        <w:snapToGrid w:val="0"/>
        <w:spacing w:line="440" w:lineRule="exact"/>
        <w:ind w:firstLine="480" w:firstLineChars="200"/>
        <w:rPr>
          <w:rFonts w:hAnsi="宋体"/>
          <w:sz w:val="24"/>
          <w:szCs w:val="24"/>
        </w:rPr>
      </w:pPr>
      <w:r>
        <w:rPr>
          <w:rFonts w:hint="eastAsia" w:hAnsi="宋体"/>
          <w:sz w:val="24"/>
          <w:szCs w:val="24"/>
        </w:rPr>
        <w:t>1.在研究了贵公司提供的招标文件（含补遗文件，如有）后，承担</w:t>
      </w:r>
      <w:r>
        <w:rPr>
          <w:rFonts w:hint="eastAsia" w:hAnsi="宋体"/>
          <w:sz w:val="24"/>
          <w:szCs w:val="24"/>
          <w:u w:val="single"/>
        </w:rPr>
        <w:t>（项目名称）</w:t>
      </w:r>
      <w:r>
        <w:rPr>
          <w:rFonts w:hint="eastAsia" w:hAnsi="宋体"/>
          <w:sz w:val="24"/>
          <w:szCs w:val="24"/>
        </w:rPr>
        <w:t>，并按合同条件的要求，完成该项目服务任务。</w:t>
      </w:r>
    </w:p>
    <w:p>
      <w:pPr>
        <w:pStyle w:val="7"/>
        <w:adjustRightInd w:val="0"/>
        <w:snapToGrid w:val="0"/>
        <w:spacing w:line="440" w:lineRule="exact"/>
        <w:ind w:firstLine="480" w:firstLineChars="200"/>
        <w:rPr>
          <w:rFonts w:hAnsi="宋体"/>
          <w:sz w:val="24"/>
          <w:szCs w:val="24"/>
        </w:rPr>
      </w:pPr>
      <w:r>
        <w:rPr>
          <w:rFonts w:hint="eastAsia" w:hAnsi="宋体"/>
          <w:sz w:val="24"/>
          <w:szCs w:val="24"/>
        </w:rPr>
        <w:t>2.我方已详细审查全部招标文件，包括有关澄清和补充说明</w:t>
      </w:r>
      <w:r>
        <w:rPr>
          <w:rFonts w:hint="eastAsia" w:hAnsi="宋体"/>
          <w:sz w:val="24"/>
          <w:szCs w:val="24"/>
          <w:u w:val="single"/>
        </w:rPr>
        <w:t>（如有）</w:t>
      </w:r>
      <w:r>
        <w:rPr>
          <w:rFonts w:hint="eastAsia" w:hAnsi="宋体"/>
          <w:sz w:val="24"/>
          <w:szCs w:val="24"/>
        </w:rPr>
        <w:t xml:space="preserve">。我们完全理解并同意放弃对这方面有不明及误解的权利。 </w:t>
      </w:r>
    </w:p>
    <w:p>
      <w:pPr>
        <w:pStyle w:val="7"/>
        <w:adjustRightInd w:val="0"/>
        <w:snapToGrid w:val="0"/>
        <w:spacing w:line="440" w:lineRule="exact"/>
        <w:ind w:firstLine="480" w:firstLineChars="200"/>
        <w:rPr>
          <w:rFonts w:hAnsi="宋体"/>
          <w:sz w:val="24"/>
          <w:szCs w:val="24"/>
        </w:rPr>
      </w:pPr>
      <w:r>
        <w:rPr>
          <w:rFonts w:hint="eastAsia" w:hAnsi="宋体"/>
          <w:sz w:val="24"/>
          <w:szCs w:val="24"/>
        </w:rPr>
        <w:t>3.本投标文件有效期为自开标日起</w:t>
      </w:r>
      <w:r>
        <w:rPr>
          <w:rFonts w:hint="eastAsia" w:hAnsi="宋体"/>
          <w:sz w:val="24"/>
          <w:szCs w:val="24"/>
          <w:u w:val="single"/>
        </w:rPr>
        <w:t>60</w:t>
      </w:r>
      <w:r>
        <w:rPr>
          <w:rFonts w:hint="eastAsia" w:hAnsi="宋体"/>
          <w:sz w:val="24"/>
          <w:szCs w:val="24"/>
        </w:rPr>
        <w:t xml:space="preserve">个日历天。在这期间，本投标文件将始终对我方具有约束力，并可随时被接受。本次招标文件和本投标文件将作为合同的附件。 </w:t>
      </w:r>
    </w:p>
    <w:p>
      <w:pPr>
        <w:pStyle w:val="7"/>
        <w:adjustRightInd w:val="0"/>
        <w:snapToGrid w:val="0"/>
        <w:spacing w:line="440" w:lineRule="exact"/>
        <w:ind w:firstLine="480" w:firstLineChars="200"/>
        <w:rPr>
          <w:rFonts w:hAnsi="宋体"/>
          <w:sz w:val="24"/>
          <w:szCs w:val="24"/>
        </w:rPr>
      </w:pPr>
      <w:r>
        <w:rPr>
          <w:rFonts w:hint="eastAsia" w:hAnsi="宋体"/>
          <w:sz w:val="24"/>
          <w:szCs w:val="24"/>
        </w:rPr>
        <w:t>4.我方愿意向招标人提供任何与本次招标相关的其他资料。</w:t>
      </w:r>
    </w:p>
    <w:p>
      <w:pPr>
        <w:pStyle w:val="7"/>
        <w:adjustRightInd w:val="0"/>
        <w:snapToGrid w:val="0"/>
        <w:spacing w:line="440" w:lineRule="exact"/>
        <w:ind w:firstLine="480" w:firstLineChars="200"/>
        <w:rPr>
          <w:rFonts w:hAnsi="宋体"/>
          <w:sz w:val="24"/>
          <w:szCs w:val="24"/>
        </w:rPr>
      </w:pPr>
      <w:r>
        <w:rPr>
          <w:rFonts w:hint="eastAsia" w:hAnsi="宋体"/>
          <w:sz w:val="24"/>
          <w:szCs w:val="24"/>
        </w:rPr>
        <w:t>5.我方将严格履行本投标文件中的全部承诺和责任，并遵守招标文件中对投标人的所有规定。</w:t>
      </w:r>
    </w:p>
    <w:p>
      <w:pPr>
        <w:pStyle w:val="7"/>
        <w:adjustRightInd w:val="0"/>
        <w:snapToGrid w:val="0"/>
        <w:spacing w:line="440" w:lineRule="exact"/>
        <w:ind w:firstLine="480" w:firstLineChars="200"/>
        <w:rPr>
          <w:rFonts w:hAnsi="宋体"/>
          <w:sz w:val="24"/>
          <w:szCs w:val="24"/>
          <w:u w:val="single"/>
        </w:rPr>
      </w:pPr>
      <w:r>
        <w:rPr>
          <w:rFonts w:hint="eastAsia" w:hAnsi="宋体"/>
          <w:sz w:val="24"/>
          <w:szCs w:val="24"/>
        </w:rPr>
        <w:t>6.与本次招标有关的一切往来信函请寄：</w:t>
      </w:r>
      <w:r>
        <w:rPr>
          <w:rFonts w:hint="eastAsia" w:hAnsi="宋体"/>
          <w:sz w:val="24"/>
          <w:szCs w:val="24"/>
          <w:u w:val="single"/>
        </w:rPr>
        <w:t xml:space="preserve">                </w:t>
      </w:r>
      <w:r>
        <w:rPr>
          <w:rFonts w:hint="eastAsia" w:hAnsi="宋体"/>
          <w:sz w:val="24"/>
          <w:szCs w:val="24"/>
        </w:rPr>
        <w:t>。</w:t>
      </w:r>
    </w:p>
    <w:p>
      <w:pPr>
        <w:tabs>
          <w:tab w:val="left" w:pos="851"/>
        </w:tabs>
        <w:spacing w:line="440" w:lineRule="exact"/>
        <w:ind w:left="420" w:leftChars="200"/>
        <w:jc w:val="right"/>
        <w:rPr>
          <w:rFonts w:ascii="宋体" w:hAnsi="宋体"/>
          <w:kern w:val="0"/>
          <w:sz w:val="24"/>
        </w:rPr>
      </w:pPr>
    </w:p>
    <w:p>
      <w:pPr>
        <w:tabs>
          <w:tab w:val="left" w:pos="851"/>
        </w:tabs>
        <w:spacing w:line="440" w:lineRule="exact"/>
        <w:ind w:left="420" w:leftChars="200"/>
        <w:rPr>
          <w:rFonts w:ascii="宋体" w:hAnsi="宋体"/>
          <w:kern w:val="0"/>
          <w:sz w:val="24"/>
        </w:rPr>
      </w:pPr>
      <w:r>
        <w:rPr>
          <w:rFonts w:hint="eastAsia" w:ascii="宋体" w:hAnsi="宋体"/>
          <w:kern w:val="0"/>
          <w:sz w:val="24"/>
        </w:rPr>
        <w:t>投标人：</w:t>
      </w:r>
      <w:r>
        <w:rPr>
          <w:rFonts w:hint="eastAsia" w:ascii="宋体" w:hAnsi="宋体"/>
          <w:kern w:val="0"/>
          <w:sz w:val="24"/>
          <w:u w:val="single"/>
        </w:rPr>
        <w:t xml:space="preserve">                   </w:t>
      </w:r>
      <w:r>
        <w:rPr>
          <w:rFonts w:hint="eastAsia" w:ascii="宋体" w:hAnsi="宋体"/>
          <w:kern w:val="0"/>
          <w:sz w:val="24"/>
        </w:rPr>
        <w:t>（盖单位公章）</w:t>
      </w:r>
    </w:p>
    <w:p>
      <w:pPr>
        <w:tabs>
          <w:tab w:val="left" w:pos="851"/>
        </w:tabs>
        <w:spacing w:line="440" w:lineRule="exact"/>
        <w:ind w:left="420" w:leftChars="200"/>
        <w:rPr>
          <w:rFonts w:ascii="宋体" w:hAnsi="宋体"/>
          <w:kern w:val="0"/>
          <w:sz w:val="24"/>
        </w:rPr>
      </w:pPr>
      <w:r>
        <w:rPr>
          <w:rFonts w:hint="eastAsia" w:ascii="宋体" w:hAnsi="宋体"/>
          <w:kern w:val="0"/>
          <w:sz w:val="24"/>
        </w:rPr>
        <w:t>法定代表人或其委托代理人：</w:t>
      </w:r>
      <w:r>
        <w:rPr>
          <w:rFonts w:hint="eastAsia" w:ascii="宋体" w:hAnsi="宋体"/>
          <w:kern w:val="0"/>
          <w:sz w:val="24"/>
          <w:u w:val="single"/>
        </w:rPr>
        <w:t xml:space="preserve">       </w:t>
      </w:r>
      <w:r>
        <w:rPr>
          <w:rFonts w:hint="eastAsia" w:ascii="宋体" w:hAnsi="宋体"/>
          <w:kern w:val="0"/>
          <w:sz w:val="24"/>
        </w:rPr>
        <w:t>（签字或盖章）</w:t>
      </w:r>
    </w:p>
    <w:p>
      <w:pPr>
        <w:pStyle w:val="4"/>
        <w:overflowPunct w:val="0"/>
        <w:spacing w:line="440" w:lineRule="exact"/>
        <w:rPr>
          <w:rFonts w:ascii="宋体" w:hAnsi="宋体"/>
          <w:b w:val="0"/>
          <w:bCs/>
          <w:szCs w:val="24"/>
        </w:rPr>
      </w:pPr>
      <w:r>
        <w:rPr>
          <w:rFonts w:hint="eastAsia" w:ascii="宋体" w:hAnsi="宋体"/>
          <w:b w:val="0"/>
          <w:bCs/>
          <w:szCs w:val="24"/>
        </w:rPr>
        <w:t>地     址：</w:t>
      </w:r>
      <w:r>
        <w:rPr>
          <w:rFonts w:hint="eastAsia" w:ascii="宋体" w:hAnsi="宋体"/>
          <w:szCs w:val="24"/>
          <w:u w:val="single"/>
        </w:rPr>
        <w:t xml:space="preserve">                   </w:t>
      </w:r>
      <w:r>
        <w:rPr>
          <w:rFonts w:hint="eastAsia" w:ascii="宋体" w:hAnsi="宋体"/>
          <w:b w:val="0"/>
          <w:bCs/>
          <w:szCs w:val="24"/>
        </w:rPr>
        <w:t xml:space="preserve">                      </w:t>
      </w:r>
    </w:p>
    <w:p>
      <w:pPr>
        <w:pStyle w:val="4"/>
        <w:overflowPunct w:val="0"/>
        <w:spacing w:line="440" w:lineRule="exact"/>
        <w:rPr>
          <w:rFonts w:ascii="宋体" w:hAnsi="宋体"/>
          <w:b w:val="0"/>
          <w:bCs/>
          <w:szCs w:val="24"/>
        </w:rPr>
      </w:pPr>
      <w:r>
        <w:rPr>
          <w:rFonts w:hint="eastAsia" w:ascii="宋体" w:hAnsi="宋体"/>
          <w:b w:val="0"/>
          <w:bCs/>
          <w:szCs w:val="24"/>
        </w:rPr>
        <w:t>电     话：</w:t>
      </w:r>
      <w:r>
        <w:rPr>
          <w:rFonts w:hint="eastAsia" w:ascii="宋体" w:hAnsi="宋体"/>
          <w:szCs w:val="24"/>
          <w:u w:val="single"/>
        </w:rPr>
        <w:t xml:space="preserve">                   </w:t>
      </w:r>
      <w:r>
        <w:rPr>
          <w:rFonts w:hint="eastAsia" w:ascii="宋体" w:hAnsi="宋体"/>
          <w:b w:val="0"/>
          <w:bCs/>
          <w:szCs w:val="24"/>
        </w:rPr>
        <w:t xml:space="preserve">                 </w:t>
      </w:r>
    </w:p>
    <w:p>
      <w:pPr>
        <w:pStyle w:val="4"/>
        <w:overflowPunct w:val="0"/>
        <w:spacing w:line="440" w:lineRule="exact"/>
        <w:rPr>
          <w:rFonts w:ascii="宋体" w:hAnsi="宋体"/>
          <w:szCs w:val="24"/>
        </w:rPr>
      </w:pPr>
      <w:r>
        <w:rPr>
          <w:rFonts w:hint="eastAsia" w:ascii="宋体" w:hAnsi="宋体"/>
          <w:b w:val="0"/>
          <w:bCs/>
          <w:szCs w:val="24"/>
        </w:rPr>
        <w:t>日     期：  年   月   日</w:t>
      </w:r>
    </w:p>
    <w:p>
      <w:pPr>
        <w:pStyle w:val="3"/>
        <w:rPr>
          <w:rFonts w:ascii="宋体" w:hAnsi="宋体" w:eastAsia="宋体"/>
          <w:sz w:val="44"/>
          <w:szCs w:val="44"/>
        </w:rPr>
      </w:pPr>
    </w:p>
    <w:p>
      <w:pPr>
        <w:rPr>
          <w:rFonts w:ascii="宋体" w:hAnsi="宋体"/>
          <w:sz w:val="44"/>
          <w:szCs w:val="44"/>
        </w:rPr>
      </w:pPr>
    </w:p>
    <w:p>
      <w:pPr>
        <w:pStyle w:val="2"/>
      </w:pPr>
    </w:p>
    <w:p>
      <w:pPr>
        <w:pStyle w:val="2"/>
      </w:pPr>
    </w:p>
    <w:p>
      <w:pPr>
        <w:pStyle w:val="2"/>
      </w:pPr>
    </w:p>
    <w:p>
      <w:pPr>
        <w:pStyle w:val="2"/>
      </w:pPr>
    </w:p>
    <w:p>
      <w:pPr>
        <w:adjustRightInd w:val="0"/>
        <w:snapToGrid w:val="0"/>
        <w:spacing w:before="156" w:beforeLines="50" w:after="156" w:afterLines="50" w:line="360" w:lineRule="auto"/>
        <w:jc w:val="center"/>
        <w:rPr>
          <w:rFonts w:ascii="宋体" w:hAnsi="宋体"/>
          <w:b/>
          <w:bCs/>
          <w:sz w:val="32"/>
          <w:szCs w:val="32"/>
        </w:rPr>
      </w:pPr>
    </w:p>
    <w:p>
      <w:pPr>
        <w:adjustRightInd w:val="0"/>
        <w:snapToGrid w:val="0"/>
        <w:spacing w:before="156" w:beforeLines="50" w:after="156" w:afterLines="50" w:line="360" w:lineRule="auto"/>
        <w:jc w:val="center"/>
        <w:rPr>
          <w:rFonts w:ascii="宋体" w:hAnsi="宋体"/>
          <w:b/>
          <w:bCs/>
          <w:sz w:val="32"/>
          <w:szCs w:val="32"/>
        </w:rPr>
      </w:pPr>
      <w:r>
        <w:rPr>
          <w:rFonts w:hint="eastAsia" w:ascii="宋体" w:hAnsi="宋体"/>
          <w:b/>
          <w:bCs/>
          <w:sz w:val="32"/>
          <w:szCs w:val="32"/>
        </w:rPr>
        <w:t>六、报价表</w:t>
      </w:r>
    </w:p>
    <w:tbl>
      <w:tblPr>
        <w:tblStyle w:val="1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2"/>
              </w:rPr>
            </w:pPr>
            <w:r>
              <w:rPr>
                <w:rFonts w:hint="eastAsia" w:ascii="宋体" w:hAnsi="宋体"/>
                <w:kern w:val="0"/>
                <w:sz w:val="28"/>
                <w:szCs w:val="28"/>
              </w:rPr>
              <w:t>项目名称</w:t>
            </w:r>
          </w:p>
        </w:tc>
        <w:tc>
          <w:tcPr>
            <w:tcW w:w="4607" w:type="dxa"/>
            <w:tcBorders>
              <w:top w:val="single" w:color="auto" w:sz="4" w:space="0"/>
              <w:left w:val="single" w:color="auto" w:sz="4" w:space="0"/>
              <w:bottom w:val="single" w:color="auto" w:sz="4" w:space="0"/>
              <w:right w:val="single" w:color="auto" w:sz="4" w:space="0"/>
            </w:tcBorders>
          </w:tcPr>
          <w:p>
            <w:pPr>
              <w:jc w:val="center"/>
              <w:rPr>
                <w:rFonts w:ascii="宋体" w:hAnsi="宋体"/>
                <w:szCs w:val="22"/>
              </w:rPr>
            </w:pPr>
            <w:r>
              <w:rPr>
                <w:rFonts w:hint="eastAsia" w:ascii="宋体" w:hAnsi="宋体"/>
                <w:kern w:val="0"/>
                <w:sz w:val="28"/>
                <w:szCs w:val="28"/>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1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8"/>
                <w:szCs w:val="28"/>
              </w:rPr>
            </w:pPr>
            <w:r>
              <w:rPr>
                <w:rFonts w:hint="eastAsia" w:ascii="宋体" w:hAnsi="宋体"/>
                <w:kern w:val="0"/>
                <w:sz w:val="28"/>
                <w:szCs w:val="28"/>
              </w:rPr>
              <w:t>南通通安聚龙银服科技有限公司</w:t>
            </w:r>
          </w:p>
          <w:p>
            <w:pPr>
              <w:jc w:val="center"/>
              <w:rPr>
                <w:rFonts w:ascii="宋体" w:hAnsi="宋体"/>
                <w:kern w:val="0"/>
                <w:sz w:val="28"/>
                <w:szCs w:val="28"/>
              </w:rPr>
            </w:pPr>
            <w:r>
              <w:rPr>
                <w:rFonts w:hint="eastAsia" w:ascii="宋体" w:hAnsi="宋体"/>
                <w:kern w:val="0"/>
                <w:sz w:val="28"/>
                <w:szCs w:val="28"/>
              </w:rPr>
              <w:t>区域现金处理中心</w:t>
            </w:r>
          </w:p>
          <w:p>
            <w:pPr>
              <w:jc w:val="center"/>
              <w:rPr>
                <w:rFonts w:ascii="宋体" w:hAnsi="宋体"/>
                <w:kern w:val="0"/>
                <w:sz w:val="28"/>
                <w:szCs w:val="28"/>
              </w:rPr>
            </w:pPr>
            <w:r>
              <w:rPr>
                <w:rFonts w:hint="eastAsia" w:ascii="宋体" w:hAnsi="宋体"/>
                <w:kern w:val="0"/>
                <w:sz w:val="28"/>
                <w:szCs w:val="28"/>
              </w:rPr>
              <w:t>金库非见面交接自动化流转项目</w:t>
            </w:r>
          </w:p>
        </w:tc>
        <w:tc>
          <w:tcPr>
            <w:tcW w:w="4607" w:type="dxa"/>
            <w:tcBorders>
              <w:top w:val="single" w:color="auto" w:sz="4" w:space="0"/>
              <w:left w:val="single" w:color="auto" w:sz="4" w:space="0"/>
              <w:bottom w:val="single" w:color="auto" w:sz="4" w:space="0"/>
              <w:right w:val="single" w:color="auto" w:sz="4" w:space="0"/>
            </w:tcBorders>
          </w:tcPr>
          <w:p>
            <w:pPr>
              <w:jc w:val="left"/>
              <w:rPr>
                <w:rFonts w:ascii="宋体" w:hAnsi="宋体"/>
                <w:kern w:val="0"/>
                <w:sz w:val="28"/>
                <w:szCs w:val="28"/>
              </w:rPr>
            </w:pPr>
            <w:r>
              <w:rPr>
                <w:rFonts w:hint="eastAsia" w:ascii="宋体" w:hAnsi="宋体"/>
                <w:kern w:val="0"/>
                <w:sz w:val="28"/>
                <w:szCs w:val="28"/>
              </w:rPr>
              <w:t>大写：</w:t>
            </w:r>
          </w:p>
          <w:p>
            <w:pPr>
              <w:jc w:val="left"/>
              <w:rPr>
                <w:rFonts w:ascii="宋体" w:hAnsi="宋体"/>
                <w:kern w:val="0"/>
                <w:sz w:val="28"/>
                <w:szCs w:val="28"/>
              </w:rPr>
            </w:pPr>
            <w:r>
              <w:rPr>
                <w:rFonts w:hint="eastAsia" w:ascii="宋体" w:hAnsi="宋体"/>
                <w:kern w:val="0"/>
                <w:sz w:val="28"/>
                <w:szCs w:val="28"/>
              </w:rPr>
              <w:t>小写：      元（人民币）</w:t>
            </w:r>
          </w:p>
          <w:p>
            <w:pPr>
              <w:jc w:val="left"/>
            </w:pPr>
            <w:r>
              <w:rPr>
                <w:rFonts w:hint="eastAsia" w:ascii="宋体" w:hAnsi="宋体"/>
                <w:kern w:val="0"/>
                <w:sz w:val="28"/>
                <w:szCs w:val="28"/>
              </w:rPr>
              <w:t>税率：</w:t>
            </w:r>
          </w:p>
        </w:tc>
      </w:tr>
    </w:tbl>
    <w:p>
      <w:pPr>
        <w:pStyle w:val="2"/>
      </w:pPr>
      <w:r>
        <w:rPr>
          <w:rFonts w:hint="eastAsia"/>
        </w:rPr>
        <w:t xml:space="preserve">     </w:t>
      </w:r>
    </w:p>
    <w:p>
      <w:pPr>
        <w:pStyle w:val="4"/>
        <w:overflowPunct w:val="0"/>
        <w:spacing w:line="400" w:lineRule="exact"/>
        <w:rPr>
          <w:rFonts w:ascii="宋体" w:hAnsi="宋体"/>
          <w:szCs w:val="24"/>
        </w:rPr>
      </w:pPr>
      <w:r>
        <w:rPr>
          <w:rFonts w:hint="eastAsia" w:ascii="宋体" w:hAnsi="宋体"/>
          <w:b w:val="0"/>
          <w:bCs/>
          <w:szCs w:val="24"/>
        </w:rPr>
        <w:t>注：本项目评审价以项目含税报价为准。</w:t>
      </w:r>
    </w:p>
    <w:p>
      <w:pPr>
        <w:spacing w:line="560" w:lineRule="exact"/>
        <w:rPr>
          <w:rFonts w:ascii="宋体" w:hAnsi="宋体"/>
          <w:sz w:val="24"/>
        </w:rPr>
      </w:pPr>
    </w:p>
    <w:p>
      <w:pPr>
        <w:spacing w:line="560" w:lineRule="exact"/>
        <w:rPr>
          <w:rFonts w:ascii="宋体" w:hAnsi="宋体"/>
          <w:sz w:val="24"/>
        </w:rPr>
      </w:pPr>
      <w:r>
        <w:rPr>
          <w:rFonts w:hint="eastAsia" w:ascii="宋体" w:hAnsi="宋体"/>
          <w:sz w:val="24"/>
        </w:rPr>
        <w:t>投标人（公章）：</w:t>
      </w:r>
    </w:p>
    <w:p>
      <w:pPr>
        <w:spacing w:line="560" w:lineRule="exact"/>
        <w:rPr>
          <w:rFonts w:ascii="宋体" w:hAnsi="宋体"/>
          <w:sz w:val="24"/>
        </w:rPr>
      </w:pPr>
      <w:r>
        <w:rPr>
          <w:rFonts w:hint="eastAsia" w:ascii="宋体" w:hAnsi="宋体"/>
          <w:sz w:val="24"/>
        </w:rPr>
        <w:t>法定代表人或授权代表（签字或盖章）：</w:t>
      </w:r>
    </w:p>
    <w:p>
      <w:pPr>
        <w:spacing w:line="360" w:lineRule="auto"/>
        <w:rPr>
          <w:rFonts w:ascii="宋体" w:hAnsi="宋体"/>
          <w:sz w:val="24"/>
        </w:rPr>
      </w:pPr>
      <w:r>
        <w:rPr>
          <w:rFonts w:hint="eastAsia" w:ascii="宋体" w:hAnsi="宋体"/>
          <w:sz w:val="24"/>
        </w:rPr>
        <w:t>日期：</w:t>
      </w:r>
    </w:p>
    <w:p>
      <w:pPr>
        <w:pStyle w:val="2"/>
        <w:rPr>
          <w:rFonts w:hAnsi="宋体"/>
          <w:sz w:val="24"/>
        </w:rPr>
      </w:pPr>
    </w:p>
    <w:p>
      <w:pPr>
        <w:rPr>
          <w:rFonts w:ascii="宋体" w:hAnsi="宋体"/>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00" w:lineRule="exact"/>
        <w:jc w:val="center"/>
        <w:rPr>
          <w:rFonts w:ascii="宋体" w:hAnsi="宋体"/>
          <w:b/>
          <w:bCs/>
          <w:sz w:val="32"/>
          <w:szCs w:val="32"/>
        </w:rPr>
      </w:pPr>
      <w:r>
        <w:rPr>
          <w:rFonts w:hint="eastAsia" w:ascii="宋体" w:hAnsi="宋体"/>
          <w:b/>
          <w:bCs/>
          <w:sz w:val="32"/>
          <w:szCs w:val="32"/>
        </w:rPr>
        <w:t>七、分项报价明细表（请按以下格式报价）</w:t>
      </w:r>
    </w:p>
    <w:p>
      <w:pPr>
        <w:pStyle w:val="2"/>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70"/>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8"/>
          </w:tcPr>
          <w:p>
            <w:pPr>
              <w:rPr>
                <w:rFonts w:ascii="宋体" w:hAnsi="宋体"/>
              </w:rPr>
            </w:pPr>
            <w:r>
              <w:rPr>
                <w:rFonts w:hint="eastAsia" w:ascii="宋体" w:hAnsi="宋体"/>
              </w:rPr>
              <w:t>第一部分：机器人运输模块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6555" w:type="dxa"/>
            <w:gridSpan w:val="6"/>
          </w:tcPr>
          <w:p>
            <w:pPr>
              <w:rPr>
                <w:rFonts w:ascii="宋体" w:hAnsi="宋体"/>
              </w:rPr>
            </w:pPr>
            <w:r>
              <w:rPr>
                <w:rFonts w:hint="eastAsia" w:ascii="宋体" w:hAnsi="宋体"/>
              </w:rPr>
              <w:t>小计</w:t>
            </w: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第二部分：现金箱分拣机器人模块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6555" w:type="dxa"/>
            <w:gridSpan w:val="6"/>
          </w:tcPr>
          <w:p>
            <w:pPr>
              <w:rPr>
                <w:rFonts w:ascii="宋体" w:hAnsi="宋体"/>
              </w:rPr>
            </w:pPr>
            <w:r>
              <w:rPr>
                <w:rFonts w:hint="eastAsia" w:ascii="宋体" w:hAnsi="宋体"/>
              </w:rPr>
              <w:t>小计</w:t>
            </w: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第三部分：无线网络全覆盖模块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hint="eastAsia" w:ascii="宋体" w:hAnsi="宋体"/>
              </w:rPr>
              <w:t>小计</w:t>
            </w: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第四部分：平移门改造模块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6555" w:type="dxa"/>
            <w:gridSpan w:val="6"/>
          </w:tcPr>
          <w:p>
            <w:pPr>
              <w:rPr>
                <w:rFonts w:ascii="宋体" w:hAnsi="宋体"/>
              </w:rPr>
            </w:pPr>
            <w:r>
              <w:rPr>
                <w:rFonts w:hint="eastAsia" w:ascii="宋体" w:hAnsi="宋体"/>
              </w:rPr>
              <w:t>小计</w:t>
            </w: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第五部分：配款间操作台自动下料模块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6555" w:type="dxa"/>
            <w:gridSpan w:val="6"/>
          </w:tcPr>
          <w:p>
            <w:pPr>
              <w:rPr>
                <w:rFonts w:ascii="宋体" w:hAnsi="宋体"/>
              </w:rPr>
            </w:pPr>
            <w:r>
              <w:rPr>
                <w:rFonts w:hint="eastAsia" w:ascii="宋体" w:hAnsi="宋体"/>
              </w:rPr>
              <w:t>小计</w:t>
            </w: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第六部分：其他硬件设备（如平板车、ATM笼车、现金箱等）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6555" w:type="dxa"/>
            <w:gridSpan w:val="6"/>
          </w:tcPr>
          <w:p>
            <w:pPr>
              <w:rPr>
                <w:rFonts w:ascii="宋体" w:hAnsi="宋体"/>
              </w:rPr>
            </w:pPr>
            <w:r>
              <w:rPr>
                <w:rFonts w:hint="eastAsia" w:ascii="宋体" w:hAnsi="宋体"/>
              </w:rPr>
              <w:t>小计</w:t>
            </w: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第七部分：信息化设备模块（如电脑、手持设备、平板等）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1037"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6555" w:type="dxa"/>
            <w:gridSpan w:val="6"/>
          </w:tcPr>
          <w:p>
            <w:pPr>
              <w:rPr>
                <w:rFonts w:ascii="宋体" w:hAnsi="宋体"/>
              </w:rPr>
            </w:pPr>
            <w:r>
              <w:rPr>
                <w:rFonts w:hint="eastAsia" w:ascii="宋体" w:hAnsi="宋体"/>
              </w:rPr>
              <w:t>小计</w:t>
            </w: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8"/>
          </w:tcPr>
          <w:p>
            <w:pPr>
              <w:rPr>
                <w:rFonts w:ascii="宋体" w:hAnsi="宋体"/>
              </w:rPr>
            </w:pPr>
            <w:r>
              <w:rPr>
                <w:rFonts w:hint="eastAsia" w:ascii="宋体" w:hAnsi="宋体"/>
              </w:rPr>
              <w:t>第八部分：业务系统调度系统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6555" w:type="dxa"/>
            <w:gridSpan w:val="6"/>
          </w:tcPr>
          <w:p>
            <w:pPr>
              <w:rPr>
                <w:rFonts w:ascii="宋体" w:hAnsi="宋体"/>
              </w:rPr>
            </w:pPr>
            <w:r>
              <w:rPr>
                <w:rFonts w:hint="eastAsia" w:ascii="宋体" w:hAnsi="宋体"/>
              </w:rPr>
              <w:t>小计</w:t>
            </w: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第九部分：其他投标方根据项目需求增加的设备辅材等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序号</w:t>
            </w:r>
          </w:p>
        </w:tc>
        <w:tc>
          <w:tcPr>
            <w:tcW w:w="1370" w:type="dxa"/>
          </w:tcPr>
          <w:p>
            <w:pPr>
              <w:rPr>
                <w:rFonts w:ascii="宋体" w:hAnsi="宋体"/>
              </w:rPr>
            </w:pPr>
            <w:r>
              <w:rPr>
                <w:rFonts w:hint="eastAsia" w:ascii="宋体" w:hAnsi="宋体"/>
              </w:rPr>
              <w:t>名称</w:t>
            </w:r>
          </w:p>
        </w:tc>
        <w:tc>
          <w:tcPr>
            <w:tcW w:w="2074" w:type="dxa"/>
            <w:gridSpan w:val="2"/>
          </w:tcPr>
          <w:p>
            <w:pPr>
              <w:rPr>
                <w:rFonts w:ascii="宋体" w:hAnsi="宋体"/>
              </w:rPr>
            </w:pPr>
            <w:r>
              <w:rPr>
                <w:rFonts w:hint="eastAsia" w:ascii="宋体" w:hAnsi="宋体"/>
              </w:rPr>
              <w:t>型号参数</w:t>
            </w:r>
          </w:p>
        </w:tc>
        <w:tc>
          <w:tcPr>
            <w:tcW w:w="1037" w:type="dxa"/>
          </w:tcPr>
          <w:p>
            <w:pPr>
              <w:rPr>
                <w:rFonts w:ascii="宋体" w:hAnsi="宋体"/>
              </w:rPr>
            </w:pPr>
            <w:r>
              <w:rPr>
                <w:rFonts w:hint="eastAsia" w:ascii="宋体" w:hAnsi="宋体"/>
              </w:rPr>
              <w:t>单位</w:t>
            </w:r>
          </w:p>
        </w:tc>
        <w:tc>
          <w:tcPr>
            <w:tcW w:w="1037" w:type="dxa"/>
          </w:tcPr>
          <w:p>
            <w:pPr>
              <w:rPr>
                <w:rFonts w:ascii="宋体" w:hAnsi="宋体"/>
              </w:rPr>
            </w:pPr>
            <w:r>
              <w:rPr>
                <w:rFonts w:hint="eastAsia" w:ascii="宋体" w:hAnsi="宋体"/>
              </w:rPr>
              <w:t>数量</w:t>
            </w:r>
          </w:p>
        </w:tc>
        <w:tc>
          <w:tcPr>
            <w:tcW w:w="1037" w:type="dxa"/>
          </w:tcPr>
          <w:p>
            <w:pPr>
              <w:rPr>
                <w:rFonts w:ascii="宋体" w:hAnsi="宋体"/>
              </w:rPr>
            </w:pPr>
            <w:r>
              <w:rPr>
                <w:rFonts w:hint="eastAsia" w:ascii="宋体" w:hAnsi="宋体"/>
              </w:rPr>
              <w:t>单价</w:t>
            </w:r>
          </w:p>
        </w:tc>
        <w:tc>
          <w:tcPr>
            <w:tcW w:w="1037" w:type="dxa"/>
          </w:tcPr>
          <w:p>
            <w:pP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1</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2</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hint="eastAsia" w:ascii="宋体" w:hAnsi="宋体"/>
              </w:rPr>
              <w:t>3</w:t>
            </w:r>
          </w:p>
        </w:tc>
        <w:tc>
          <w:tcPr>
            <w:tcW w:w="1370" w:type="dxa"/>
          </w:tcPr>
          <w:p>
            <w:pPr>
              <w:rPr>
                <w:rFonts w:ascii="宋体" w:hAnsi="宋体"/>
              </w:rPr>
            </w:pP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rPr>
                <w:rFonts w:ascii="宋体" w:hAnsi="宋体"/>
              </w:rPr>
            </w:pPr>
            <w:r>
              <w:rPr>
                <w:rFonts w:ascii="宋体" w:hAnsi="宋体"/>
              </w:rPr>
              <w:t>…</w:t>
            </w:r>
          </w:p>
        </w:tc>
        <w:tc>
          <w:tcPr>
            <w:tcW w:w="1370" w:type="dxa"/>
          </w:tcPr>
          <w:p>
            <w:pPr>
              <w:rPr>
                <w:rFonts w:ascii="宋体" w:hAnsi="宋体"/>
              </w:rPr>
            </w:pPr>
            <w:r>
              <w:rPr>
                <w:rFonts w:ascii="宋体" w:hAnsi="宋体"/>
              </w:rPr>
              <w:t>…</w:t>
            </w:r>
          </w:p>
        </w:tc>
        <w:tc>
          <w:tcPr>
            <w:tcW w:w="2074" w:type="dxa"/>
            <w:gridSpan w:val="2"/>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c>
          <w:tcPr>
            <w:tcW w:w="1037" w:type="dxa"/>
          </w:tcPr>
          <w:p>
            <w:pPr>
              <w:rPr>
                <w:rFonts w:ascii="宋体" w:hAnsi="宋体"/>
              </w:rPr>
            </w:pP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宋体" w:hAnsi="宋体"/>
              </w:rPr>
            </w:pPr>
            <w:r>
              <w:rPr>
                <w:rFonts w:ascii="宋体" w:hAnsi="宋体"/>
              </w:rPr>
              <w:t>…</w:t>
            </w:r>
          </w:p>
        </w:tc>
        <w:tc>
          <w:tcPr>
            <w:tcW w:w="1370" w:type="dxa"/>
          </w:tcPr>
          <w:p>
            <w:pPr>
              <w:rPr>
                <w:rFonts w:ascii="宋体" w:hAnsi="宋体"/>
              </w:rPr>
            </w:pPr>
            <w:r>
              <w:rPr>
                <w:rFonts w:hint="eastAsia" w:ascii="宋体" w:hAnsi="宋体"/>
              </w:rPr>
              <w:t>小计</w:t>
            </w:r>
          </w:p>
        </w:tc>
        <w:tc>
          <w:tcPr>
            <w:tcW w:w="2074" w:type="dxa"/>
            <w:gridSpan w:val="2"/>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c>
          <w:tcPr>
            <w:tcW w:w="103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pPr>
              <w:rPr>
                <w:rFonts w:ascii="宋体" w:hAnsi="宋体"/>
              </w:rPr>
            </w:pPr>
            <w:r>
              <w:rPr>
                <w:rFonts w:hint="eastAsia" w:ascii="宋体" w:hAnsi="宋体"/>
              </w:rPr>
              <w:t>第十部分：价格总计（RMB</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4"/>
          </w:tcPr>
          <w:p>
            <w:pPr>
              <w:rPr>
                <w:rFonts w:ascii="宋体" w:hAnsi="宋体"/>
              </w:rPr>
            </w:pPr>
            <w:r>
              <w:rPr>
                <w:rFonts w:hint="eastAsia" w:ascii="宋体" w:hAnsi="宋体"/>
              </w:rPr>
              <w:t>小写：                      元（RMB）</w:t>
            </w:r>
          </w:p>
        </w:tc>
        <w:tc>
          <w:tcPr>
            <w:tcW w:w="4148" w:type="dxa"/>
            <w:gridSpan w:val="4"/>
          </w:tcPr>
          <w:p>
            <w:pPr>
              <w:rPr>
                <w:rFonts w:ascii="宋体" w:hAnsi="宋体"/>
              </w:rPr>
            </w:pPr>
            <w:r>
              <w:rPr>
                <w:rFonts w:hint="eastAsia" w:ascii="宋体" w:hAnsi="宋体"/>
              </w:rPr>
              <w:t xml:space="preserve">大写：                       </w:t>
            </w:r>
          </w:p>
        </w:tc>
      </w:tr>
    </w:tbl>
    <w:p>
      <w:pPr>
        <w:rPr>
          <w:rFonts w:ascii="宋体" w:hAnsi="宋体"/>
        </w:rPr>
      </w:pPr>
    </w:p>
    <w:p>
      <w:pPr>
        <w:pStyle w:val="2"/>
        <w:rPr>
          <w:sz w:val="28"/>
          <w:szCs w:val="28"/>
        </w:rPr>
      </w:pPr>
    </w:p>
    <w:p>
      <w:pPr>
        <w:rPr>
          <w:sz w:val="28"/>
          <w:szCs w:val="28"/>
        </w:rPr>
      </w:pPr>
      <w:r>
        <w:rPr>
          <w:rFonts w:hint="eastAsia"/>
          <w:sz w:val="28"/>
          <w:szCs w:val="28"/>
        </w:rPr>
        <w:t xml:space="preserve">                   投标公司（盖公章）：</w:t>
      </w:r>
    </w:p>
    <w:p>
      <w:pPr>
        <w:pStyle w:val="2"/>
        <w:rPr>
          <w:sz w:val="28"/>
          <w:szCs w:val="28"/>
        </w:rPr>
      </w:pPr>
      <w:r>
        <w:rPr>
          <w:rFonts w:hint="eastAsia"/>
          <w:sz w:val="28"/>
          <w:szCs w:val="28"/>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0"/>
      </w:pPr>
    </w:lvl>
  </w:abstractNum>
  <w:abstractNum w:abstractNumId="1">
    <w:nsid w:val="00000002"/>
    <w:multiLevelType w:val="singleLevel"/>
    <w:tmpl w:val="00000002"/>
    <w:lvl w:ilvl="0" w:tentative="0">
      <w:start w:val="1"/>
      <w:numFmt w:val="decimal"/>
      <w:suff w:val="nothing"/>
      <w:lvlText w:val="（%1）"/>
      <w:lvlJc w:val="left"/>
      <w:pPr>
        <w:ind w:left="0" w:firstLine="0"/>
      </w:pPr>
    </w:lvl>
  </w:abstractNum>
  <w:abstractNum w:abstractNumId="2">
    <w:nsid w:val="0DDB3A0F"/>
    <w:multiLevelType w:val="singleLevel"/>
    <w:tmpl w:val="0DDB3A0F"/>
    <w:lvl w:ilvl="0" w:tentative="0">
      <w:start w:val="2"/>
      <w:numFmt w:val="decimal"/>
      <w:suff w:val="nothing"/>
      <w:lvlText w:val="%1、"/>
      <w:lvlJc w:val="left"/>
      <w:pPr>
        <w:ind w:left="0" w:firstLine="0"/>
      </w:pPr>
    </w:lvl>
  </w:abstractNum>
  <w:num w:numId="1">
    <w:abstractNumId w:val="1"/>
    <w:lvlOverride w:ilvl="0">
      <w:startOverride w:val="1"/>
    </w:lvlOverride>
  </w:num>
  <w:num w:numId="2">
    <w:abstractNumId w:val="0"/>
    <w:lvlOverride w:ilvl="0">
      <w:startOverride w:val="1"/>
    </w:lvlOverride>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OTZiZTA5NGE2N2ZiZTY0YjVkMWYyZGIzNGU0MGIifQ=="/>
  </w:docVars>
  <w:rsids>
    <w:rsidRoot w:val="00CC3B0F"/>
    <w:rsid w:val="00025F05"/>
    <w:rsid w:val="00026279"/>
    <w:rsid w:val="00036302"/>
    <w:rsid w:val="00056F6A"/>
    <w:rsid w:val="00077147"/>
    <w:rsid w:val="00084450"/>
    <w:rsid w:val="000B2F38"/>
    <w:rsid w:val="000B4B13"/>
    <w:rsid w:val="000B6FA9"/>
    <w:rsid w:val="000C3932"/>
    <w:rsid w:val="000D2E7C"/>
    <w:rsid w:val="000D77A6"/>
    <w:rsid w:val="00104E82"/>
    <w:rsid w:val="00112F4F"/>
    <w:rsid w:val="00131531"/>
    <w:rsid w:val="00142827"/>
    <w:rsid w:val="00144F39"/>
    <w:rsid w:val="001577FE"/>
    <w:rsid w:val="001667DC"/>
    <w:rsid w:val="001A0AD6"/>
    <w:rsid w:val="001D5761"/>
    <w:rsid w:val="0020555F"/>
    <w:rsid w:val="0021028B"/>
    <w:rsid w:val="002142C5"/>
    <w:rsid w:val="00235126"/>
    <w:rsid w:val="00256F0B"/>
    <w:rsid w:val="00261B24"/>
    <w:rsid w:val="00262BB5"/>
    <w:rsid w:val="00263B55"/>
    <w:rsid w:val="00273548"/>
    <w:rsid w:val="002950EC"/>
    <w:rsid w:val="00295730"/>
    <w:rsid w:val="00295900"/>
    <w:rsid w:val="002B764F"/>
    <w:rsid w:val="002C109E"/>
    <w:rsid w:val="002C171E"/>
    <w:rsid w:val="002D02CB"/>
    <w:rsid w:val="002E5B33"/>
    <w:rsid w:val="003546C8"/>
    <w:rsid w:val="00371636"/>
    <w:rsid w:val="00381FA7"/>
    <w:rsid w:val="003A4213"/>
    <w:rsid w:val="003C5410"/>
    <w:rsid w:val="003E3524"/>
    <w:rsid w:val="003E39BD"/>
    <w:rsid w:val="003F3CDE"/>
    <w:rsid w:val="004174C9"/>
    <w:rsid w:val="004305B1"/>
    <w:rsid w:val="004320F6"/>
    <w:rsid w:val="00433E01"/>
    <w:rsid w:val="0044700D"/>
    <w:rsid w:val="0047622B"/>
    <w:rsid w:val="004A5566"/>
    <w:rsid w:val="004A6983"/>
    <w:rsid w:val="004B6B93"/>
    <w:rsid w:val="004D56D6"/>
    <w:rsid w:val="004D6606"/>
    <w:rsid w:val="00501401"/>
    <w:rsid w:val="00503B90"/>
    <w:rsid w:val="0051321F"/>
    <w:rsid w:val="00531B54"/>
    <w:rsid w:val="00570336"/>
    <w:rsid w:val="005A2BB4"/>
    <w:rsid w:val="005A7827"/>
    <w:rsid w:val="005E07EB"/>
    <w:rsid w:val="0060716E"/>
    <w:rsid w:val="00612E1F"/>
    <w:rsid w:val="00621186"/>
    <w:rsid w:val="00622D60"/>
    <w:rsid w:val="006424F6"/>
    <w:rsid w:val="00646B38"/>
    <w:rsid w:val="006648A2"/>
    <w:rsid w:val="00692E3E"/>
    <w:rsid w:val="006D1D52"/>
    <w:rsid w:val="006D23BE"/>
    <w:rsid w:val="006E470D"/>
    <w:rsid w:val="007174B1"/>
    <w:rsid w:val="007352CE"/>
    <w:rsid w:val="007509E0"/>
    <w:rsid w:val="00755CA7"/>
    <w:rsid w:val="007E45AE"/>
    <w:rsid w:val="007F1B8A"/>
    <w:rsid w:val="00807FF6"/>
    <w:rsid w:val="0083167A"/>
    <w:rsid w:val="00836277"/>
    <w:rsid w:val="008364AB"/>
    <w:rsid w:val="00840926"/>
    <w:rsid w:val="0086034A"/>
    <w:rsid w:val="00881B1B"/>
    <w:rsid w:val="00897D9F"/>
    <w:rsid w:val="008A174D"/>
    <w:rsid w:val="008D037E"/>
    <w:rsid w:val="008E2C89"/>
    <w:rsid w:val="008F431A"/>
    <w:rsid w:val="009326D2"/>
    <w:rsid w:val="009349E0"/>
    <w:rsid w:val="00972E06"/>
    <w:rsid w:val="009B6A24"/>
    <w:rsid w:val="009D6C2C"/>
    <w:rsid w:val="009F4F3D"/>
    <w:rsid w:val="00A123CD"/>
    <w:rsid w:val="00A211FD"/>
    <w:rsid w:val="00A4664F"/>
    <w:rsid w:val="00A708DC"/>
    <w:rsid w:val="00A77A62"/>
    <w:rsid w:val="00AA0DB2"/>
    <w:rsid w:val="00AB529F"/>
    <w:rsid w:val="00AD499F"/>
    <w:rsid w:val="00AE12D1"/>
    <w:rsid w:val="00AE6E70"/>
    <w:rsid w:val="00B31268"/>
    <w:rsid w:val="00B52209"/>
    <w:rsid w:val="00B56871"/>
    <w:rsid w:val="00B82613"/>
    <w:rsid w:val="00BB5801"/>
    <w:rsid w:val="00BC2A70"/>
    <w:rsid w:val="00BD11E4"/>
    <w:rsid w:val="00BD7A6A"/>
    <w:rsid w:val="00BE53A7"/>
    <w:rsid w:val="00C37BD9"/>
    <w:rsid w:val="00C87351"/>
    <w:rsid w:val="00C92C20"/>
    <w:rsid w:val="00C96505"/>
    <w:rsid w:val="00CA4C57"/>
    <w:rsid w:val="00CB1DF3"/>
    <w:rsid w:val="00CC3B0F"/>
    <w:rsid w:val="00CF2F20"/>
    <w:rsid w:val="00CF4839"/>
    <w:rsid w:val="00D00783"/>
    <w:rsid w:val="00D2771F"/>
    <w:rsid w:val="00DB04FC"/>
    <w:rsid w:val="00DD090B"/>
    <w:rsid w:val="00E26F68"/>
    <w:rsid w:val="00E35222"/>
    <w:rsid w:val="00E90C5B"/>
    <w:rsid w:val="00EA4376"/>
    <w:rsid w:val="00EC30C9"/>
    <w:rsid w:val="00EF099B"/>
    <w:rsid w:val="00F11062"/>
    <w:rsid w:val="00F441B8"/>
    <w:rsid w:val="00F51217"/>
    <w:rsid w:val="00FA2736"/>
    <w:rsid w:val="00FA4140"/>
    <w:rsid w:val="00FA6B39"/>
    <w:rsid w:val="00FD1C2B"/>
    <w:rsid w:val="00FD23CB"/>
    <w:rsid w:val="00FE6222"/>
    <w:rsid w:val="00FF1DA8"/>
    <w:rsid w:val="132A027E"/>
    <w:rsid w:val="222C210B"/>
    <w:rsid w:val="22E55997"/>
    <w:rsid w:val="2B2D5C6E"/>
    <w:rsid w:val="3D8B7DB9"/>
    <w:rsid w:val="492A7E0A"/>
    <w:rsid w:val="4ED16D0B"/>
    <w:rsid w:val="596F66F4"/>
    <w:rsid w:val="59C44382"/>
    <w:rsid w:val="60C97D3E"/>
    <w:rsid w:val="611457EE"/>
    <w:rsid w:val="64421E05"/>
    <w:rsid w:val="7E20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link w:val="16"/>
    <w:autoRedefine/>
    <w:unhideWhenUsed/>
    <w:qFormat/>
    <w:uiPriority w:val="0"/>
    <w:pPr>
      <w:keepNext/>
      <w:keepLines/>
      <w:spacing w:before="60" w:after="60" w:line="412" w:lineRule="auto"/>
      <w:outlineLvl w:val="1"/>
    </w:pPr>
    <w:rPr>
      <w:rFonts w:ascii="Arial" w:hAnsi="Arial" w:eastAsia="黑体"/>
      <w:b/>
      <w:bCs/>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7"/>
    <w:autoRedefine/>
    <w:unhideWhenUsed/>
    <w:qFormat/>
    <w:uiPriority w:val="99"/>
    <w:pPr>
      <w:spacing w:after="120"/>
    </w:pPr>
  </w:style>
  <w:style w:type="paragraph" w:styleId="4">
    <w:name w:val="Normal Indent"/>
    <w:basedOn w:val="1"/>
    <w:autoRedefine/>
    <w:semiHidden/>
    <w:unhideWhenUsed/>
    <w:qFormat/>
    <w:uiPriority w:val="0"/>
    <w:pPr>
      <w:ind w:firstLine="420"/>
    </w:pPr>
    <w:rPr>
      <w:b/>
      <w:kern w:val="0"/>
      <w:sz w:val="24"/>
      <w:szCs w:val="20"/>
    </w:rPr>
  </w:style>
  <w:style w:type="paragraph" w:styleId="5">
    <w:name w:val="Body Text Indent"/>
    <w:basedOn w:val="1"/>
    <w:next w:val="6"/>
    <w:link w:val="18"/>
    <w:autoRedefine/>
    <w:semiHidden/>
    <w:unhideWhenUsed/>
    <w:qFormat/>
    <w:uiPriority w:val="99"/>
    <w:pPr>
      <w:spacing w:line="360" w:lineRule="auto"/>
      <w:ind w:firstLine="420"/>
    </w:pPr>
    <w:rPr>
      <w:rFonts w:ascii="宋体"/>
      <w:kern w:val="0"/>
      <w:sz w:val="24"/>
      <w:szCs w:val="20"/>
    </w:rPr>
  </w:style>
  <w:style w:type="paragraph" w:styleId="6">
    <w:name w:val="envelope return"/>
    <w:basedOn w:val="1"/>
    <w:autoRedefine/>
    <w:semiHidden/>
    <w:unhideWhenUsed/>
    <w:qFormat/>
    <w:uiPriority w:val="99"/>
    <w:pPr>
      <w:snapToGrid w:val="0"/>
    </w:pPr>
    <w:rPr>
      <w:rFonts w:ascii="Calibri Light" w:hAnsi="Calibri Light"/>
    </w:rPr>
  </w:style>
  <w:style w:type="paragraph" w:styleId="7">
    <w:name w:val="Plain Text"/>
    <w:basedOn w:val="1"/>
    <w:link w:val="21"/>
    <w:autoRedefine/>
    <w:semiHidden/>
    <w:unhideWhenUsed/>
    <w:qFormat/>
    <w:uiPriority w:val="0"/>
    <w:rPr>
      <w:rFonts w:ascii="宋体" w:hAnsi="Courier New"/>
      <w:kern w:val="0"/>
      <w:sz w:val="20"/>
      <w:szCs w:val="20"/>
    </w:rPr>
  </w:style>
  <w:style w:type="paragraph" w:styleId="8">
    <w:name w:val="footer"/>
    <w:basedOn w:val="1"/>
    <w:link w:val="25"/>
    <w:autoRedefine/>
    <w:unhideWhenUsed/>
    <w:qFormat/>
    <w:uiPriority w:val="99"/>
    <w:pPr>
      <w:tabs>
        <w:tab w:val="center" w:pos="4153"/>
        <w:tab w:val="right" w:pos="8306"/>
      </w:tabs>
      <w:snapToGrid w:val="0"/>
      <w:jc w:val="left"/>
    </w:pPr>
    <w:rPr>
      <w:sz w:val="18"/>
      <w:szCs w:val="18"/>
    </w:rPr>
  </w:style>
  <w:style w:type="paragraph" w:styleId="9">
    <w:name w:val="header"/>
    <w:basedOn w:val="1"/>
    <w:link w:val="24"/>
    <w:autoRedefine/>
    <w:unhideWhenUsed/>
    <w:qFormat/>
    <w:uiPriority w:val="99"/>
    <w:pPr>
      <w:tabs>
        <w:tab w:val="center" w:pos="4153"/>
        <w:tab w:val="right" w:pos="8306"/>
      </w:tabs>
      <w:snapToGrid w:val="0"/>
      <w:jc w:val="center"/>
    </w:pPr>
    <w:rPr>
      <w:sz w:val="18"/>
      <w:szCs w:val="18"/>
    </w:rPr>
  </w:style>
  <w:style w:type="paragraph" w:styleId="10">
    <w:name w:val="Body Text 2"/>
    <w:basedOn w:val="1"/>
    <w:next w:val="2"/>
    <w:link w:val="20"/>
    <w:autoRedefine/>
    <w:semiHidden/>
    <w:unhideWhenUsed/>
    <w:qFormat/>
    <w:uiPriority w:val="0"/>
    <w:pPr>
      <w:snapToGrid w:val="0"/>
    </w:pPr>
    <w:rPr>
      <w:b/>
      <w:bCs/>
      <w:kern w:val="0"/>
      <w:sz w:val="18"/>
    </w:rPr>
  </w:style>
  <w:style w:type="paragraph" w:styleId="11">
    <w:name w:val="Normal (Web)"/>
    <w:basedOn w:val="1"/>
    <w:autoRedefine/>
    <w:semiHidden/>
    <w:unhideWhenUsed/>
    <w:qFormat/>
    <w:uiPriority w:val="0"/>
    <w:pPr>
      <w:widowControl/>
      <w:spacing w:before="100" w:beforeAutospacing="1" w:after="100" w:afterAutospacing="1"/>
      <w:jc w:val="left"/>
    </w:pPr>
    <w:rPr>
      <w:rFonts w:ascii="宋体" w:hAnsi="宋体"/>
      <w:kern w:val="0"/>
      <w:sz w:val="24"/>
    </w:rPr>
  </w:style>
  <w:style w:type="paragraph" w:styleId="12">
    <w:name w:val="Body Text First Indent 2"/>
    <w:basedOn w:val="5"/>
    <w:link w:val="19"/>
    <w:autoRedefine/>
    <w:semiHidden/>
    <w:unhideWhenUsed/>
    <w:qFormat/>
    <w:uiPriority w:val="99"/>
    <w:pPr>
      <w:spacing w:after="120" w:line="240" w:lineRule="auto"/>
      <w:ind w:left="420" w:leftChars="200" w:firstLine="200" w:firstLineChars="200"/>
    </w:pPr>
    <w:rPr>
      <w:rFonts w:ascii="Calibri"/>
      <w:kern w:val="2"/>
      <w:sz w:val="21"/>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2 字符"/>
    <w:basedOn w:val="15"/>
    <w:link w:val="3"/>
    <w:autoRedefine/>
    <w:qFormat/>
    <w:uiPriority w:val="0"/>
    <w:rPr>
      <w:rFonts w:ascii="Arial" w:hAnsi="Arial" w:eastAsia="黑体" w:cs="宋体"/>
      <w:b/>
      <w:bCs/>
      <w:szCs w:val="32"/>
    </w:rPr>
  </w:style>
  <w:style w:type="character" w:customStyle="1" w:styleId="17">
    <w:name w:val="正文文本 字符"/>
    <w:basedOn w:val="15"/>
    <w:link w:val="2"/>
    <w:autoRedefine/>
    <w:qFormat/>
    <w:uiPriority w:val="99"/>
    <w:rPr>
      <w:rFonts w:ascii="Calibri" w:hAnsi="Calibri" w:eastAsia="宋体" w:cs="宋体"/>
      <w:szCs w:val="24"/>
    </w:rPr>
  </w:style>
  <w:style w:type="character" w:customStyle="1" w:styleId="18">
    <w:name w:val="正文文本缩进 字符"/>
    <w:basedOn w:val="15"/>
    <w:link w:val="5"/>
    <w:autoRedefine/>
    <w:qFormat/>
    <w:uiPriority w:val="99"/>
    <w:rPr>
      <w:rFonts w:ascii="宋体" w:hAnsi="Calibri" w:eastAsia="宋体" w:cs="宋体"/>
      <w:kern w:val="0"/>
      <w:sz w:val="24"/>
      <w:szCs w:val="20"/>
    </w:rPr>
  </w:style>
  <w:style w:type="character" w:customStyle="1" w:styleId="19">
    <w:name w:val="正文文本首行缩进 2 字符"/>
    <w:basedOn w:val="18"/>
    <w:link w:val="12"/>
    <w:autoRedefine/>
    <w:semiHidden/>
    <w:qFormat/>
    <w:uiPriority w:val="99"/>
    <w:rPr>
      <w:rFonts w:ascii="Calibri" w:hAnsi="Calibri" w:eastAsia="宋体" w:cs="宋体"/>
      <w:kern w:val="0"/>
      <w:sz w:val="24"/>
      <w:szCs w:val="24"/>
    </w:rPr>
  </w:style>
  <w:style w:type="character" w:customStyle="1" w:styleId="20">
    <w:name w:val="正文文本 2 字符"/>
    <w:basedOn w:val="15"/>
    <w:link w:val="10"/>
    <w:autoRedefine/>
    <w:semiHidden/>
    <w:qFormat/>
    <w:uiPriority w:val="0"/>
    <w:rPr>
      <w:rFonts w:ascii="Calibri" w:hAnsi="Calibri" w:eastAsia="宋体" w:cs="宋体"/>
      <w:b/>
      <w:bCs/>
      <w:kern w:val="0"/>
      <w:sz w:val="18"/>
      <w:szCs w:val="24"/>
    </w:rPr>
  </w:style>
  <w:style w:type="character" w:customStyle="1" w:styleId="21">
    <w:name w:val="纯文本 字符"/>
    <w:basedOn w:val="15"/>
    <w:link w:val="7"/>
    <w:autoRedefine/>
    <w:semiHidden/>
    <w:qFormat/>
    <w:uiPriority w:val="0"/>
    <w:rPr>
      <w:rFonts w:ascii="宋体" w:hAnsi="Courier New" w:eastAsia="宋体" w:cs="宋体"/>
      <w:kern w:val="0"/>
      <w:sz w:val="20"/>
      <w:szCs w:val="20"/>
    </w:rPr>
  </w:style>
  <w:style w:type="paragraph" w:customStyle="1" w:styleId="22">
    <w:name w:val="默认段落字体 Para Char Char Char Char Char Char Char"/>
    <w:basedOn w:val="1"/>
    <w:autoRedefine/>
    <w:qFormat/>
    <w:uiPriority w:val="0"/>
    <w:pPr>
      <w:widowControl/>
      <w:adjustRightInd w:val="0"/>
      <w:spacing w:line="360" w:lineRule="auto"/>
      <w:jc w:val="left"/>
    </w:pPr>
    <w:rPr>
      <w:rFonts w:ascii="Tahoma" w:hAnsi="Tahoma" w:cs="Times New Roman"/>
      <w:kern w:val="0"/>
      <w:sz w:val="24"/>
      <w:szCs w:val="22"/>
    </w:rPr>
  </w:style>
  <w:style w:type="paragraph" w:styleId="23">
    <w:name w:val="List Paragraph"/>
    <w:basedOn w:val="1"/>
    <w:autoRedefine/>
    <w:qFormat/>
    <w:uiPriority w:val="34"/>
    <w:pPr>
      <w:ind w:firstLine="420" w:firstLineChars="200"/>
    </w:pPr>
  </w:style>
  <w:style w:type="character" w:customStyle="1" w:styleId="24">
    <w:name w:val="页眉 字符"/>
    <w:basedOn w:val="15"/>
    <w:link w:val="9"/>
    <w:autoRedefine/>
    <w:qFormat/>
    <w:uiPriority w:val="99"/>
    <w:rPr>
      <w:rFonts w:ascii="Calibri" w:hAnsi="Calibri" w:eastAsia="宋体" w:cs="宋体"/>
      <w:sz w:val="18"/>
      <w:szCs w:val="18"/>
    </w:rPr>
  </w:style>
  <w:style w:type="character" w:customStyle="1" w:styleId="25">
    <w:name w:val="页脚 字符"/>
    <w:basedOn w:val="15"/>
    <w:link w:val="8"/>
    <w:autoRedefine/>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D9EC-44A6-4EC9-957E-64DB93B805A7}">
  <ds:schemaRefs/>
</ds:datastoreItem>
</file>

<file path=docProps/app.xml><?xml version="1.0" encoding="utf-8"?>
<Properties xmlns="http://schemas.openxmlformats.org/officeDocument/2006/extended-properties" xmlns:vt="http://schemas.openxmlformats.org/officeDocument/2006/docPropsVTypes">
  <Template>Normal</Template>
  <Pages>23</Pages>
  <Words>8197</Words>
  <Characters>8730</Characters>
  <Lines>77</Lines>
  <Paragraphs>21</Paragraphs>
  <TotalTime>3</TotalTime>
  <ScaleCrop>false</ScaleCrop>
  <LinksUpToDate>false</LinksUpToDate>
  <CharactersWithSpaces>9961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2024-04-11T00:13:00Z</dcterms:created>
  <dc:creator>穆松柏</dc:creator>
  <cp:lastModifiedBy>user01</cp:lastModifiedBy>
  <dcterms:modified xsi:type="dcterms:W3CDTF">2024-05-21T03:39:18Z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AF1253DBB9B74149946B836926D21E6F_12</vt:lpwstr>
  </property>
</Properties>
</file>