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asciiTheme="minorEastAsia" w:hAnsiTheme="minorEastAsia" w:eastAsiaTheme="minorEastAsia"/>
          <w:highlight w:val="none"/>
        </w:rPr>
      </w:pPr>
    </w:p>
    <w:p>
      <w:pPr>
        <w:pStyle w:val="21"/>
        <w:rPr>
          <w:rFonts w:asciiTheme="minorEastAsia" w:hAnsiTheme="minorEastAsia" w:eastAsiaTheme="minorEastAsia"/>
          <w:highlight w:val="none"/>
        </w:rPr>
      </w:pPr>
    </w:p>
    <w:p>
      <w:pPr>
        <w:pStyle w:val="21"/>
        <w:rPr>
          <w:highlight w:val="none"/>
        </w:rPr>
      </w:pPr>
    </w:p>
    <w:p>
      <w:pPr>
        <w:widowControl/>
        <w:jc w:val="center"/>
        <w:rPr>
          <w:rFonts w:asciiTheme="minorEastAsia" w:hAnsiTheme="minorEastAsia" w:eastAsiaTheme="minorEastAsia"/>
          <w:w w:val="80"/>
          <w:sz w:val="44"/>
          <w:szCs w:val="44"/>
          <w:highlight w:val="none"/>
        </w:rPr>
      </w:pPr>
    </w:p>
    <w:p>
      <w:pPr>
        <w:widowControl/>
        <w:jc w:val="center"/>
        <w:rPr>
          <w:rFonts w:hint="eastAsia" w:asciiTheme="minorEastAsia" w:hAnsiTheme="minorEastAsia" w:eastAsiaTheme="minorEastAsia"/>
          <w:w w:val="80"/>
          <w:sz w:val="44"/>
          <w:szCs w:val="44"/>
          <w:highlight w:val="none"/>
          <w:lang w:eastAsia="zh-CN"/>
        </w:rPr>
      </w:pPr>
      <w:r>
        <w:rPr>
          <w:rFonts w:hint="eastAsia" w:asciiTheme="minorEastAsia" w:hAnsiTheme="minorEastAsia" w:eastAsiaTheme="minorEastAsia"/>
          <w:w w:val="80"/>
          <w:sz w:val="52"/>
          <w:szCs w:val="52"/>
          <w:highlight w:val="none"/>
          <w:lang w:eastAsia="zh-CN"/>
        </w:rPr>
        <w:t>南通市保安服务有限公司IG100钢瓶检测项目</w:t>
      </w:r>
    </w:p>
    <w:p>
      <w:pPr>
        <w:widowControl/>
        <w:jc w:val="center"/>
        <w:rPr>
          <w:rFonts w:asciiTheme="minorEastAsia" w:hAnsiTheme="minorEastAsia" w:eastAsiaTheme="minorEastAsia"/>
          <w:w w:val="80"/>
          <w:sz w:val="44"/>
          <w:szCs w:val="44"/>
          <w:highlight w:val="none"/>
        </w:rPr>
      </w:pPr>
    </w:p>
    <w:p>
      <w:pPr>
        <w:widowControl/>
        <w:jc w:val="center"/>
        <w:rPr>
          <w:rFonts w:asciiTheme="minorEastAsia" w:hAnsiTheme="minorEastAsia" w:eastAsiaTheme="minorEastAsia"/>
          <w:highlight w:val="none"/>
        </w:rPr>
      </w:pPr>
    </w:p>
    <w:p>
      <w:pPr>
        <w:tabs>
          <w:tab w:val="left" w:pos="6300"/>
        </w:tabs>
        <w:snapToGrid w:val="0"/>
        <w:spacing w:line="300" w:lineRule="auto"/>
        <w:jc w:val="center"/>
        <w:rPr>
          <w:rFonts w:asciiTheme="minorEastAsia" w:hAnsiTheme="minorEastAsia" w:eastAsiaTheme="minorEastAsia"/>
          <w:w w:val="80"/>
          <w:sz w:val="84"/>
          <w:highlight w:val="none"/>
        </w:rPr>
      </w:pPr>
    </w:p>
    <w:p>
      <w:pPr>
        <w:pStyle w:val="21"/>
        <w:rPr>
          <w:rFonts w:asciiTheme="minorEastAsia" w:hAnsiTheme="minorEastAsia" w:eastAsiaTheme="minorEastAsia"/>
          <w:w w:val="80"/>
          <w:sz w:val="84"/>
          <w:highlight w:val="none"/>
        </w:rPr>
      </w:pPr>
    </w:p>
    <w:p>
      <w:pPr>
        <w:pStyle w:val="22"/>
        <w:rPr>
          <w:highlight w:val="none"/>
        </w:rPr>
      </w:pPr>
    </w:p>
    <w:p>
      <w:pPr>
        <w:tabs>
          <w:tab w:val="left" w:pos="1050"/>
          <w:tab w:val="right" w:leader="dot" w:pos="9402"/>
        </w:tabs>
        <w:spacing w:line="1600" w:lineRule="exact"/>
        <w:jc w:val="center"/>
        <w:rPr>
          <w:rFonts w:asciiTheme="minorEastAsia" w:hAnsiTheme="minorEastAsia" w:eastAsiaTheme="minorEastAsia"/>
          <w:b/>
          <w:sz w:val="72"/>
          <w:szCs w:val="72"/>
          <w:highlight w:val="none"/>
        </w:rPr>
      </w:pPr>
      <w:r>
        <w:rPr>
          <w:rFonts w:hint="eastAsia" w:asciiTheme="minorEastAsia" w:hAnsiTheme="minorEastAsia" w:eastAsiaTheme="minorEastAsia"/>
          <w:b/>
          <w:w w:val="80"/>
          <w:sz w:val="72"/>
          <w:szCs w:val="72"/>
          <w:highlight w:val="none"/>
        </w:rPr>
        <w:t>公开招标文件</w:t>
      </w:r>
    </w:p>
    <w:p>
      <w:pPr>
        <w:tabs>
          <w:tab w:val="left" w:pos="1050"/>
          <w:tab w:val="right" w:leader="dot" w:pos="9402"/>
        </w:tabs>
        <w:spacing w:line="520" w:lineRule="exact"/>
        <w:jc w:val="center"/>
        <w:rPr>
          <w:rFonts w:asciiTheme="minorEastAsia" w:hAnsiTheme="minorEastAsia" w:eastAsiaTheme="minorEastAsia"/>
          <w:w w:val="80"/>
          <w:sz w:val="32"/>
          <w:szCs w:val="32"/>
          <w:highlight w:val="none"/>
        </w:rPr>
      </w:pPr>
      <w:r>
        <w:rPr>
          <w:rFonts w:hint="eastAsia" w:asciiTheme="minorEastAsia" w:hAnsiTheme="minorEastAsia" w:eastAsiaTheme="minorEastAsia"/>
          <w:w w:val="80"/>
          <w:sz w:val="32"/>
          <w:szCs w:val="32"/>
          <w:highlight w:val="none"/>
        </w:rPr>
        <w:t>（资格后审）</w:t>
      </w:r>
    </w:p>
    <w:p>
      <w:pPr>
        <w:snapToGrid w:val="0"/>
        <w:spacing w:line="520" w:lineRule="exact"/>
        <w:rPr>
          <w:rFonts w:asciiTheme="minorEastAsia" w:hAnsiTheme="minorEastAsia" w:eastAsiaTheme="minorEastAsia"/>
          <w:b/>
          <w:sz w:val="28"/>
          <w:szCs w:val="28"/>
          <w:highlight w:val="none"/>
        </w:rPr>
      </w:pPr>
    </w:p>
    <w:p>
      <w:pPr>
        <w:snapToGrid w:val="0"/>
        <w:spacing w:line="520" w:lineRule="exact"/>
        <w:rPr>
          <w:rFonts w:asciiTheme="minorEastAsia" w:hAnsiTheme="minorEastAsia" w:eastAsiaTheme="minorEastAsia"/>
          <w:b/>
          <w:sz w:val="28"/>
          <w:szCs w:val="28"/>
          <w:highlight w:val="none"/>
        </w:rPr>
      </w:pPr>
    </w:p>
    <w:p>
      <w:pPr>
        <w:widowControl/>
        <w:spacing w:line="520" w:lineRule="exact"/>
        <w:jc w:val="left"/>
        <w:rPr>
          <w:rFonts w:asciiTheme="minorEastAsia" w:hAnsiTheme="minorEastAsia" w:eastAsiaTheme="minorEastAsia"/>
          <w:b/>
          <w:sz w:val="28"/>
          <w:szCs w:val="28"/>
          <w:highlight w:val="none"/>
        </w:rPr>
      </w:pPr>
    </w:p>
    <w:p>
      <w:pPr>
        <w:pStyle w:val="21"/>
        <w:rPr>
          <w:rFonts w:asciiTheme="minorEastAsia" w:hAnsiTheme="minorEastAsia" w:eastAsiaTheme="minorEastAsia"/>
          <w:highlight w:val="none"/>
        </w:rPr>
      </w:pPr>
    </w:p>
    <w:p>
      <w:pPr>
        <w:pStyle w:val="21"/>
        <w:rPr>
          <w:rFonts w:asciiTheme="minorEastAsia" w:hAnsiTheme="minorEastAsia" w:eastAsiaTheme="minorEastAsia"/>
          <w:highlight w:val="none"/>
        </w:rPr>
      </w:pPr>
    </w:p>
    <w:p>
      <w:pPr>
        <w:pStyle w:val="21"/>
        <w:rPr>
          <w:rFonts w:asciiTheme="minorEastAsia" w:hAnsiTheme="minorEastAsia" w:eastAsiaTheme="minorEastAsia"/>
          <w:highlight w:val="none"/>
        </w:rPr>
      </w:pPr>
    </w:p>
    <w:p>
      <w:pPr>
        <w:widowControl/>
        <w:spacing w:line="520" w:lineRule="exact"/>
        <w:jc w:val="left"/>
        <w:rPr>
          <w:rFonts w:asciiTheme="minorEastAsia" w:hAnsiTheme="minorEastAsia" w:eastAsiaTheme="minorEastAsia"/>
          <w:sz w:val="28"/>
          <w:szCs w:val="28"/>
          <w:highlight w:val="none"/>
        </w:rPr>
      </w:pPr>
    </w:p>
    <w:p>
      <w:pPr>
        <w:widowControl/>
        <w:spacing w:line="520" w:lineRule="exact"/>
        <w:jc w:val="left"/>
        <w:rPr>
          <w:rFonts w:asciiTheme="minorEastAsia" w:hAnsiTheme="minorEastAsia" w:eastAsiaTheme="minorEastAsia"/>
          <w:sz w:val="28"/>
          <w:szCs w:val="28"/>
          <w:highlight w:val="none"/>
        </w:rPr>
      </w:pPr>
    </w:p>
    <w:p>
      <w:pPr>
        <w:widowControl/>
        <w:spacing w:line="520" w:lineRule="exact"/>
        <w:jc w:val="center"/>
        <w:rPr>
          <w:rFonts w:hint="eastAsia" w:asciiTheme="minorEastAsia" w:hAnsiTheme="minorEastAsia" w:eastAsiaTheme="minorEastAsia"/>
          <w:w w:val="80"/>
          <w:sz w:val="28"/>
          <w:szCs w:val="28"/>
          <w:highlight w:val="none"/>
          <w:lang w:eastAsia="zh-CN"/>
        </w:rPr>
      </w:pPr>
      <w:r>
        <w:rPr>
          <w:rFonts w:hint="eastAsia" w:asciiTheme="minorEastAsia" w:hAnsiTheme="minorEastAsia" w:eastAsiaTheme="minorEastAsia"/>
          <w:w w:val="80"/>
          <w:sz w:val="28"/>
          <w:szCs w:val="28"/>
          <w:highlight w:val="none"/>
        </w:rPr>
        <w:t>招标人：</w:t>
      </w:r>
      <w:r>
        <w:rPr>
          <w:rFonts w:hint="eastAsia" w:asciiTheme="minorEastAsia" w:hAnsiTheme="minorEastAsia" w:eastAsiaTheme="minorEastAsia"/>
          <w:w w:val="80"/>
          <w:sz w:val="28"/>
          <w:szCs w:val="28"/>
          <w:highlight w:val="none"/>
          <w:lang w:eastAsia="zh-CN"/>
        </w:rPr>
        <w:t>南通市保安服务有限公司</w:t>
      </w:r>
    </w:p>
    <w:p>
      <w:pPr>
        <w:tabs>
          <w:tab w:val="left" w:pos="1050"/>
          <w:tab w:val="right" w:leader="dot" w:pos="9402"/>
        </w:tabs>
        <w:spacing w:line="520" w:lineRule="exact"/>
        <w:jc w:val="center"/>
        <w:rPr>
          <w:rFonts w:asciiTheme="minorEastAsia" w:hAnsiTheme="minorEastAsia" w:eastAsiaTheme="minorEastAsia"/>
          <w:w w:val="80"/>
          <w:sz w:val="28"/>
          <w:szCs w:val="28"/>
          <w:highlight w:val="none"/>
        </w:rPr>
      </w:pPr>
      <w:r>
        <w:rPr>
          <w:rFonts w:hint="eastAsia" w:asciiTheme="minorEastAsia" w:hAnsiTheme="minorEastAsia" w:eastAsiaTheme="minorEastAsia"/>
          <w:w w:val="80"/>
          <w:sz w:val="28"/>
          <w:szCs w:val="28"/>
          <w:highlight w:val="none"/>
        </w:rPr>
        <w:t>招标代理机构：中诚智信工程咨询集团股份有限公司</w:t>
      </w:r>
    </w:p>
    <w:p>
      <w:pPr>
        <w:tabs>
          <w:tab w:val="left" w:pos="1050"/>
          <w:tab w:val="right" w:leader="dot" w:pos="9402"/>
        </w:tabs>
        <w:spacing w:line="520" w:lineRule="exact"/>
        <w:jc w:val="center"/>
        <w:rPr>
          <w:rFonts w:asciiTheme="minorEastAsia" w:hAnsiTheme="minorEastAsia" w:eastAsiaTheme="minorEastAsia"/>
          <w:w w:val="80"/>
          <w:sz w:val="28"/>
          <w:szCs w:val="28"/>
          <w:highlight w:val="none"/>
        </w:rPr>
      </w:pPr>
      <w:r>
        <w:rPr>
          <w:rFonts w:hint="eastAsia" w:asciiTheme="minorEastAsia" w:hAnsiTheme="minorEastAsia" w:eastAsiaTheme="minorEastAsia"/>
          <w:w w:val="80"/>
          <w:sz w:val="28"/>
          <w:szCs w:val="28"/>
          <w:highlight w:val="none"/>
        </w:rPr>
        <w:t>202</w:t>
      </w:r>
      <w:r>
        <w:rPr>
          <w:rFonts w:hint="eastAsia" w:asciiTheme="minorEastAsia" w:hAnsiTheme="minorEastAsia" w:eastAsiaTheme="minorEastAsia"/>
          <w:w w:val="80"/>
          <w:sz w:val="28"/>
          <w:szCs w:val="28"/>
          <w:highlight w:val="none"/>
          <w:lang w:val="en-US" w:eastAsia="zh-CN"/>
        </w:rPr>
        <w:t>4</w:t>
      </w:r>
      <w:r>
        <w:rPr>
          <w:rFonts w:hint="eastAsia" w:asciiTheme="minorEastAsia" w:hAnsiTheme="minorEastAsia" w:eastAsiaTheme="minorEastAsia"/>
          <w:w w:val="80"/>
          <w:sz w:val="28"/>
          <w:szCs w:val="28"/>
          <w:highlight w:val="none"/>
        </w:rPr>
        <w:t>年</w:t>
      </w:r>
      <w:r>
        <w:rPr>
          <w:rFonts w:hint="eastAsia" w:asciiTheme="minorEastAsia" w:hAnsiTheme="minorEastAsia" w:eastAsiaTheme="minorEastAsia"/>
          <w:w w:val="80"/>
          <w:sz w:val="28"/>
          <w:szCs w:val="28"/>
          <w:highlight w:val="none"/>
          <w:lang w:val="en-US" w:eastAsia="zh-CN"/>
        </w:rPr>
        <w:t>4</w:t>
      </w:r>
      <w:r>
        <w:rPr>
          <w:rFonts w:hint="eastAsia" w:asciiTheme="minorEastAsia" w:hAnsiTheme="minorEastAsia" w:eastAsiaTheme="minorEastAsia"/>
          <w:w w:val="80"/>
          <w:sz w:val="28"/>
          <w:szCs w:val="28"/>
          <w:highlight w:val="none"/>
        </w:rPr>
        <w:t>月</w:t>
      </w:r>
      <w:r>
        <w:rPr>
          <w:rFonts w:hint="eastAsia" w:asciiTheme="minorEastAsia" w:hAnsiTheme="minorEastAsia" w:eastAsiaTheme="minorEastAsia"/>
          <w:w w:val="80"/>
          <w:sz w:val="28"/>
          <w:szCs w:val="28"/>
          <w:highlight w:val="none"/>
          <w:lang w:val="en-US" w:eastAsia="zh-CN"/>
        </w:rPr>
        <w:t>25</w:t>
      </w:r>
      <w:r>
        <w:rPr>
          <w:rFonts w:hint="eastAsia" w:asciiTheme="minorEastAsia" w:hAnsiTheme="minorEastAsia" w:eastAsiaTheme="minorEastAsia"/>
          <w:w w:val="80"/>
          <w:sz w:val="28"/>
          <w:szCs w:val="28"/>
          <w:highlight w:val="none"/>
        </w:rPr>
        <w:t>日</w:t>
      </w:r>
    </w:p>
    <w:p>
      <w:pPr>
        <w:tabs>
          <w:tab w:val="left" w:pos="1050"/>
          <w:tab w:val="right" w:leader="dot" w:pos="9402"/>
        </w:tabs>
        <w:spacing w:line="760" w:lineRule="exact"/>
        <w:jc w:val="center"/>
        <w:outlineLvl w:val="0"/>
        <w:rPr>
          <w:rFonts w:asciiTheme="minorEastAsia" w:hAnsiTheme="minorEastAsia" w:eastAsiaTheme="minorEastAsia"/>
          <w:b/>
          <w:w w:val="80"/>
          <w:sz w:val="44"/>
          <w:szCs w:val="44"/>
          <w:highlight w:val="none"/>
        </w:rPr>
        <w:sectPr>
          <w:headerReference r:id="rId4" w:type="first"/>
          <w:footerReference r:id="rId6" w:type="first"/>
          <w:headerReference r:id="rId3" w:type="default"/>
          <w:footerReference r:id="rId5" w:type="default"/>
          <w:pgSz w:w="11906" w:h="16838"/>
          <w:pgMar w:top="1239" w:right="851" w:bottom="851" w:left="1418" w:header="851" w:footer="522" w:gutter="0"/>
          <w:cols w:space="720" w:num="1"/>
          <w:titlePg/>
          <w:docGrid w:linePitch="380" w:charSpace="-5735"/>
        </w:sectPr>
      </w:pPr>
    </w:p>
    <w:p>
      <w:pPr>
        <w:tabs>
          <w:tab w:val="left" w:pos="1050"/>
          <w:tab w:val="right" w:leader="dot" w:pos="9402"/>
        </w:tabs>
        <w:spacing w:line="760" w:lineRule="exact"/>
        <w:jc w:val="center"/>
        <w:outlineLvl w:val="0"/>
        <w:rPr>
          <w:rFonts w:asciiTheme="minorEastAsia" w:hAnsiTheme="minorEastAsia" w:eastAsiaTheme="minorEastAsia"/>
          <w:b/>
          <w:w w:val="80"/>
          <w:sz w:val="44"/>
          <w:szCs w:val="44"/>
          <w:highlight w:val="none"/>
        </w:rPr>
      </w:pPr>
      <w:r>
        <w:rPr>
          <w:rFonts w:hint="eastAsia" w:asciiTheme="minorEastAsia" w:hAnsiTheme="minorEastAsia" w:eastAsiaTheme="minorEastAsia"/>
          <w:b/>
          <w:w w:val="80"/>
          <w:sz w:val="44"/>
          <w:szCs w:val="44"/>
          <w:highlight w:val="none"/>
        </w:rPr>
        <w:t>目  录</w:t>
      </w:r>
    </w:p>
    <w:p>
      <w:pPr>
        <w:pStyle w:val="7"/>
        <w:overflowPunct w:val="0"/>
        <w:ind w:firstLine="0"/>
        <w:jc w:val="center"/>
        <w:rPr>
          <w:rFonts w:asciiTheme="minorEastAsia" w:hAnsiTheme="minorEastAsia" w:eastAsiaTheme="minorEastAsia"/>
          <w:sz w:val="30"/>
          <w:highlight w:val="none"/>
        </w:rPr>
      </w:pPr>
    </w:p>
    <w:p>
      <w:pPr>
        <w:pStyle w:val="37"/>
        <w:tabs>
          <w:tab w:val="right" w:leader="dot" w:pos="9072"/>
        </w:tabs>
        <w:spacing w:line="1200" w:lineRule="exact"/>
        <w:ind w:left="520" w:leftChars="200"/>
        <w:rPr>
          <w:rFonts w:asciiTheme="minorEastAsia" w:hAnsiTheme="minorEastAsia" w:eastAsiaTheme="minorEastAsia"/>
          <w:sz w:val="32"/>
          <w:szCs w:val="32"/>
          <w:highlight w:val="none"/>
        </w:rPr>
      </w:pPr>
      <w:r>
        <w:rPr>
          <w:rFonts w:asciiTheme="minorEastAsia" w:hAnsiTheme="minorEastAsia" w:eastAsiaTheme="minorEastAsia"/>
          <w:b/>
          <w:bCs/>
          <w:sz w:val="32"/>
          <w:szCs w:val="32"/>
          <w:highlight w:val="none"/>
        </w:rPr>
        <w:fldChar w:fldCharType="begin"/>
      </w:r>
      <w:r>
        <w:rPr>
          <w:rFonts w:asciiTheme="minorEastAsia" w:hAnsiTheme="minorEastAsia" w:eastAsiaTheme="minorEastAsia"/>
          <w:b/>
          <w:bCs/>
          <w:sz w:val="32"/>
          <w:szCs w:val="32"/>
          <w:highlight w:val="none"/>
        </w:rPr>
        <w:instrText xml:space="preserve"> TOC \o "1-1" </w:instrText>
      </w:r>
      <w:r>
        <w:rPr>
          <w:rFonts w:asciiTheme="minorEastAsia" w:hAnsiTheme="minorEastAsia" w:eastAsiaTheme="minorEastAsia"/>
          <w:b/>
          <w:bCs/>
          <w:sz w:val="32"/>
          <w:szCs w:val="32"/>
          <w:highlight w:val="none"/>
        </w:rPr>
        <w:fldChar w:fldCharType="separate"/>
      </w:r>
      <w:r>
        <w:rPr>
          <w:rFonts w:asciiTheme="minorEastAsia" w:hAnsiTheme="minorEastAsia" w:eastAsiaTheme="minorEastAsia"/>
          <w:sz w:val="32"/>
          <w:szCs w:val="32"/>
          <w:highlight w:val="none"/>
        </w:rPr>
        <w:t>第一章 招标公告</w:t>
      </w:r>
    </w:p>
    <w:p>
      <w:pPr>
        <w:pStyle w:val="37"/>
        <w:tabs>
          <w:tab w:val="right" w:leader="dot" w:pos="9072"/>
        </w:tabs>
        <w:spacing w:line="1200" w:lineRule="exact"/>
        <w:ind w:left="520" w:leftChars="200"/>
        <w:rPr>
          <w:rFonts w:asciiTheme="minorEastAsia" w:hAnsiTheme="minorEastAsia" w:eastAsiaTheme="minorEastAsia"/>
          <w:sz w:val="32"/>
          <w:szCs w:val="32"/>
          <w:highlight w:val="none"/>
        </w:rPr>
      </w:pPr>
      <w:r>
        <w:rPr>
          <w:rFonts w:asciiTheme="minorEastAsia" w:hAnsiTheme="minorEastAsia" w:eastAsiaTheme="minorEastAsia"/>
          <w:sz w:val="32"/>
          <w:szCs w:val="32"/>
          <w:highlight w:val="none"/>
        </w:rPr>
        <w:t>第二章 投标人须知</w:t>
      </w:r>
    </w:p>
    <w:p>
      <w:pPr>
        <w:pStyle w:val="37"/>
        <w:tabs>
          <w:tab w:val="right" w:leader="dot" w:pos="9072"/>
        </w:tabs>
        <w:spacing w:line="1200" w:lineRule="exact"/>
        <w:ind w:left="520" w:leftChars="200"/>
        <w:rPr>
          <w:rFonts w:asciiTheme="minorEastAsia" w:hAnsiTheme="minorEastAsia" w:eastAsiaTheme="minorEastAsia"/>
          <w:sz w:val="32"/>
          <w:szCs w:val="32"/>
          <w:highlight w:val="none"/>
        </w:rPr>
      </w:pPr>
      <w:r>
        <w:rPr>
          <w:rFonts w:asciiTheme="minorEastAsia" w:hAnsiTheme="minorEastAsia" w:eastAsiaTheme="minorEastAsia"/>
          <w:sz w:val="32"/>
          <w:szCs w:val="32"/>
          <w:highlight w:val="none"/>
        </w:rPr>
        <w:t>第三章 项目需求</w:t>
      </w:r>
    </w:p>
    <w:p>
      <w:pPr>
        <w:pStyle w:val="37"/>
        <w:tabs>
          <w:tab w:val="right" w:leader="dot" w:pos="9072"/>
        </w:tabs>
        <w:spacing w:line="1200" w:lineRule="exact"/>
        <w:ind w:left="520" w:leftChars="200"/>
        <w:rPr>
          <w:rFonts w:asciiTheme="minorEastAsia" w:hAnsiTheme="minorEastAsia" w:eastAsiaTheme="minorEastAsia"/>
          <w:sz w:val="32"/>
          <w:szCs w:val="32"/>
          <w:highlight w:val="none"/>
        </w:rPr>
      </w:pPr>
      <w:r>
        <w:rPr>
          <w:rFonts w:asciiTheme="minorEastAsia" w:hAnsiTheme="minorEastAsia" w:eastAsiaTheme="minorEastAsia"/>
          <w:sz w:val="32"/>
          <w:szCs w:val="32"/>
          <w:highlight w:val="none"/>
        </w:rPr>
        <w:t>第四章 评审程序和方法</w:t>
      </w:r>
    </w:p>
    <w:p>
      <w:pPr>
        <w:pStyle w:val="37"/>
        <w:tabs>
          <w:tab w:val="right" w:leader="dot" w:pos="9072"/>
        </w:tabs>
        <w:spacing w:line="1200" w:lineRule="exact"/>
        <w:ind w:left="520" w:leftChars="200"/>
        <w:rPr>
          <w:rFonts w:asciiTheme="minorEastAsia" w:hAnsiTheme="minorEastAsia" w:eastAsiaTheme="minorEastAsia"/>
          <w:sz w:val="32"/>
          <w:szCs w:val="32"/>
          <w:highlight w:val="none"/>
        </w:rPr>
      </w:pPr>
      <w:r>
        <w:rPr>
          <w:rFonts w:asciiTheme="minorEastAsia" w:hAnsiTheme="minorEastAsia" w:eastAsiaTheme="minorEastAsia"/>
          <w:sz w:val="32"/>
          <w:szCs w:val="32"/>
          <w:highlight w:val="none"/>
        </w:rPr>
        <w:t>第</w:t>
      </w:r>
      <w:r>
        <w:rPr>
          <w:rFonts w:hint="eastAsia" w:asciiTheme="minorEastAsia" w:hAnsiTheme="minorEastAsia" w:eastAsiaTheme="minorEastAsia"/>
          <w:sz w:val="32"/>
          <w:szCs w:val="32"/>
          <w:highlight w:val="none"/>
        </w:rPr>
        <w:t>五</w:t>
      </w:r>
      <w:r>
        <w:rPr>
          <w:rFonts w:asciiTheme="minorEastAsia" w:hAnsiTheme="minorEastAsia" w:eastAsiaTheme="minorEastAsia"/>
          <w:sz w:val="32"/>
          <w:szCs w:val="32"/>
          <w:highlight w:val="none"/>
        </w:rPr>
        <w:t>章  履约验收及付款</w:t>
      </w:r>
    </w:p>
    <w:p>
      <w:pPr>
        <w:pStyle w:val="37"/>
        <w:tabs>
          <w:tab w:val="right" w:leader="dot" w:pos="9072"/>
        </w:tabs>
        <w:spacing w:line="1200" w:lineRule="exact"/>
        <w:ind w:left="520" w:leftChars="200"/>
        <w:rPr>
          <w:rFonts w:asciiTheme="minorEastAsia" w:hAnsiTheme="minorEastAsia" w:eastAsiaTheme="minorEastAsia"/>
          <w:sz w:val="32"/>
          <w:szCs w:val="32"/>
          <w:highlight w:val="none"/>
        </w:rPr>
      </w:pPr>
      <w:r>
        <w:rPr>
          <w:rFonts w:asciiTheme="minorEastAsia" w:hAnsiTheme="minorEastAsia" w:eastAsiaTheme="minorEastAsia"/>
          <w:sz w:val="32"/>
          <w:szCs w:val="32"/>
          <w:highlight w:val="none"/>
        </w:rPr>
        <w:t>第</w:t>
      </w:r>
      <w:r>
        <w:rPr>
          <w:rFonts w:hint="eastAsia" w:asciiTheme="minorEastAsia" w:hAnsiTheme="minorEastAsia" w:eastAsiaTheme="minorEastAsia"/>
          <w:sz w:val="32"/>
          <w:szCs w:val="32"/>
          <w:highlight w:val="none"/>
        </w:rPr>
        <w:t>六</w:t>
      </w:r>
      <w:r>
        <w:rPr>
          <w:rFonts w:asciiTheme="minorEastAsia" w:hAnsiTheme="minorEastAsia" w:eastAsiaTheme="minorEastAsia"/>
          <w:sz w:val="32"/>
          <w:szCs w:val="32"/>
          <w:highlight w:val="none"/>
        </w:rPr>
        <w:t>章 质疑与投诉</w:t>
      </w:r>
    </w:p>
    <w:p>
      <w:pPr>
        <w:pStyle w:val="37"/>
        <w:tabs>
          <w:tab w:val="right" w:leader="dot" w:pos="9072"/>
        </w:tabs>
        <w:spacing w:line="1200" w:lineRule="exact"/>
        <w:ind w:left="520" w:leftChars="200"/>
        <w:rPr>
          <w:rFonts w:asciiTheme="minorEastAsia" w:hAnsiTheme="minorEastAsia" w:eastAsiaTheme="minorEastAsia"/>
          <w:sz w:val="32"/>
          <w:szCs w:val="32"/>
          <w:highlight w:val="none"/>
        </w:rPr>
      </w:pPr>
      <w:r>
        <w:rPr>
          <w:rFonts w:asciiTheme="minorEastAsia" w:hAnsiTheme="minorEastAsia" w:eastAsiaTheme="minorEastAsia"/>
          <w:sz w:val="32"/>
          <w:szCs w:val="32"/>
          <w:highlight w:val="none"/>
        </w:rPr>
        <w:t>第</w:t>
      </w:r>
      <w:r>
        <w:rPr>
          <w:rFonts w:hint="eastAsia" w:asciiTheme="minorEastAsia" w:hAnsiTheme="minorEastAsia" w:eastAsiaTheme="minorEastAsia"/>
          <w:sz w:val="32"/>
          <w:szCs w:val="32"/>
          <w:highlight w:val="none"/>
          <w:lang w:val="en-US" w:eastAsia="zh-CN"/>
        </w:rPr>
        <w:t>七</w:t>
      </w:r>
      <w:r>
        <w:rPr>
          <w:rFonts w:asciiTheme="minorEastAsia" w:hAnsiTheme="minorEastAsia" w:eastAsiaTheme="minorEastAsia"/>
          <w:sz w:val="32"/>
          <w:szCs w:val="32"/>
          <w:highlight w:val="none"/>
        </w:rPr>
        <w:t>章 投标文件的组成及相关格式</w:t>
      </w:r>
    </w:p>
    <w:p>
      <w:pPr>
        <w:tabs>
          <w:tab w:val="left" w:pos="1050"/>
          <w:tab w:val="right" w:leader="dot" w:pos="9402"/>
        </w:tabs>
        <w:spacing w:before="240" w:beforeLines="100" w:line="600" w:lineRule="exact"/>
        <w:jc w:val="center"/>
        <w:outlineLvl w:val="0"/>
        <w:rPr>
          <w:rFonts w:asciiTheme="minorEastAsia" w:hAnsiTheme="minorEastAsia" w:eastAsiaTheme="minorEastAsia"/>
          <w:b/>
          <w:bCs/>
          <w:sz w:val="32"/>
          <w:szCs w:val="32"/>
          <w:highlight w:val="none"/>
        </w:rPr>
        <w:sectPr>
          <w:footerReference r:id="rId8" w:type="first"/>
          <w:footerReference r:id="rId7" w:type="default"/>
          <w:pgSz w:w="11906" w:h="16838"/>
          <w:pgMar w:top="1239" w:right="851" w:bottom="851" w:left="1418" w:header="851" w:footer="522" w:gutter="0"/>
          <w:cols w:space="720" w:num="1"/>
          <w:titlePg/>
          <w:docGrid w:linePitch="380" w:charSpace="-5735"/>
        </w:sectPr>
      </w:pPr>
      <w:r>
        <w:rPr>
          <w:rFonts w:asciiTheme="minorEastAsia" w:hAnsiTheme="minorEastAsia" w:eastAsiaTheme="minorEastAsia"/>
          <w:b/>
          <w:bCs/>
          <w:sz w:val="32"/>
          <w:szCs w:val="32"/>
          <w:highlight w:val="none"/>
        </w:rPr>
        <w:fldChar w:fldCharType="end"/>
      </w:r>
      <w:bookmarkStart w:id="0" w:name="_Toc363573853"/>
    </w:p>
    <w:bookmarkEnd w:id="0"/>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highlight w:val="none"/>
        </w:rPr>
      </w:pPr>
      <w:bookmarkStart w:id="10" w:name="_GoBack"/>
      <w:r>
        <w:rPr>
          <w:rFonts w:hint="eastAsia" w:asciiTheme="minorEastAsia" w:hAnsiTheme="minorEastAsia" w:eastAsiaTheme="minorEastAsia"/>
          <w:b/>
          <w:w w:val="80"/>
          <w:sz w:val="32"/>
          <w:szCs w:val="32"/>
          <w:highlight w:val="none"/>
        </w:rPr>
        <w:t>第一章  招标公告</w:t>
      </w:r>
    </w:p>
    <w:p>
      <w:pPr>
        <w:spacing w:line="420" w:lineRule="exact"/>
        <w:ind w:firstLine="480" w:firstLineChars="200"/>
        <w:rPr>
          <w:rFonts w:asciiTheme="minorEastAsia" w:hAnsiTheme="minorEastAsia" w:eastAsiaTheme="minorEastAsia"/>
          <w:sz w:val="24"/>
          <w:szCs w:val="24"/>
          <w:highlight w:val="none"/>
        </w:rPr>
      </w:pPr>
    </w:p>
    <w:p>
      <w:pPr>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中诚智信工程咨询集团股份有限公司（以下称招标代理机构）受</w:t>
      </w:r>
      <w:r>
        <w:rPr>
          <w:rFonts w:hint="eastAsia" w:asciiTheme="minorEastAsia" w:hAnsiTheme="minorEastAsia" w:eastAsiaTheme="minorEastAsia"/>
          <w:sz w:val="24"/>
          <w:szCs w:val="24"/>
          <w:highlight w:val="none"/>
          <w:lang w:eastAsia="zh-CN"/>
        </w:rPr>
        <w:t>南通市保安服务有限公司</w:t>
      </w:r>
      <w:r>
        <w:rPr>
          <w:rFonts w:hint="eastAsia" w:asciiTheme="minorEastAsia" w:hAnsiTheme="minorEastAsia" w:eastAsiaTheme="minorEastAsia"/>
          <w:sz w:val="24"/>
          <w:szCs w:val="24"/>
          <w:highlight w:val="none"/>
        </w:rPr>
        <w:t>（以下称招标人）的委托，就</w:t>
      </w:r>
      <w:r>
        <w:rPr>
          <w:rFonts w:hint="eastAsia" w:asciiTheme="minorEastAsia" w:hAnsiTheme="minorEastAsia" w:eastAsiaTheme="minorEastAsia"/>
          <w:sz w:val="24"/>
          <w:szCs w:val="24"/>
          <w:highlight w:val="none"/>
          <w:lang w:eastAsia="zh-CN"/>
        </w:rPr>
        <w:t>南通市保安服务有限公司IG100钢瓶检测项目</w:t>
      </w:r>
      <w:r>
        <w:rPr>
          <w:rFonts w:hint="eastAsia" w:asciiTheme="minorEastAsia" w:hAnsiTheme="minorEastAsia" w:eastAsiaTheme="minorEastAsia"/>
          <w:sz w:val="24"/>
          <w:szCs w:val="24"/>
          <w:highlight w:val="none"/>
        </w:rPr>
        <w:t>组织公开招标采购，诚邀符合条件的潜在投标人参加投标。</w:t>
      </w:r>
    </w:p>
    <w:p>
      <w:pPr>
        <w:spacing w:line="420" w:lineRule="exact"/>
        <w:ind w:firstLine="424" w:firstLineChars="176"/>
        <w:outlineLvl w:val="1"/>
        <w:rPr>
          <w:rFonts w:asciiTheme="minorEastAsia" w:hAnsiTheme="minorEastAsia" w:eastAsiaTheme="minorEastAsia"/>
          <w:sz w:val="24"/>
          <w:szCs w:val="24"/>
          <w:highlight w:val="none"/>
        </w:rPr>
      </w:pPr>
      <w:r>
        <w:rPr>
          <w:rFonts w:asciiTheme="minorEastAsia" w:hAnsiTheme="minorEastAsia" w:eastAsiaTheme="minorEastAsia"/>
          <w:b/>
          <w:sz w:val="24"/>
          <w:szCs w:val="24"/>
          <w:highlight w:val="none"/>
        </w:rPr>
        <w:t>一、项目名称：</w:t>
      </w:r>
      <w:r>
        <w:rPr>
          <w:rFonts w:hint="eastAsia" w:asciiTheme="minorEastAsia" w:hAnsiTheme="minorEastAsia" w:eastAsiaTheme="minorEastAsia"/>
          <w:sz w:val="24"/>
          <w:szCs w:val="24"/>
          <w:highlight w:val="none"/>
          <w:lang w:eastAsia="zh-CN"/>
        </w:rPr>
        <w:t>南通市保安服务有限公司IG100钢瓶检测项目</w:t>
      </w:r>
      <w:r>
        <w:rPr>
          <w:rFonts w:asciiTheme="minorEastAsia" w:hAnsiTheme="minorEastAsia" w:eastAsiaTheme="minorEastAsia"/>
          <w:sz w:val="24"/>
          <w:szCs w:val="24"/>
          <w:highlight w:val="none"/>
        </w:rPr>
        <w:t>。</w:t>
      </w:r>
    </w:p>
    <w:p>
      <w:pPr>
        <w:spacing w:line="420" w:lineRule="exact"/>
        <w:ind w:firstLine="424" w:firstLineChars="176"/>
        <w:outlineLvl w:val="1"/>
        <w:rPr>
          <w:rFonts w:asciiTheme="minorEastAsia" w:hAnsiTheme="minorEastAsia" w:eastAsiaTheme="minorEastAsia"/>
          <w:sz w:val="24"/>
          <w:szCs w:val="24"/>
          <w:highlight w:val="none"/>
        </w:rPr>
      </w:pPr>
      <w:r>
        <w:rPr>
          <w:rFonts w:hint="eastAsia" w:asciiTheme="minorEastAsia" w:hAnsiTheme="minorEastAsia" w:eastAsiaTheme="minorEastAsia"/>
          <w:b/>
          <w:bCs/>
          <w:sz w:val="24"/>
          <w:szCs w:val="24"/>
          <w:highlight w:val="none"/>
        </w:rPr>
        <w:t>二</w:t>
      </w:r>
      <w:r>
        <w:rPr>
          <w:rFonts w:asciiTheme="minorEastAsia" w:hAnsiTheme="minorEastAsia" w:eastAsiaTheme="minorEastAsia"/>
          <w:b/>
          <w:bCs/>
          <w:sz w:val="24"/>
          <w:szCs w:val="24"/>
          <w:highlight w:val="none"/>
        </w:rPr>
        <w:t>、项目需求：</w:t>
      </w:r>
      <w:r>
        <w:rPr>
          <w:rFonts w:hint="eastAsia" w:asciiTheme="minorEastAsia" w:hAnsiTheme="minorEastAsia" w:eastAsiaTheme="minorEastAsia"/>
          <w:sz w:val="24"/>
          <w:szCs w:val="24"/>
          <w:highlight w:val="none"/>
        </w:rPr>
        <w:t>具体详见本项目招标文件第三章</w:t>
      </w:r>
      <w:r>
        <w:rPr>
          <w:rFonts w:asciiTheme="minorEastAsia" w:hAnsiTheme="minorEastAsia" w:eastAsiaTheme="minorEastAsia"/>
          <w:sz w:val="24"/>
          <w:szCs w:val="24"/>
          <w:highlight w:val="none"/>
        </w:rPr>
        <w:t>。</w:t>
      </w:r>
    </w:p>
    <w:p>
      <w:pPr>
        <w:spacing w:line="420" w:lineRule="exact"/>
        <w:ind w:firstLine="424" w:firstLineChars="176"/>
        <w:outlineLvl w:val="1"/>
        <w:rPr>
          <w:rFonts w:cs="宋体" w:asciiTheme="minorEastAsia" w:hAnsiTheme="minorEastAsia" w:eastAsiaTheme="minorEastAsia"/>
          <w:kern w:val="0"/>
          <w:sz w:val="24"/>
          <w:szCs w:val="24"/>
          <w:highlight w:val="none"/>
        </w:rPr>
      </w:pPr>
      <w:r>
        <w:rPr>
          <w:rFonts w:hint="eastAsia" w:asciiTheme="minorEastAsia" w:hAnsiTheme="minorEastAsia" w:eastAsiaTheme="minorEastAsia"/>
          <w:b/>
          <w:bCs/>
          <w:sz w:val="24"/>
          <w:szCs w:val="24"/>
          <w:highlight w:val="none"/>
        </w:rPr>
        <w:t>三</w:t>
      </w:r>
      <w:r>
        <w:rPr>
          <w:rFonts w:asciiTheme="minorEastAsia" w:hAnsiTheme="minorEastAsia" w:eastAsiaTheme="minorEastAsia"/>
          <w:b/>
          <w:bCs/>
          <w:sz w:val="24"/>
          <w:szCs w:val="24"/>
          <w:highlight w:val="none"/>
        </w:rPr>
        <w:t>、项目预算：</w:t>
      </w:r>
      <w:r>
        <w:rPr>
          <w:rFonts w:hint="eastAsia" w:asciiTheme="minorEastAsia" w:hAnsiTheme="minorEastAsia" w:eastAsiaTheme="minorEastAsia"/>
          <w:sz w:val="24"/>
          <w:szCs w:val="24"/>
          <w:highlight w:val="none"/>
          <w:lang w:val="en-US" w:eastAsia="zh-CN"/>
        </w:rPr>
        <w:t>44</w:t>
      </w:r>
      <w:r>
        <w:rPr>
          <w:rFonts w:hint="eastAsia" w:asciiTheme="minorEastAsia" w:hAnsiTheme="minorEastAsia" w:eastAsiaTheme="minorEastAsia"/>
          <w:sz w:val="24"/>
          <w:szCs w:val="24"/>
          <w:highlight w:val="none"/>
        </w:rPr>
        <w:t>万元</w:t>
      </w:r>
      <w:r>
        <w:rPr>
          <w:rFonts w:cs="宋体" w:asciiTheme="minorEastAsia" w:hAnsiTheme="minorEastAsia" w:eastAsiaTheme="minorEastAsia"/>
          <w:kern w:val="0"/>
          <w:sz w:val="24"/>
          <w:szCs w:val="24"/>
          <w:highlight w:val="none"/>
        </w:rPr>
        <w:t>。</w:t>
      </w:r>
    </w:p>
    <w:p>
      <w:pPr>
        <w:pStyle w:val="202"/>
        <w:numPr>
          <w:ilvl w:val="0"/>
          <w:numId w:val="1"/>
        </w:numPr>
        <w:spacing w:line="420" w:lineRule="exact"/>
        <w:ind w:firstLineChars="0"/>
        <w:outlineLvl w:val="1"/>
        <w:rPr>
          <w:rFonts w:asciiTheme="minorEastAsia" w:hAnsiTheme="minorEastAsia" w:eastAsiaTheme="minorEastAsia"/>
          <w:b/>
          <w:bCs/>
          <w:kern w:val="0"/>
          <w:sz w:val="24"/>
          <w:highlight w:val="none"/>
        </w:rPr>
      </w:pPr>
      <w:r>
        <w:rPr>
          <w:rFonts w:asciiTheme="minorEastAsia" w:hAnsiTheme="minorEastAsia" w:eastAsiaTheme="minorEastAsia"/>
          <w:b/>
          <w:bCs/>
          <w:sz w:val="24"/>
          <w:highlight w:val="none"/>
        </w:rPr>
        <w:t>投标人资格：</w:t>
      </w:r>
    </w:p>
    <w:p>
      <w:pPr>
        <w:pStyle w:val="21"/>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1、投标人应为在中华人民共和国境内注册的企业法人，提供有效的营业执照及税务登记证；或者是三证合一的营业执照件；</w:t>
      </w:r>
    </w:p>
    <w:p>
      <w:pPr>
        <w:pStyle w:val="21"/>
        <w:ind w:firstLine="480" w:firstLineChars="200"/>
        <w:rPr>
          <w:rFonts w:asciiTheme="minorEastAsia" w:hAnsiTheme="minorEastAsia" w:eastAsiaTheme="minorEastAsia"/>
          <w:color w:val="FF0000"/>
          <w:sz w:val="24"/>
          <w:szCs w:val="24"/>
          <w:highlight w:val="none"/>
        </w:rPr>
      </w:pPr>
      <w:r>
        <w:rPr>
          <w:rFonts w:hint="eastAsia" w:asciiTheme="minorEastAsia" w:hAnsiTheme="minorEastAsia" w:eastAsiaTheme="minorEastAsia"/>
          <w:sz w:val="24"/>
          <w:szCs w:val="24"/>
          <w:highlight w:val="none"/>
        </w:rPr>
        <w:t>2、</w:t>
      </w:r>
      <w:r>
        <w:rPr>
          <w:rFonts w:hint="eastAsia" w:ascii="宋体" w:hAnsi="宋体"/>
          <w:sz w:val="24"/>
          <w:szCs w:val="24"/>
          <w:highlight w:val="none"/>
          <w:lang w:eastAsia="zh-CN"/>
        </w:rPr>
        <w:t>投标</w:t>
      </w:r>
      <w:r>
        <w:rPr>
          <w:rFonts w:hint="eastAsia" w:ascii="宋体" w:hAnsi="宋体"/>
          <w:sz w:val="24"/>
          <w:szCs w:val="24"/>
          <w:highlight w:val="none"/>
          <w:lang w:val="en-US" w:eastAsia="zh-CN"/>
        </w:rPr>
        <w:t>人</w:t>
      </w:r>
      <w:r>
        <w:rPr>
          <w:rFonts w:hint="eastAsia" w:ascii="宋体" w:hAnsi="宋体"/>
          <w:sz w:val="24"/>
          <w:szCs w:val="24"/>
          <w:highlight w:val="none"/>
        </w:rPr>
        <w:t>应具备省级市场监督管理局核发</w:t>
      </w:r>
      <w:r>
        <w:rPr>
          <w:rFonts w:hint="eastAsia" w:ascii="宋体" w:hAnsi="宋体"/>
          <w:sz w:val="24"/>
          <w:szCs w:val="24"/>
          <w:highlight w:val="none"/>
          <w:lang w:eastAsia="zh-CN"/>
        </w:rPr>
        <w:t>的《中华人民共和国特种设备检验检测机构核准证》</w:t>
      </w:r>
      <w:r>
        <w:rPr>
          <w:rFonts w:hint="eastAsia" w:ascii="宋体" w:hAnsi="宋体"/>
          <w:sz w:val="24"/>
          <w:szCs w:val="24"/>
          <w:highlight w:val="none"/>
        </w:rPr>
        <w:t>（检测目录中需含PD1无缝气瓶</w:t>
      </w:r>
      <w:r>
        <w:rPr>
          <w:rFonts w:hint="eastAsia" w:ascii="宋体" w:hAnsi="宋体"/>
          <w:sz w:val="24"/>
          <w:szCs w:val="24"/>
          <w:highlight w:val="none"/>
          <w:lang w:eastAsia="zh-CN"/>
        </w:rPr>
        <w:t>或</w:t>
      </w:r>
      <w:r>
        <w:rPr>
          <w:rFonts w:hint="eastAsia" w:ascii="宋体" w:hAnsi="宋体"/>
          <w:sz w:val="24"/>
          <w:szCs w:val="24"/>
          <w:highlight w:val="none"/>
        </w:rPr>
        <w:t>PD2</w:t>
      </w:r>
      <w:r>
        <w:rPr>
          <w:rFonts w:hint="eastAsia" w:ascii="宋体" w:hAnsi="宋体"/>
          <w:sz w:val="24"/>
          <w:szCs w:val="24"/>
          <w:highlight w:val="none"/>
          <w:lang w:eastAsia="zh-CN"/>
        </w:rPr>
        <w:t>或</w:t>
      </w:r>
      <w:r>
        <w:rPr>
          <w:rFonts w:hint="eastAsia" w:ascii="宋体" w:hAnsi="宋体"/>
          <w:sz w:val="24"/>
          <w:szCs w:val="24"/>
          <w:highlight w:val="none"/>
          <w:lang w:val="en-US" w:eastAsia="zh-CN"/>
        </w:rPr>
        <w:t>RD6</w:t>
      </w:r>
      <w:r>
        <w:rPr>
          <w:rFonts w:hint="eastAsia" w:ascii="宋体" w:hAnsi="宋体"/>
          <w:sz w:val="24"/>
          <w:szCs w:val="24"/>
          <w:highlight w:val="none"/>
        </w:rPr>
        <w:t>焊接气瓶检测项目）和省级市场监督管理局核发的《</w:t>
      </w:r>
      <w:r>
        <w:rPr>
          <w:rFonts w:hint="eastAsia" w:ascii="宋体" w:hAnsi="宋体"/>
          <w:sz w:val="24"/>
          <w:szCs w:val="24"/>
          <w:highlight w:val="none"/>
          <w:lang w:eastAsia="zh-CN"/>
        </w:rPr>
        <w:t>中华人民共和国</w:t>
      </w:r>
      <w:r>
        <w:rPr>
          <w:rFonts w:hint="eastAsia" w:ascii="宋体" w:hAnsi="宋体"/>
          <w:sz w:val="24"/>
          <w:szCs w:val="24"/>
          <w:highlight w:val="none"/>
        </w:rPr>
        <w:t>气瓶充装许可证》及《危险化学品经营许可证》</w:t>
      </w:r>
      <w:r>
        <w:rPr>
          <w:rFonts w:hint="eastAsia" w:asciiTheme="minorEastAsia" w:hAnsiTheme="minorEastAsia" w:eastAsiaTheme="minorEastAsia"/>
          <w:sz w:val="24"/>
          <w:szCs w:val="24"/>
          <w:highlight w:val="none"/>
        </w:rPr>
        <w:t>；</w:t>
      </w:r>
    </w:p>
    <w:p>
      <w:pPr>
        <w:pStyle w:val="21"/>
        <w:ind w:firstLine="480" w:firstLineChars="20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sz w:val="24"/>
          <w:szCs w:val="24"/>
          <w:highlight w:val="none"/>
          <w:lang w:val="en-US" w:eastAsia="zh-CN"/>
        </w:rPr>
        <w:t>3、</w:t>
      </w:r>
      <w:r>
        <w:rPr>
          <w:rFonts w:hint="eastAsia" w:ascii="宋体" w:hAnsi="宋体"/>
          <w:sz w:val="24"/>
          <w:szCs w:val="24"/>
          <w:highlight w:val="none"/>
          <w:lang w:eastAsia="zh-CN"/>
        </w:rPr>
        <w:t>投标</w:t>
      </w:r>
      <w:r>
        <w:rPr>
          <w:rFonts w:hint="eastAsia" w:ascii="宋体" w:hAnsi="宋体"/>
          <w:sz w:val="24"/>
          <w:szCs w:val="24"/>
          <w:highlight w:val="none"/>
          <w:lang w:val="en-US" w:eastAsia="zh-CN"/>
        </w:rPr>
        <w:t>人</w:t>
      </w:r>
      <w:r>
        <w:rPr>
          <w:rFonts w:hint="eastAsia" w:ascii="宋体" w:hAnsi="宋体"/>
          <w:sz w:val="24"/>
          <w:szCs w:val="24"/>
          <w:highlight w:val="none"/>
        </w:rPr>
        <w:t>应</w:t>
      </w:r>
      <w:r>
        <w:rPr>
          <w:rFonts w:hint="eastAsia" w:ascii="宋体" w:hAnsi="宋体"/>
          <w:color w:val="FF0000"/>
          <w:sz w:val="24"/>
          <w:szCs w:val="24"/>
          <w:highlight w:val="none"/>
          <w:lang w:eastAsia="zh-CN"/>
        </w:rPr>
        <w:t>出</w:t>
      </w:r>
      <w:r>
        <w:rPr>
          <w:rFonts w:hint="eastAsia" w:ascii="宋体" w:hAnsi="宋体"/>
          <w:color w:val="FF0000"/>
          <w:sz w:val="24"/>
          <w:szCs w:val="24"/>
          <w:highlight w:val="none"/>
        </w:rPr>
        <w:t>具</w:t>
      </w:r>
      <w:r>
        <w:rPr>
          <w:rFonts w:hint="eastAsia" w:asciiTheme="minorEastAsia" w:hAnsiTheme="minorEastAsia" w:eastAsiaTheme="minorEastAsia"/>
          <w:sz w:val="24"/>
          <w:szCs w:val="24"/>
          <w:highlight w:val="none"/>
          <w:lang w:val="en-US" w:eastAsia="zh-CN"/>
        </w:rPr>
        <w:t>国家固定灭火系统和耐火部件机构质量监督检验中心出具的IG-100惰性气体灭火剂检测报告；</w:t>
      </w:r>
    </w:p>
    <w:p>
      <w:pPr>
        <w:pStyle w:val="21"/>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rPr>
        <w:t>本项目不接受任何形式的联合体投标；</w:t>
      </w:r>
    </w:p>
    <w:p>
      <w:pPr>
        <w:pStyle w:val="21"/>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5</w:t>
      </w:r>
      <w:r>
        <w:rPr>
          <w:rFonts w:hint="eastAsia" w:asciiTheme="minorEastAsia" w:hAnsiTheme="minorEastAsia" w:eastAsiaTheme="minorEastAsia"/>
          <w:sz w:val="24"/>
          <w:szCs w:val="24"/>
          <w:highlight w:val="none"/>
        </w:rPr>
        <w:t>、单位负责人为同一人或者存在直接控股、管理关系的不同投标人，不得同时参与同一采购项目相同标段的采购活动；为采购项目提供整体设计、规范编制或者项目管理、监理等服务的投标人，不得再参加该采购项目的其他采购活动。</w:t>
      </w:r>
    </w:p>
    <w:p>
      <w:pPr>
        <w:spacing w:line="420" w:lineRule="exact"/>
        <w:ind w:firstLine="482" w:firstLineChars="200"/>
        <w:outlineLvl w:val="1"/>
        <w:rPr>
          <w:rFonts w:asciiTheme="minorEastAsia" w:hAnsiTheme="minorEastAsia" w:eastAsiaTheme="minorEastAsia"/>
          <w:highlight w:val="none"/>
        </w:rPr>
      </w:pPr>
      <w:r>
        <w:rPr>
          <w:rFonts w:hint="eastAsia" w:asciiTheme="minorEastAsia" w:hAnsiTheme="minorEastAsia" w:eastAsiaTheme="minorEastAsia"/>
          <w:b/>
          <w:sz w:val="24"/>
          <w:szCs w:val="24"/>
          <w:highlight w:val="none"/>
        </w:rPr>
        <w:t>五、招标文件的获取</w:t>
      </w:r>
    </w:p>
    <w:p>
      <w:pPr>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有意愿参与本项目投标响应的单位，请于本公告日起至开标截止前，到</w:t>
      </w:r>
      <w:r>
        <w:rPr>
          <w:rFonts w:hint="eastAsia" w:asciiTheme="minorEastAsia" w:hAnsiTheme="minorEastAsia" w:eastAsiaTheme="minorEastAsia"/>
          <w:kern w:val="0"/>
          <w:sz w:val="24"/>
          <w:szCs w:val="24"/>
          <w:highlight w:val="none"/>
        </w:rPr>
        <w:t>“</w:t>
      </w:r>
      <w:r>
        <w:rPr>
          <w:rFonts w:hint="eastAsia" w:asciiTheme="minorEastAsia" w:hAnsiTheme="minorEastAsia" w:eastAsiaTheme="minorEastAsia"/>
          <w:kern w:val="0"/>
          <w:sz w:val="24"/>
          <w:szCs w:val="24"/>
          <w:highlight w:val="none"/>
          <w:lang w:eastAsia="zh-CN"/>
        </w:rPr>
        <w:t>南通市保安服务有限公司官网</w:t>
      </w:r>
      <w:r>
        <w:rPr>
          <w:rFonts w:hint="eastAsia" w:asciiTheme="minorEastAsia" w:hAnsiTheme="minorEastAsia" w:eastAsiaTheme="minorEastAsia"/>
          <w:kern w:val="0"/>
          <w:sz w:val="24"/>
          <w:szCs w:val="24"/>
          <w:highlight w:val="none"/>
        </w:rPr>
        <w:t>”</w:t>
      </w:r>
      <w:r>
        <w:rPr>
          <w:rFonts w:hint="eastAsia" w:asciiTheme="minorEastAsia" w:hAnsiTheme="minorEastAsia" w:eastAsiaTheme="minorEastAsia"/>
          <w:sz w:val="24"/>
          <w:szCs w:val="24"/>
          <w:highlight w:val="none"/>
        </w:rPr>
        <w:t>下载本项目的招标文件。</w:t>
      </w:r>
    </w:p>
    <w:p>
      <w:pPr>
        <w:spacing w:line="420" w:lineRule="exact"/>
        <w:ind w:firstLine="487" w:firstLineChars="202"/>
        <w:outlineLvl w:val="1"/>
        <w:rPr>
          <w:rFonts w:asciiTheme="minorEastAsia" w:hAnsiTheme="minorEastAsia" w:eastAsiaTheme="minorEastAsia"/>
          <w:sz w:val="24"/>
          <w:szCs w:val="24"/>
          <w:highlight w:val="none"/>
        </w:rPr>
      </w:pPr>
      <w:r>
        <w:rPr>
          <w:rFonts w:hint="eastAsia" w:asciiTheme="minorEastAsia" w:hAnsiTheme="minorEastAsia" w:eastAsiaTheme="minorEastAsia"/>
          <w:b/>
          <w:sz w:val="24"/>
          <w:szCs w:val="24"/>
          <w:highlight w:val="none"/>
        </w:rPr>
        <w:t>六、</w:t>
      </w:r>
      <w:r>
        <w:rPr>
          <w:rFonts w:asciiTheme="minorEastAsia" w:hAnsiTheme="minorEastAsia" w:eastAsiaTheme="minorEastAsia"/>
          <w:b/>
          <w:sz w:val="24"/>
          <w:szCs w:val="24"/>
          <w:highlight w:val="none"/>
        </w:rPr>
        <w:t>投标保证金</w:t>
      </w:r>
    </w:p>
    <w:p>
      <w:pPr>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本项目无需递交投标保证金。</w:t>
      </w:r>
    </w:p>
    <w:p>
      <w:pPr>
        <w:spacing w:line="420" w:lineRule="exact"/>
        <w:ind w:firstLine="482" w:firstLineChars="200"/>
        <w:outlineLvl w:val="1"/>
        <w:rPr>
          <w:rFonts w:asciiTheme="minorEastAsia" w:hAnsiTheme="minorEastAsia" w:eastAsiaTheme="minorEastAsia"/>
          <w:sz w:val="24"/>
          <w:szCs w:val="24"/>
          <w:highlight w:val="none"/>
        </w:rPr>
      </w:pPr>
      <w:r>
        <w:rPr>
          <w:rFonts w:hint="eastAsia" w:asciiTheme="minorEastAsia" w:hAnsiTheme="minorEastAsia" w:eastAsiaTheme="minorEastAsia"/>
          <w:b/>
          <w:sz w:val="24"/>
          <w:szCs w:val="24"/>
          <w:highlight w:val="none"/>
        </w:rPr>
        <w:t>七、投标文件</w:t>
      </w:r>
      <w:r>
        <w:rPr>
          <w:rFonts w:asciiTheme="minorEastAsia" w:hAnsiTheme="minorEastAsia" w:eastAsiaTheme="minorEastAsia"/>
          <w:b/>
          <w:sz w:val="24"/>
          <w:szCs w:val="24"/>
          <w:highlight w:val="none"/>
        </w:rPr>
        <w:t>的递交接收</w:t>
      </w:r>
    </w:p>
    <w:p>
      <w:pPr>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接收人：招标代理机构；</w:t>
      </w:r>
    </w:p>
    <w:p>
      <w:pPr>
        <w:spacing w:line="420" w:lineRule="exact"/>
        <w:ind w:firstLine="480" w:firstLineChars="200"/>
        <w:rPr>
          <w:rFonts w:asciiTheme="minorEastAsia" w:hAnsiTheme="minorEastAsia" w:eastAsiaTheme="minorEastAsia"/>
          <w:highlight w:val="none"/>
        </w:rPr>
      </w:pPr>
      <w:r>
        <w:rPr>
          <w:rFonts w:asciiTheme="minorEastAsia" w:hAnsiTheme="minorEastAsia" w:eastAsiaTheme="minorEastAsia"/>
          <w:sz w:val="24"/>
          <w:szCs w:val="24"/>
          <w:highlight w:val="none"/>
        </w:rPr>
        <w:t>2.接收截止时间：</w:t>
      </w:r>
      <w:r>
        <w:rPr>
          <w:rFonts w:hint="eastAsia" w:ascii="宋体" w:hAnsi="宋体" w:eastAsia="宋体"/>
          <w:b/>
          <w:sz w:val="24"/>
          <w:szCs w:val="24"/>
          <w:highlight w:val="none"/>
          <w:u w:val="thick" w:color="FF0000"/>
        </w:rPr>
        <w:t>202</w:t>
      </w:r>
      <w:r>
        <w:rPr>
          <w:rFonts w:hint="eastAsia" w:ascii="宋体" w:hAnsi="宋体" w:eastAsia="宋体"/>
          <w:b/>
          <w:sz w:val="24"/>
          <w:szCs w:val="24"/>
          <w:highlight w:val="none"/>
          <w:u w:val="thick" w:color="FF0000"/>
          <w:lang w:val="en-US" w:eastAsia="zh-CN"/>
        </w:rPr>
        <w:t>4</w:t>
      </w:r>
      <w:r>
        <w:rPr>
          <w:rFonts w:hint="eastAsia" w:ascii="宋体" w:hAnsi="宋体" w:eastAsia="宋体"/>
          <w:b/>
          <w:sz w:val="24"/>
          <w:szCs w:val="24"/>
          <w:highlight w:val="none"/>
          <w:u w:val="thick" w:color="FF0000"/>
        </w:rPr>
        <w:t>年</w:t>
      </w:r>
      <w:r>
        <w:rPr>
          <w:rFonts w:hint="eastAsia" w:ascii="宋体" w:hAnsi="宋体" w:eastAsia="宋体"/>
          <w:b/>
          <w:sz w:val="24"/>
          <w:szCs w:val="24"/>
          <w:highlight w:val="none"/>
          <w:u w:val="thick" w:color="FF0000"/>
          <w:lang w:val="en-US" w:eastAsia="zh-CN"/>
        </w:rPr>
        <w:t>5</w:t>
      </w:r>
      <w:r>
        <w:rPr>
          <w:rFonts w:hint="eastAsia" w:ascii="宋体" w:hAnsi="宋体" w:eastAsia="宋体"/>
          <w:b/>
          <w:sz w:val="24"/>
          <w:szCs w:val="24"/>
          <w:highlight w:val="none"/>
          <w:u w:val="thick" w:color="FF0000"/>
        </w:rPr>
        <w:t>月</w:t>
      </w:r>
      <w:r>
        <w:rPr>
          <w:rFonts w:hint="eastAsia" w:ascii="宋体" w:hAnsi="宋体" w:eastAsia="宋体"/>
          <w:b/>
          <w:sz w:val="24"/>
          <w:szCs w:val="24"/>
          <w:highlight w:val="none"/>
          <w:u w:val="thick" w:color="FF0000"/>
          <w:lang w:val="en-US" w:eastAsia="zh-CN"/>
        </w:rPr>
        <w:t>21</w:t>
      </w:r>
      <w:r>
        <w:rPr>
          <w:rFonts w:hint="eastAsia" w:ascii="宋体" w:hAnsi="宋体" w:eastAsia="宋体"/>
          <w:b/>
          <w:sz w:val="24"/>
          <w:szCs w:val="24"/>
          <w:highlight w:val="none"/>
          <w:u w:val="thick" w:color="FF0000"/>
        </w:rPr>
        <w:t>日</w:t>
      </w:r>
      <w:r>
        <w:rPr>
          <w:rFonts w:hint="eastAsia" w:ascii="宋体" w:hAnsi="宋体" w:eastAsia="宋体"/>
          <w:b/>
          <w:sz w:val="24"/>
          <w:szCs w:val="24"/>
          <w:highlight w:val="none"/>
          <w:u w:val="thick" w:color="FF0000"/>
          <w:lang w:val="en-US" w:eastAsia="zh-CN"/>
        </w:rPr>
        <w:t>9</w:t>
      </w:r>
      <w:r>
        <w:rPr>
          <w:rFonts w:hint="eastAsia" w:ascii="宋体" w:hAnsi="宋体" w:eastAsia="宋体"/>
          <w:b/>
          <w:sz w:val="24"/>
          <w:szCs w:val="24"/>
          <w:highlight w:val="none"/>
          <w:u w:val="thick" w:color="FF0000"/>
        </w:rPr>
        <w:t>点</w:t>
      </w:r>
      <w:r>
        <w:rPr>
          <w:rFonts w:hint="eastAsia" w:ascii="宋体" w:hAnsi="宋体" w:eastAsia="宋体"/>
          <w:b/>
          <w:sz w:val="24"/>
          <w:szCs w:val="24"/>
          <w:highlight w:val="none"/>
          <w:u w:val="thick" w:color="FF0000"/>
          <w:lang w:val="en-US" w:eastAsia="zh-CN"/>
        </w:rPr>
        <w:t>30</w:t>
      </w:r>
      <w:r>
        <w:rPr>
          <w:rFonts w:hint="eastAsia" w:ascii="宋体" w:hAnsi="宋体" w:eastAsia="宋体"/>
          <w:b/>
          <w:sz w:val="24"/>
          <w:szCs w:val="24"/>
          <w:highlight w:val="none"/>
          <w:u w:val="thick" w:color="FF0000"/>
        </w:rPr>
        <w:t>分</w:t>
      </w:r>
      <w:r>
        <w:rPr>
          <w:rFonts w:hint="eastAsia" w:asciiTheme="minorEastAsia" w:hAnsiTheme="minorEastAsia" w:eastAsiaTheme="minorEastAsia"/>
          <w:b/>
          <w:sz w:val="24"/>
          <w:szCs w:val="24"/>
          <w:highlight w:val="none"/>
          <w:u w:val="thick" w:color="FF0000"/>
        </w:rPr>
        <w:t>前</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地址：</w:t>
      </w:r>
      <w:r>
        <w:rPr>
          <w:rFonts w:hint="eastAsia" w:asciiTheme="minorEastAsia" w:hAnsiTheme="minorEastAsia" w:eastAsiaTheme="minorEastAsia"/>
          <w:sz w:val="24"/>
          <w:highlight w:val="none"/>
          <w:u w:val="single"/>
          <w:lang w:eastAsia="zh-CN"/>
        </w:rPr>
        <w:t>南通市崇川区石桥路333号南通市保安服务有限公司6楼会议室2</w:t>
      </w:r>
      <w:r>
        <w:rPr>
          <w:rFonts w:hint="eastAsia" w:asciiTheme="minorEastAsia" w:hAnsiTheme="minorEastAsia" w:eastAsiaTheme="minorEastAsia"/>
          <w:sz w:val="24"/>
          <w:highlight w:val="none"/>
          <w:u w:val="single"/>
        </w:rPr>
        <w:t>；</w:t>
      </w:r>
    </w:p>
    <w:p>
      <w:pPr>
        <w:spacing w:line="420" w:lineRule="exact"/>
        <w:ind w:firstLine="487" w:firstLineChars="202"/>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八、开标</w:t>
      </w:r>
    </w:p>
    <w:p>
      <w:pPr>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开标</w:t>
      </w:r>
      <w:r>
        <w:rPr>
          <w:rFonts w:hint="eastAsia" w:asciiTheme="minorEastAsia" w:hAnsiTheme="minorEastAsia" w:eastAsiaTheme="minorEastAsia"/>
          <w:sz w:val="24"/>
          <w:szCs w:val="24"/>
          <w:highlight w:val="none"/>
        </w:rPr>
        <w:t>时间：</w:t>
      </w:r>
      <w:r>
        <w:rPr>
          <w:rFonts w:hint="eastAsia" w:ascii="宋体" w:hAnsi="宋体" w:eastAsia="宋体"/>
          <w:b/>
          <w:sz w:val="24"/>
          <w:szCs w:val="24"/>
          <w:highlight w:val="none"/>
          <w:u w:val="thick" w:color="FF0000"/>
        </w:rPr>
        <w:t>202</w:t>
      </w:r>
      <w:r>
        <w:rPr>
          <w:rFonts w:hint="eastAsia" w:ascii="宋体" w:hAnsi="宋体" w:eastAsia="宋体"/>
          <w:b/>
          <w:sz w:val="24"/>
          <w:szCs w:val="24"/>
          <w:highlight w:val="none"/>
          <w:u w:val="thick" w:color="FF0000"/>
          <w:lang w:val="en-US" w:eastAsia="zh-CN"/>
        </w:rPr>
        <w:t>4</w:t>
      </w:r>
      <w:r>
        <w:rPr>
          <w:rFonts w:hint="eastAsia" w:ascii="宋体" w:hAnsi="宋体" w:eastAsia="宋体"/>
          <w:b/>
          <w:sz w:val="24"/>
          <w:szCs w:val="24"/>
          <w:highlight w:val="none"/>
          <w:u w:val="thick" w:color="FF0000"/>
        </w:rPr>
        <w:t>年</w:t>
      </w:r>
      <w:r>
        <w:rPr>
          <w:rFonts w:hint="eastAsia" w:ascii="宋体" w:hAnsi="宋体" w:eastAsia="宋体"/>
          <w:b/>
          <w:sz w:val="24"/>
          <w:szCs w:val="24"/>
          <w:highlight w:val="none"/>
          <w:u w:val="thick" w:color="FF0000"/>
          <w:lang w:val="en-US" w:eastAsia="zh-CN"/>
        </w:rPr>
        <w:t>5</w:t>
      </w:r>
      <w:r>
        <w:rPr>
          <w:rFonts w:hint="eastAsia" w:ascii="宋体" w:hAnsi="宋体" w:eastAsia="宋体"/>
          <w:b/>
          <w:sz w:val="24"/>
          <w:szCs w:val="24"/>
          <w:highlight w:val="none"/>
          <w:u w:val="thick" w:color="FF0000"/>
        </w:rPr>
        <w:t>月</w:t>
      </w:r>
      <w:r>
        <w:rPr>
          <w:rFonts w:hint="eastAsia" w:ascii="宋体" w:hAnsi="宋体" w:eastAsia="宋体"/>
          <w:b/>
          <w:sz w:val="24"/>
          <w:szCs w:val="24"/>
          <w:highlight w:val="none"/>
          <w:u w:val="thick" w:color="FF0000"/>
          <w:lang w:val="en-US" w:eastAsia="zh-CN"/>
        </w:rPr>
        <w:t>21</w:t>
      </w:r>
      <w:r>
        <w:rPr>
          <w:rFonts w:hint="eastAsia" w:ascii="宋体" w:hAnsi="宋体" w:eastAsia="宋体"/>
          <w:b/>
          <w:sz w:val="24"/>
          <w:szCs w:val="24"/>
          <w:highlight w:val="none"/>
          <w:u w:val="thick" w:color="FF0000"/>
        </w:rPr>
        <w:t>日</w:t>
      </w:r>
      <w:r>
        <w:rPr>
          <w:rFonts w:hint="eastAsia" w:ascii="宋体" w:hAnsi="宋体" w:eastAsia="宋体"/>
          <w:b/>
          <w:sz w:val="24"/>
          <w:szCs w:val="24"/>
          <w:highlight w:val="none"/>
          <w:u w:val="thick" w:color="FF0000"/>
          <w:lang w:val="en-US" w:eastAsia="zh-CN"/>
        </w:rPr>
        <w:t>9</w:t>
      </w:r>
      <w:r>
        <w:rPr>
          <w:rFonts w:hint="eastAsia" w:ascii="宋体" w:hAnsi="宋体" w:eastAsia="宋体"/>
          <w:b/>
          <w:sz w:val="24"/>
          <w:szCs w:val="24"/>
          <w:highlight w:val="none"/>
          <w:u w:val="thick" w:color="FF0000"/>
        </w:rPr>
        <w:t>点</w:t>
      </w:r>
      <w:r>
        <w:rPr>
          <w:rFonts w:hint="eastAsia" w:ascii="宋体" w:hAnsi="宋体" w:eastAsia="宋体"/>
          <w:b/>
          <w:sz w:val="24"/>
          <w:szCs w:val="24"/>
          <w:highlight w:val="none"/>
          <w:u w:val="thick" w:color="FF0000"/>
          <w:lang w:val="en-US" w:eastAsia="zh-CN"/>
        </w:rPr>
        <w:t>30</w:t>
      </w:r>
      <w:r>
        <w:rPr>
          <w:rFonts w:hint="eastAsia" w:ascii="宋体" w:hAnsi="宋体" w:eastAsia="宋体"/>
          <w:b/>
          <w:sz w:val="24"/>
          <w:szCs w:val="24"/>
          <w:highlight w:val="none"/>
          <w:u w:val="thick" w:color="FF0000"/>
        </w:rPr>
        <w:t>分</w:t>
      </w:r>
      <w:r>
        <w:rPr>
          <w:rFonts w:hint="eastAsia" w:asciiTheme="minorEastAsia" w:hAnsiTheme="minorEastAsia" w:eastAsiaTheme="minorEastAsia"/>
          <w:b/>
          <w:sz w:val="24"/>
          <w:szCs w:val="24"/>
          <w:highlight w:val="none"/>
          <w:u w:val="thick" w:color="FF0000"/>
        </w:rPr>
        <w:t>整</w:t>
      </w:r>
      <w:r>
        <w:rPr>
          <w:rFonts w:hint="eastAsia" w:asciiTheme="minorEastAsia" w:hAnsiTheme="minorEastAsia" w:eastAsiaTheme="minorEastAsia"/>
          <w:sz w:val="24"/>
          <w:szCs w:val="24"/>
          <w:highlight w:val="none"/>
        </w:rPr>
        <w:t>；</w:t>
      </w:r>
    </w:p>
    <w:p>
      <w:pPr>
        <w:spacing w:line="420" w:lineRule="exact"/>
        <w:ind w:firstLine="480" w:firstLineChars="200"/>
        <w:rPr>
          <w:rFonts w:asciiTheme="minorEastAsia" w:hAnsiTheme="minorEastAsia" w:eastAsiaTheme="minorEastAsia"/>
          <w:b/>
          <w:sz w:val="24"/>
          <w:szCs w:val="24"/>
          <w:highlight w:val="none"/>
        </w:rPr>
      </w:pP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、开标</w:t>
      </w:r>
      <w:r>
        <w:rPr>
          <w:rFonts w:asciiTheme="minorEastAsia" w:hAnsiTheme="minorEastAsia" w:eastAsiaTheme="minorEastAsia"/>
          <w:sz w:val="24"/>
          <w:szCs w:val="24"/>
          <w:highlight w:val="none"/>
        </w:rPr>
        <w:t>地点：</w:t>
      </w:r>
      <w:r>
        <w:rPr>
          <w:rFonts w:hint="eastAsia" w:asciiTheme="minorEastAsia" w:hAnsiTheme="minorEastAsia" w:eastAsiaTheme="minorEastAsia"/>
          <w:sz w:val="24"/>
          <w:highlight w:val="none"/>
          <w:u w:val="single"/>
          <w:lang w:eastAsia="zh-CN"/>
        </w:rPr>
        <w:t>南通市崇川区石桥路333号南通市保安服务有限公司6楼会议室2</w:t>
      </w:r>
      <w:r>
        <w:rPr>
          <w:rFonts w:hint="eastAsia" w:asciiTheme="minorEastAsia" w:hAnsiTheme="minorEastAsia" w:eastAsiaTheme="minorEastAsia"/>
          <w:sz w:val="24"/>
          <w:highlight w:val="none"/>
          <w:u w:val="single"/>
        </w:rPr>
        <w:t>；</w:t>
      </w:r>
    </w:p>
    <w:p>
      <w:pPr>
        <w:spacing w:line="420" w:lineRule="exact"/>
        <w:ind w:firstLine="487" w:firstLineChars="202"/>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九、资格审查</w:t>
      </w:r>
    </w:p>
    <w:p>
      <w:pPr>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1、资格审查时间：</w:t>
      </w:r>
      <w:r>
        <w:rPr>
          <w:rFonts w:hint="eastAsia" w:asciiTheme="minorEastAsia" w:hAnsiTheme="minorEastAsia" w:eastAsiaTheme="minorEastAsia"/>
          <w:b/>
          <w:sz w:val="24"/>
          <w:szCs w:val="24"/>
          <w:highlight w:val="none"/>
          <w:u w:val="thick" w:color="FF0000"/>
        </w:rPr>
        <w:t>开标结束后当即开始</w:t>
      </w:r>
      <w:r>
        <w:rPr>
          <w:rFonts w:hint="eastAsia" w:asciiTheme="minorEastAsia" w:hAnsiTheme="minorEastAsia" w:eastAsiaTheme="minorEastAsia"/>
          <w:sz w:val="24"/>
          <w:szCs w:val="24"/>
          <w:highlight w:val="none"/>
        </w:rPr>
        <w:t>。</w:t>
      </w:r>
    </w:p>
    <w:p>
      <w:pPr>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、资格审查</w:t>
      </w:r>
      <w:r>
        <w:rPr>
          <w:rFonts w:asciiTheme="minorEastAsia" w:hAnsiTheme="minorEastAsia" w:eastAsiaTheme="minorEastAsia"/>
          <w:sz w:val="24"/>
          <w:szCs w:val="24"/>
          <w:highlight w:val="none"/>
        </w:rPr>
        <w:t>地点：</w:t>
      </w:r>
      <w:r>
        <w:rPr>
          <w:rFonts w:hint="eastAsia" w:asciiTheme="minorEastAsia" w:hAnsiTheme="minorEastAsia" w:eastAsiaTheme="minorEastAsia"/>
          <w:sz w:val="24"/>
          <w:szCs w:val="24"/>
          <w:highlight w:val="none"/>
          <w:u w:val="single"/>
          <w:lang w:eastAsia="zh-CN"/>
        </w:rPr>
        <w:t>南通市崇川区石桥路333号南通市保安服务有限公司6楼会议室</w:t>
      </w:r>
      <w:r>
        <w:rPr>
          <w:rFonts w:hint="eastAsia" w:asciiTheme="minorEastAsia" w:hAnsiTheme="minorEastAsia" w:eastAsiaTheme="minorEastAsia"/>
          <w:sz w:val="24"/>
          <w:highlight w:val="none"/>
          <w:u w:val="single"/>
        </w:rPr>
        <w:t>；</w:t>
      </w:r>
    </w:p>
    <w:p>
      <w:pPr>
        <w:spacing w:line="420" w:lineRule="exact"/>
        <w:ind w:firstLine="480" w:firstLineChars="200"/>
        <w:rPr>
          <w:rFonts w:asciiTheme="minorEastAsia" w:hAnsiTheme="minorEastAsia" w:eastAsiaTheme="minorEastAsia"/>
          <w:b/>
          <w:sz w:val="24"/>
          <w:szCs w:val="24"/>
          <w:highlight w:val="none"/>
        </w:rPr>
      </w:pP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、招标人依法委托评标小组对各投标人的资格进行审查，审查通过方可参与项目的价格标评审。</w:t>
      </w:r>
    </w:p>
    <w:p>
      <w:pPr>
        <w:spacing w:line="420" w:lineRule="exact"/>
        <w:ind w:firstLine="487" w:firstLineChars="202"/>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十、评标</w:t>
      </w:r>
    </w:p>
    <w:p>
      <w:pPr>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1、评标时间：</w:t>
      </w:r>
      <w:r>
        <w:rPr>
          <w:rFonts w:hint="eastAsia" w:asciiTheme="minorEastAsia" w:hAnsiTheme="minorEastAsia" w:eastAsiaTheme="minorEastAsia"/>
          <w:b/>
          <w:sz w:val="24"/>
          <w:szCs w:val="24"/>
          <w:highlight w:val="none"/>
          <w:u w:val="thick" w:color="FF0000"/>
        </w:rPr>
        <w:t>资格审查结束后当即开始</w:t>
      </w:r>
      <w:r>
        <w:rPr>
          <w:rFonts w:hint="eastAsia" w:asciiTheme="minorEastAsia" w:hAnsiTheme="minorEastAsia" w:eastAsiaTheme="minorEastAsia"/>
          <w:sz w:val="24"/>
          <w:szCs w:val="24"/>
          <w:highlight w:val="none"/>
        </w:rPr>
        <w:t>；</w:t>
      </w:r>
    </w:p>
    <w:p>
      <w:pPr>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2、评标</w:t>
      </w:r>
      <w:r>
        <w:rPr>
          <w:rFonts w:asciiTheme="minorEastAsia" w:hAnsiTheme="minorEastAsia" w:eastAsiaTheme="minorEastAsia"/>
          <w:sz w:val="24"/>
          <w:szCs w:val="24"/>
          <w:highlight w:val="none"/>
        </w:rPr>
        <w:t>地点：</w:t>
      </w:r>
      <w:r>
        <w:rPr>
          <w:rFonts w:hint="eastAsia" w:asciiTheme="minorEastAsia" w:hAnsiTheme="minorEastAsia" w:eastAsiaTheme="minorEastAsia"/>
          <w:sz w:val="24"/>
          <w:highlight w:val="none"/>
          <w:u w:val="single"/>
          <w:lang w:eastAsia="zh-CN"/>
        </w:rPr>
        <w:t>南通市崇川区石桥路333号南通市保安服务有限公司6楼会议室</w:t>
      </w:r>
      <w:r>
        <w:rPr>
          <w:rFonts w:hint="eastAsia" w:asciiTheme="minorEastAsia" w:hAnsiTheme="minorEastAsia" w:eastAsiaTheme="minorEastAsia"/>
          <w:sz w:val="24"/>
          <w:highlight w:val="none"/>
          <w:u w:val="single"/>
        </w:rPr>
        <w:t>；</w:t>
      </w:r>
    </w:p>
    <w:p>
      <w:pPr>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、评标委员会负责具体评标事务。</w:t>
      </w:r>
    </w:p>
    <w:p>
      <w:pPr>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十一、履约保证金：</w:t>
      </w:r>
    </w:p>
    <w:p>
      <w:pPr>
        <w:spacing w:line="360" w:lineRule="auto"/>
        <w:ind w:firstLine="480" w:firstLineChars="200"/>
        <w:rPr>
          <w:rFonts w:cs="宋体" w:asciiTheme="minorEastAsia" w:hAnsiTheme="minorEastAsia" w:eastAsiaTheme="minorEastAsia"/>
          <w:sz w:val="24"/>
          <w:szCs w:val="24"/>
          <w:highlight w:val="none"/>
        </w:rPr>
      </w:pPr>
      <w:r>
        <w:rPr>
          <w:rFonts w:cs="宋体" w:asciiTheme="minorEastAsia" w:hAnsiTheme="minorEastAsia" w:eastAsiaTheme="minorEastAsia"/>
          <w:sz w:val="24"/>
          <w:szCs w:val="24"/>
          <w:highlight w:val="none"/>
        </w:rPr>
        <w:t>1</w:t>
      </w:r>
      <w:r>
        <w:rPr>
          <w:rFonts w:hint="eastAsia" w:cs="宋体" w:asciiTheme="minorEastAsia" w:hAnsiTheme="minorEastAsia" w:eastAsiaTheme="minorEastAsia"/>
          <w:sz w:val="24"/>
          <w:szCs w:val="24"/>
          <w:highlight w:val="none"/>
        </w:rPr>
        <w:t>、本项目中标后的履约保证金为合同价的10%。</w:t>
      </w:r>
    </w:p>
    <w:p>
      <w:pPr>
        <w:spacing w:line="360" w:lineRule="auto"/>
        <w:ind w:firstLine="480" w:firstLineChars="200"/>
        <w:rPr>
          <w:rFonts w:asciiTheme="minorEastAsia" w:hAnsiTheme="minorEastAsia" w:eastAsiaTheme="minorEastAsia"/>
          <w:sz w:val="24"/>
          <w:szCs w:val="24"/>
          <w:highlight w:val="none"/>
        </w:rPr>
      </w:pPr>
      <w:r>
        <w:rPr>
          <w:rFonts w:cs="宋体" w:asciiTheme="minorEastAsia" w:hAnsiTheme="minorEastAsia" w:eastAsiaTheme="minorEastAsia"/>
          <w:sz w:val="24"/>
          <w:szCs w:val="24"/>
          <w:highlight w:val="none"/>
        </w:rPr>
        <w:t>2</w:t>
      </w:r>
      <w:r>
        <w:rPr>
          <w:rFonts w:hint="eastAsia" w:cs="宋体" w:asciiTheme="minorEastAsia" w:hAnsiTheme="minorEastAsia" w:eastAsiaTheme="minorEastAsia"/>
          <w:sz w:val="24"/>
          <w:szCs w:val="24"/>
          <w:highlight w:val="none"/>
        </w:rPr>
        <w:t>、中标供应商的履约保证金须在招标代理通知发中标通知书之日起</w:t>
      </w:r>
      <w:r>
        <w:rPr>
          <w:rFonts w:hint="eastAsia" w:cs="宋体" w:asciiTheme="minorEastAsia" w:hAnsiTheme="minorEastAsia" w:eastAsiaTheme="minorEastAsia"/>
          <w:sz w:val="24"/>
          <w:szCs w:val="24"/>
          <w:highlight w:val="none"/>
          <w:lang w:val="en-US" w:eastAsia="zh-CN"/>
        </w:rPr>
        <w:t>7</w:t>
      </w:r>
      <w:r>
        <w:rPr>
          <w:rFonts w:hint="eastAsia" w:cs="宋体" w:asciiTheme="minorEastAsia" w:hAnsiTheme="minorEastAsia" w:eastAsiaTheme="minorEastAsia"/>
          <w:sz w:val="24"/>
          <w:szCs w:val="24"/>
          <w:highlight w:val="none"/>
        </w:rPr>
        <w:t>个工作日内汇入招标人账户，中标供应商凭“中标通知书”和已经汇至招标人账上的“履约保证金”凭证，并在招标代理通知发中标通知书之日起</w:t>
      </w:r>
      <w:r>
        <w:rPr>
          <w:rFonts w:hint="eastAsia" w:cs="宋体" w:asciiTheme="minorEastAsia" w:hAnsiTheme="minorEastAsia" w:eastAsiaTheme="minorEastAsia"/>
          <w:sz w:val="24"/>
          <w:szCs w:val="24"/>
          <w:highlight w:val="none"/>
          <w:lang w:val="en-US" w:eastAsia="zh-CN"/>
        </w:rPr>
        <w:t>30</w:t>
      </w:r>
      <w:r>
        <w:rPr>
          <w:rFonts w:hint="eastAsia" w:cs="宋体" w:asciiTheme="minorEastAsia" w:hAnsiTheme="minorEastAsia" w:eastAsiaTheme="minorEastAsia"/>
          <w:sz w:val="24"/>
          <w:szCs w:val="24"/>
          <w:highlight w:val="none"/>
        </w:rPr>
        <w:t>日内与招标人签订合同。超期则视为自动放弃中标资格，没收投标保证金。</w:t>
      </w:r>
    </w:p>
    <w:p>
      <w:pPr>
        <w:spacing w:line="360" w:lineRule="auto"/>
        <w:ind w:firstLine="480" w:firstLineChars="200"/>
        <w:rPr>
          <w:rFonts w:asciiTheme="minorEastAsia" w:hAnsiTheme="minorEastAsia" w:eastAsiaTheme="minorEastAsia"/>
          <w:sz w:val="24"/>
          <w:szCs w:val="24"/>
          <w:highlight w:val="none"/>
        </w:rPr>
      </w:pPr>
      <w:r>
        <w:rPr>
          <w:rFonts w:cs="宋体" w:asciiTheme="minorEastAsia" w:hAnsiTheme="minorEastAsia" w:eastAsiaTheme="minorEastAsia"/>
          <w:sz w:val="24"/>
          <w:szCs w:val="24"/>
          <w:highlight w:val="none"/>
        </w:rPr>
        <w:t>3</w:t>
      </w:r>
      <w:r>
        <w:rPr>
          <w:rFonts w:hint="eastAsia" w:cs="宋体" w:asciiTheme="minorEastAsia" w:hAnsiTheme="minorEastAsia" w:eastAsiaTheme="minorEastAsia"/>
          <w:sz w:val="24"/>
          <w:szCs w:val="24"/>
          <w:highlight w:val="none"/>
        </w:rPr>
        <w:t>、中标供应商在按要求保质保量的完成该项目合同并通过验收后，招标人凭中标供应商提交的</w:t>
      </w:r>
      <w:r>
        <w:rPr>
          <w:rFonts w:hint="eastAsia" w:cs="宋体" w:asciiTheme="minorEastAsia" w:hAnsiTheme="minorEastAsia" w:eastAsiaTheme="minorEastAsia"/>
          <w:sz w:val="24"/>
          <w:szCs w:val="24"/>
          <w:highlight w:val="none"/>
          <w:lang w:eastAsia="zh-CN"/>
        </w:rPr>
        <w:t>收据</w:t>
      </w:r>
      <w:r>
        <w:rPr>
          <w:rFonts w:hint="eastAsia" w:cs="宋体" w:asciiTheme="minorEastAsia" w:hAnsiTheme="minorEastAsia" w:eastAsiaTheme="minorEastAsia"/>
          <w:sz w:val="24"/>
          <w:szCs w:val="24"/>
          <w:highlight w:val="none"/>
        </w:rPr>
        <w:t>，一次性退还该合同项目的履约保证金。</w:t>
      </w:r>
    </w:p>
    <w:p>
      <w:pPr>
        <w:spacing w:line="360" w:lineRule="auto"/>
        <w:ind w:firstLine="480" w:firstLineChars="200"/>
        <w:rPr>
          <w:rFonts w:asciiTheme="minorEastAsia" w:hAnsiTheme="minorEastAsia" w:eastAsiaTheme="minorEastAsia"/>
          <w:sz w:val="24"/>
          <w:szCs w:val="24"/>
          <w:highlight w:val="none"/>
        </w:rPr>
      </w:pPr>
      <w:r>
        <w:rPr>
          <w:rFonts w:cs="宋体" w:asciiTheme="minorEastAsia" w:hAnsiTheme="minorEastAsia" w:eastAsiaTheme="minorEastAsia"/>
          <w:sz w:val="24"/>
          <w:szCs w:val="24"/>
          <w:highlight w:val="none"/>
        </w:rPr>
        <w:t>4</w:t>
      </w:r>
      <w:r>
        <w:rPr>
          <w:rFonts w:hint="eastAsia" w:cs="宋体" w:asciiTheme="minorEastAsia" w:hAnsiTheme="minorEastAsia" w:eastAsiaTheme="minorEastAsia"/>
          <w:sz w:val="24"/>
          <w:szCs w:val="24"/>
          <w:highlight w:val="none"/>
        </w:rPr>
        <w:t>、</w:t>
      </w:r>
      <w:r>
        <w:rPr>
          <w:rFonts w:hint="eastAsia" w:cs="宋体" w:asciiTheme="minorEastAsia" w:hAnsiTheme="minorEastAsia" w:eastAsiaTheme="minorEastAsia"/>
          <w:sz w:val="24"/>
          <w:szCs w:val="24"/>
          <w:highlight w:val="none"/>
          <w:lang w:val="en-US" w:eastAsia="zh-CN"/>
        </w:rPr>
        <w:t>气瓶漏检、不检直接出具检测报告、出具报告不符合招标要求等由于</w:t>
      </w:r>
      <w:r>
        <w:rPr>
          <w:rFonts w:hint="eastAsia" w:cs="宋体" w:asciiTheme="minorEastAsia" w:hAnsiTheme="minorEastAsia" w:eastAsiaTheme="minorEastAsia"/>
          <w:sz w:val="24"/>
          <w:szCs w:val="24"/>
          <w:highlight w:val="none"/>
        </w:rPr>
        <w:t>中标供应商原因，在签订合同后出现不按合同履行的情况，招标人有权将履约保证金作为违约金，全额不予退还，同时招标人亦有权终止合同，中标供应商还须承担相应的法律赔偿责任。</w:t>
      </w:r>
    </w:p>
    <w:p>
      <w:pPr>
        <w:spacing w:line="420" w:lineRule="exact"/>
        <w:ind w:firstLine="487" w:firstLineChars="202"/>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十</w:t>
      </w:r>
      <w:r>
        <w:rPr>
          <w:rFonts w:hint="eastAsia" w:asciiTheme="minorEastAsia" w:hAnsiTheme="minorEastAsia" w:eastAsiaTheme="minorEastAsia"/>
          <w:b/>
          <w:sz w:val="24"/>
          <w:szCs w:val="24"/>
          <w:highlight w:val="none"/>
          <w:lang w:val="en-US" w:eastAsia="zh-CN"/>
        </w:rPr>
        <w:t>二</w:t>
      </w:r>
      <w:r>
        <w:rPr>
          <w:rFonts w:hint="eastAsia" w:asciiTheme="minorEastAsia" w:hAnsiTheme="minorEastAsia" w:eastAsiaTheme="minorEastAsia"/>
          <w:b/>
          <w:sz w:val="24"/>
          <w:szCs w:val="24"/>
          <w:highlight w:val="none"/>
        </w:rPr>
        <w:t>、投标</w:t>
      </w:r>
      <w:r>
        <w:rPr>
          <w:rFonts w:asciiTheme="minorEastAsia" w:hAnsiTheme="minorEastAsia" w:eastAsiaTheme="minorEastAsia"/>
          <w:b/>
          <w:sz w:val="24"/>
          <w:szCs w:val="24"/>
          <w:highlight w:val="none"/>
        </w:rPr>
        <w:t>联系方式</w:t>
      </w:r>
      <w:r>
        <w:rPr>
          <w:rFonts w:hint="eastAsia" w:asciiTheme="minorEastAsia" w:hAnsiTheme="minorEastAsia" w:eastAsiaTheme="minorEastAsia"/>
          <w:b/>
          <w:sz w:val="24"/>
          <w:szCs w:val="24"/>
          <w:highlight w:val="none"/>
        </w:rPr>
        <w:t>：</w:t>
      </w:r>
    </w:p>
    <w:p>
      <w:pPr>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1、招标人</w:t>
      </w:r>
    </w:p>
    <w:p>
      <w:pPr>
        <w:spacing w:line="420" w:lineRule="exact"/>
        <w:ind w:firstLine="849" w:firstLineChars="354"/>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rPr>
        <w:t>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eastAsia="zh-CN"/>
        </w:rPr>
        <w:t>南通市保安服务有限公司</w:t>
      </w:r>
    </w:p>
    <w:p>
      <w:pPr>
        <w:spacing w:line="420" w:lineRule="exact"/>
        <w:ind w:firstLine="849" w:firstLineChars="354"/>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地址</w:t>
      </w:r>
      <w:r>
        <w:rPr>
          <w:rFonts w:hint="eastAsia" w:asciiTheme="minorEastAsia" w:hAnsiTheme="minorEastAsia" w:eastAsiaTheme="minorEastAsia"/>
          <w:sz w:val="24"/>
          <w:szCs w:val="24"/>
          <w:highlight w:val="none"/>
        </w:rPr>
        <w:t>：南通市崇川区工农路221号</w:t>
      </w:r>
    </w:p>
    <w:p>
      <w:pPr>
        <w:pStyle w:val="21"/>
        <w:ind w:firstLine="849" w:firstLineChars="354"/>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联系人：徐雷</w:t>
      </w:r>
    </w:p>
    <w:p>
      <w:pPr>
        <w:pStyle w:val="21"/>
        <w:ind w:firstLine="849" w:firstLineChars="354"/>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联系电话：0513-80219010/83533190</w:t>
      </w:r>
    </w:p>
    <w:p>
      <w:pPr>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、招标代理机构</w:t>
      </w:r>
    </w:p>
    <w:p>
      <w:pPr>
        <w:spacing w:line="420" w:lineRule="exact"/>
        <w:ind w:firstLine="849" w:firstLineChars="354"/>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单位</w:t>
      </w:r>
      <w:r>
        <w:rPr>
          <w:rFonts w:hint="eastAsia" w:asciiTheme="minorEastAsia" w:hAnsiTheme="minorEastAsia" w:eastAsiaTheme="minorEastAsia"/>
          <w:sz w:val="24"/>
          <w:szCs w:val="24"/>
          <w:highlight w:val="none"/>
        </w:rPr>
        <w:t>：中诚智信工程咨询集团股份有限公司</w:t>
      </w:r>
    </w:p>
    <w:p>
      <w:pPr>
        <w:spacing w:line="420" w:lineRule="exact"/>
        <w:ind w:firstLine="849" w:firstLineChars="354"/>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地址：南通市崇川区恒隆国际B座</w:t>
      </w:r>
      <w:r>
        <w:rPr>
          <w:rFonts w:hint="eastAsia" w:asciiTheme="minorEastAsia" w:hAnsiTheme="minorEastAsia" w:eastAsiaTheme="minorEastAsia"/>
          <w:sz w:val="24"/>
          <w:szCs w:val="24"/>
          <w:highlight w:val="none"/>
        </w:rPr>
        <w:t>801</w:t>
      </w:r>
      <w:r>
        <w:rPr>
          <w:rFonts w:asciiTheme="minorEastAsia" w:hAnsiTheme="minorEastAsia" w:eastAsiaTheme="minorEastAsia"/>
          <w:sz w:val="24"/>
          <w:szCs w:val="24"/>
          <w:highlight w:val="none"/>
        </w:rPr>
        <w:t>室</w:t>
      </w:r>
    </w:p>
    <w:p>
      <w:pPr>
        <w:spacing w:line="420" w:lineRule="exact"/>
        <w:ind w:firstLine="849" w:firstLineChars="354"/>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联系人：</w:t>
      </w:r>
      <w:r>
        <w:rPr>
          <w:rFonts w:hint="eastAsia" w:asciiTheme="minorEastAsia" w:hAnsiTheme="minorEastAsia" w:eastAsiaTheme="minorEastAsia"/>
          <w:sz w:val="24"/>
          <w:szCs w:val="24"/>
          <w:highlight w:val="none"/>
        </w:rPr>
        <w:t>单舒</w:t>
      </w:r>
    </w:p>
    <w:p>
      <w:pPr>
        <w:spacing w:line="420" w:lineRule="exact"/>
        <w:ind w:firstLine="849" w:firstLineChars="354"/>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联系电话：</w:t>
      </w:r>
      <w:r>
        <w:rPr>
          <w:rFonts w:hint="eastAsia" w:asciiTheme="minorEastAsia" w:hAnsiTheme="minorEastAsia" w:eastAsiaTheme="minorEastAsia"/>
          <w:sz w:val="24"/>
          <w:szCs w:val="24"/>
          <w:highlight w:val="none"/>
        </w:rPr>
        <w:t>13328094029</w:t>
      </w:r>
    </w:p>
    <w:p>
      <w:pPr>
        <w:spacing w:line="420" w:lineRule="exact"/>
        <w:ind w:firstLine="849" w:firstLineChars="354"/>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邮箱：</w:t>
      </w:r>
      <w:r>
        <w:rPr>
          <w:rFonts w:hint="eastAsia" w:asciiTheme="minorEastAsia" w:hAnsiTheme="minorEastAsia" w:eastAsiaTheme="minorEastAsia"/>
          <w:sz w:val="24"/>
          <w:szCs w:val="24"/>
          <w:highlight w:val="none"/>
        </w:rPr>
        <w:t>1010491310@qq.com</w:t>
      </w:r>
    </w:p>
    <w:bookmarkEnd w:id="10"/>
    <w:p>
      <w:pPr>
        <w:spacing w:line="420" w:lineRule="exact"/>
        <w:ind w:firstLine="849" w:firstLineChars="354"/>
        <w:rPr>
          <w:rFonts w:asciiTheme="minorEastAsia" w:hAnsiTheme="minorEastAsia" w:eastAsiaTheme="minorEastAsia"/>
          <w:sz w:val="24"/>
          <w:szCs w:val="24"/>
          <w:highlight w:val="none"/>
        </w:rPr>
      </w:pPr>
      <w:bookmarkStart w:id="1" w:name="_Toc363573854"/>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highlight w:val="none"/>
        </w:rPr>
      </w:pPr>
      <w:r>
        <w:rPr>
          <w:rFonts w:hint="eastAsia" w:asciiTheme="minorEastAsia" w:hAnsiTheme="minorEastAsia" w:eastAsiaTheme="minorEastAsia"/>
          <w:b/>
          <w:w w:val="80"/>
          <w:sz w:val="32"/>
          <w:szCs w:val="32"/>
          <w:highlight w:val="none"/>
        </w:rPr>
        <w:t>第二章  投标人须知</w:t>
      </w:r>
      <w:bookmarkEnd w:id="1"/>
    </w:p>
    <w:p>
      <w:pPr>
        <w:snapToGrid w:val="0"/>
        <w:spacing w:line="420" w:lineRule="exact"/>
        <w:ind w:firstLine="482" w:firstLineChars="200"/>
        <w:outlineLvl w:val="1"/>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一、</w:t>
      </w:r>
      <w:r>
        <w:rPr>
          <w:rFonts w:hint="eastAsia" w:asciiTheme="minorEastAsia" w:hAnsiTheme="minorEastAsia" w:eastAsiaTheme="minorEastAsia"/>
          <w:b/>
          <w:bCs/>
          <w:sz w:val="24"/>
          <w:szCs w:val="24"/>
          <w:highlight w:val="none"/>
        </w:rPr>
        <w:t>说明</w:t>
      </w:r>
    </w:p>
    <w:p>
      <w:pPr>
        <w:snapToGrid w:val="0"/>
        <w:spacing w:line="420" w:lineRule="exact"/>
        <w:ind w:firstLine="480" w:firstLineChars="200"/>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1、本招标文件仅适用于本代理机构组织的公开招标活动。</w:t>
      </w:r>
    </w:p>
    <w:p>
      <w:pPr>
        <w:snapToGrid w:val="0"/>
        <w:spacing w:line="420" w:lineRule="exact"/>
        <w:ind w:firstLine="480" w:firstLineChars="200"/>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2、公开招标活动及因本次招标产生的合同受中国法律制约和保护。</w:t>
      </w:r>
    </w:p>
    <w:p>
      <w:pPr>
        <w:snapToGrid w:val="0"/>
        <w:spacing w:line="420" w:lineRule="exact"/>
        <w:ind w:firstLine="480" w:firstLineChars="200"/>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3、招标文件的解释权属于</w:t>
      </w:r>
      <w:r>
        <w:rPr>
          <w:rFonts w:hint="eastAsia" w:asciiTheme="minorEastAsia" w:hAnsiTheme="minorEastAsia" w:eastAsiaTheme="minorEastAsia"/>
          <w:bCs/>
          <w:sz w:val="24"/>
          <w:szCs w:val="24"/>
          <w:highlight w:val="none"/>
          <w:lang w:val="en-US" w:eastAsia="zh-CN"/>
        </w:rPr>
        <w:t>招标人</w:t>
      </w:r>
      <w:r>
        <w:rPr>
          <w:rFonts w:hint="eastAsia" w:asciiTheme="minorEastAsia" w:hAnsiTheme="minorEastAsia" w:eastAsiaTheme="minorEastAsia"/>
          <w:bCs/>
          <w:sz w:val="24"/>
          <w:szCs w:val="24"/>
          <w:highlight w:val="none"/>
        </w:rPr>
        <w:t>。</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投标人在知道或应当知道本项目招标公告及招标文件中的所有内容：如内容或页码短缺、资格要求和技术参数出现倾向性或排他性等表述的，应在本项目招标公告及招标文件发布后提出询问或是在发布之日后的7个工作日内以书面实名制形式提出质疑；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5、投标人应认真审阅本招标文件中的所有事项、格式、条款和规范要求等，如果投标人没有按照招标文件要求提交投标文件，或者投标文件没有对招标文件做出实质性响应，将被拒绝参与投标。</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6、招标文件项目需求提供的可能涉及到的工艺、材料、设备、商标、样本、技术规范、参数规格、品牌等，仅作为说明并没有限制性，投标人在投标中可以选用替代标准，但这些替代标准要优于或等于项目需求技术规格中要求的标准，以满足招标人的需要。</w:t>
      </w:r>
    </w:p>
    <w:p>
      <w:pPr>
        <w:snapToGrid w:val="0"/>
        <w:spacing w:line="420" w:lineRule="exact"/>
        <w:ind w:firstLine="496" w:firstLineChars="206"/>
        <w:outlineLvl w:val="1"/>
        <w:rPr>
          <w:rFonts w:asciiTheme="minorEastAsia" w:hAnsiTheme="minorEastAsia" w:eastAsiaTheme="minorEastAsia"/>
          <w:sz w:val="24"/>
          <w:szCs w:val="24"/>
          <w:highlight w:val="none"/>
        </w:rPr>
      </w:pPr>
      <w:r>
        <w:rPr>
          <w:rFonts w:hint="eastAsia" w:asciiTheme="minorEastAsia" w:hAnsiTheme="minorEastAsia" w:eastAsiaTheme="minorEastAsia"/>
          <w:b/>
          <w:bCs/>
          <w:sz w:val="24"/>
          <w:szCs w:val="24"/>
          <w:highlight w:val="none"/>
        </w:rPr>
        <w:t>二、招标文件的获取</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有意愿参与本项目投标响应的单位，请于本公告日起至开标截止前，到</w:t>
      </w:r>
      <w:r>
        <w:rPr>
          <w:rFonts w:hint="eastAsia" w:asciiTheme="minorEastAsia" w:hAnsiTheme="minorEastAsia" w:eastAsiaTheme="minorEastAsia"/>
          <w:kern w:val="0"/>
          <w:sz w:val="24"/>
          <w:szCs w:val="24"/>
          <w:highlight w:val="none"/>
        </w:rPr>
        <w:t>“</w:t>
      </w:r>
      <w:r>
        <w:rPr>
          <w:rFonts w:hint="eastAsia" w:asciiTheme="minorEastAsia" w:hAnsiTheme="minorEastAsia" w:eastAsiaTheme="minorEastAsia"/>
          <w:kern w:val="0"/>
          <w:sz w:val="24"/>
          <w:szCs w:val="24"/>
          <w:highlight w:val="none"/>
          <w:lang w:eastAsia="zh-CN"/>
        </w:rPr>
        <w:t>南通市保安服务有限公司官网</w:t>
      </w:r>
      <w:r>
        <w:rPr>
          <w:rFonts w:hint="eastAsia" w:asciiTheme="minorEastAsia" w:hAnsiTheme="minorEastAsia" w:eastAsiaTheme="minorEastAsia"/>
          <w:kern w:val="0"/>
          <w:sz w:val="24"/>
          <w:szCs w:val="24"/>
          <w:highlight w:val="none"/>
        </w:rPr>
        <w:t>”栏</w:t>
      </w:r>
      <w:r>
        <w:rPr>
          <w:rFonts w:hint="eastAsia" w:asciiTheme="minorEastAsia" w:hAnsiTheme="minorEastAsia" w:eastAsiaTheme="minorEastAsia"/>
          <w:sz w:val="24"/>
          <w:szCs w:val="24"/>
          <w:highlight w:val="none"/>
        </w:rPr>
        <w:t>下载本项目的招标文件。</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三、招标文件的补充说明、澄清、修改、答疑</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1、代理机构有权对发出的招标文件进行必要的补充说明、澄清或修改。</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2、凡涉及招标文件的补充说明、澄清或修改，均以代理机构在</w:t>
      </w:r>
      <w:r>
        <w:rPr>
          <w:rFonts w:hint="eastAsia" w:asciiTheme="minorEastAsia" w:hAnsiTheme="minorEastAsia" w:eastAsiaTheme="minorEastAsia"/>
          <w:kern w:val="0"/>
          <w:sz w:val="24"/>
          <w:szCs w:val="24"/>
          <w:highlight w:val="none"/>
        </w:rPr>
        <w:t>“</w:t>
      </w:r>
      <w:r>
        <w:rPr>
          <w:rFonts w:hint="eastAsia" w:asciiTheme="minorEastAsia" w:hAnsiTheme="minorEastAsia" w:eastAsiaTheme="minorEastAsia"/>
          <w:kern w:val="0"/>
          <w:sz w:val="24"/>
          <w:szCs w:val="24"/>
          <w:highlight w:val="none"/>
          <w:lang w:eastAsia="zh-CN"/>
        </w:rPr>
        <w:t>南通市保安服务有限公司官网</w:t>
      </w:r>
      <w:r>
        <w:rPr>
          <w:rFonts w:hint="eastAsia" w:asciiTheme="minorEastAsia" w:hAnsiTheme="minorEastAsia" w:eastAsiaTheme="minorEastAsia"/>
          <w:kern w:val="0"/>
          <w:sz w:val="24"/>
          <w:szCs w:val="24"/>
          <w:highlight w:val="none"/>
        </w:rPr>
        <w:t>”栏</w:t>
      </w:r>
      <w:r>
        <w:rPr>
          <w:rFonts w:hint="eastAsia" w:asciiTheme="minorEastAsia" w:hAnsiTheme="minorEastAsia" w:eastAsiaTheme="minorEastAsia"/>
          <w:sz w:val="24"/>
          <w:szCs w:val="24"/>
          <w:highlight w:val="none"/>
        </w:rPr>
        <w:t>发布的信息为准。</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3、代理机构对招标文件的补充说明、澄清或修改，将构成招标文件的一部分，对投标人具有约束力。</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4、补充说明、澄清或修改的内容可能影响到响应文件编制的，代理机构将在提交投标文件截止期15日前，发布补充说明、澄清或修改的公告，不足15日的应当顺延首次提交投标文件截止之日。</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5、除非代理机构以书面的形式对招标文件作出澄清、修改及补充，投标人对涉及招标文件的任何推论、理解和结论所造成的结果，均由投标人自负。</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6、招标采购单位视情组织答疑会。如有产生答疑且对招标文件内容有修改，代理机构将按照本须知有关规定，以补充通知（公告）的方式发出。</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7、招标项目涉及到的现场勘察</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7.1、招标文件所提供的项目相关数据仅做参考，投标人必须在投标文件递交日前自行对有关现场和周围环境进行勘察，以获取编制投标文件所需的信息。勘察现场如有费用产生，由投标人自行承担。</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7.2、招标人向投标人提供有关现场的资料和数据，是招标人现有的并认为能使投标人可利用的资料。招标人对投标人由此而做出的推论、理解和结论概不负责。</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7.3、潜在投标人为投标而勘察项目现场，但不得因此使招标人承担有关的责任和蒙受损失。投标人须承担勘察现场而带来的一切责任及风险。</w:t>
      </w:r>
    </w:p>
    <w:p>
      <w:pPr>
        <w:snapToGrid w:val="0"/>
        <w:spacing w:line="42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sz w:val="24"/>
          <w:szCs w:val="24"/>
          <w:highlight w:val="none"/>
        </w:rPr>
        <w:t>7.4、投标人在现场勘察时，熟悉现场及周围交通道路等情况，以获得一切可能影响投标响应内容的直接资料。投标人中标后，不得以不完全了解现场情况为理由而向招标人提出任何索赔的要求，对此招标人不承担任何责任，且不作任何答复。</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w:t>
      </w:r>
      <w:r>
        <w:rPr>
          <w:rFonts w:asciiTheme="minorEastAsia" w:hAnsiTheme="minorEastAsia" w:eastAsiaTheme="minorEastAsia"/>
          <w:b/>
          <w:sz w:val="24"/>
          <w:szCs w:val="24"/>
          <w:highlight w:val="none"/>
        </w:rPr>
        <w:t>、投标文件的</w:t>
      </w:r>
      <w:r>
        <w:rPr>
          <w:rFonts w:hint="eastAsia" w:asciiTheme="minorEastAsia" w:hAnsiTheme="minorEastAsia" w:eastAsiaTheme="minorEastAsia"/>
          <w:b/>
          <w:sz w:val="24"/>
          <w:szCs w:val="24"/>
          <w:highlight w:val="none"/>
        </w:rPr>
        <w:t>组成</w:t>
      </w:r>
      <w:r>
        <w:rPr>
          <w:rFonts w:asciiTheme="minorEastAsia" w:hAnsiTheme="minorEastAsia" w:eastAsiaTheme="minorEastAsia"/>
          <w:b/>
          <w:sz w:val="24"/>
          <w:szCs w:val="24"/>
          <w:highlight w:val="none"/>
        </w:rPr>
        <w:t>及装订</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asciiTheme="minorEastAsia" w:hAnsiTheme="minorEastAsia" w:eastAsiaTheme="minorEastAsia"/>
          <w:sz w:val="24"/>
          <w:szCs w:val="24"/>
          <w:highlight w:val="none"/>
        </w:rPr>
        <w:t>投标文件</w:t>
      </w:r>
      <w:r>
        <w:rPr>
          <w:rFonts w:hint="eastAsia" w:asciiTheme="minorEastAsia" w:hAnsiTheme="minorEastAsia" w:eastAsiaTheme="minorEastAsia"/>
          <w:sz w:val="24"/>
          <w:szCs w:val="24"/>
          <w:highlight w:val="none"/>
        </w:rPr>
        <w:t>由“A</w:t>
      </w:r>
      <w:r>
        <w:rPr>
          <w:rFonts w:asciiTheme="minorEastAsia" w:hAnsiTheme="minorEastAsia" w:eastAsiaTheme="minorEastAsia"/>
          <w:sz w:val="24"/>
          <w:szCs w:val="24"/>
          <w:highlight w:val="none"/>
        </w:rPr>
        <w:t>资格后审材料</w:t>
      </w:r>
      <w:r>
        <w:rPr>
          <w:rFonts w:hint="eastAsia" w:asciiTheme="minorEastAsia" w:hAnsiTheme="minorEastAsia" w:eastAsiaTheme="minorEastAsia"/>
          <w:sz w:val="24"/>
          <w:szCs w:val="24"/>
          <w:highlight w:val="none"/>
        </w:rPr>
        <w:t>文件”、“B价格标响应文件”共</w:t>
      </w:r>
      <w:r>
        <w:rPr>
          <w:rFonts w:asciiTheme="minorEastAsia" w:hAnsiTheme="minorEastAsia" w:eastAsiaTheme="minorEastAsia"/>
          <w:sz w:val="24"/>
          <w:szCs w:val="24"/>
          <w:highlight w:val="none"/>
        </w:rPr>
        <w:t>2部分组成</w:t>
      </w:r>
      <w:r>
        <w:rPr>
          <w:rFonts w:hint="eastAsia" w:asciiTheme="minorEastAsia" w:hAnsiTheme="minorEastAsia" w:eastAsiaTheme="minorEastAsia"/>
          <w:sz w:val="24"/>
          <w:szCs w:val="24"/>
          <w:highlight w:val="none"/>
        </w:rPr>
        <w:t>（以下由文件前缀序号代称）</w:t>
      </w:r>
      <w:r>
        <w:rPr>
          <w:rFonts w:asciiTheme="minorEastAsia" w:hAnsiTheme="minorEastAsia" w:eastAsiaTheme="minorEastAsia"/>
          <w:sz w:val="24"/>
          <w:szCs w:val="24"/>
          <w:highlight w:val="none"/>
        </w:rPr>
        <w:t>。</w:t>
      </w:r>
    </w:p>
    <w:p>
      <w:pPr>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2、投标</w:t>
      </w:r>
      <w:r>
        <w:rPr>
          <w:rFonts w:hint="eastAsia" w:asciiTheme="minorEastAsia" w:hAnsiTheme="minorEastAsia" w:eastAsiaTheme="minorEastAsia"/>
          <w:kern w:val="0"/>
          <w:sz w:val="24"/>
          <w:szCs w:val="24"/>
          <w:highlight w:val="none"/>
        </w:rPr>
        <w:t>人</w:t>
      </w:r>
      <w:r>
        <w:rPr>
          <w:rFonts w:hint="eastAsia" w:asciiTheme="minorEastAsia" w:hAnsiTheme="minorEastAsia" w:eastAsiaTheme="minorEastAsia"/>
          <w:sz w:val="24"/>
          <w:szCs w:val="24"/>
          <w:highlight w:val="none"/>
        </w:rPr>
        <w:t>按项目需求结合第四章评审程序和方法并参照第八章投标文件的组成及相关格式编写投标文件。投标文件均需采用</w:t>
      </w:r>
      <w:r>
        <w:rPr>
          <w:rFonts w:asciiTheme="minorEastAsia" w:hAnsiTheme="minorEastAsia" w:eastAsiaTheme="minorEastAsia"/>
          <w:sz w:val="24"/>
          <w:szCs w:val="24"/>
          <w:highlight w:val="none"/>
        </w:rPr>
        <w:t>A4</w:t>
      </w:r>
      <w:r>
        <w:rPr>
          <w:rFonts w:hint="eastAsia" w:asciiTheme="minorEastAsia" w:hAnsiTheme="minorEastAsia" w:eastAsiaTheme="minorEastAsia"/>
          <w:sz w:val="24"/>
          <w:szCs w:val="24"/>
          <w:highlight w:val="none"/>
        </w:rPr>
        <w:t>纸（图纸等除外），投标文件不得行间插字、涂改、增删，如修改错漏处，须经签署投标文件的投标人法人代表或其委托的代理人（以下称被委托受权人）签字（或盖章）并加盖公章。</w:t>
      </w:r>
    </w:p>
    <w:p>
      <w:pPr>
        <w:snapToGrid w:val="0"/>
        <w:spacing w:line="420" w:lineRule="exact"/>
        <w:ind w:firstLine="480" w:firstLineChars="200"/>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3、价格标响应文件中的所有报价表，必须装订成册。</w:t>
      </w:r>
    </w:p>
    <w:p>
      <w:pPr>
        <w:snapToGrid w:val="0"/>
        <w:spacing w:line="420" w:lineRule="exact"/>
        <w:ind w:firstLine="482" w:firstLineChars="200"/>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五、投标文件的份数、签署和退还</w:t>
      </w:r>
    </w:p>
    <w:p>
      <w:pPr>
        <w:snapToGrid w:val="0"/>
        <w:spacing w:line="420" w:lineRule="exact"/>
        <w:ind w:firstLine="480" w:firstLineChars="200"/>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1、投标文件均为</w:t>
      </w:r>
      <w:r>
        <w:rPr>
          <w:rFonts w:hint="eastAsia" w:asciiTheme="minorEastAsia" w:hAnsiTheme="minorEastAsia" w:eastAsiaTheme="minorEastAsia"/>
          <w:b/>
          <w:sz w:val="24"/>
          <w:szCs w:val="24"/>
          <w:highlight w:val="none"/>
          <w:u w:val="thick" w:color="FF0000"/>
        </w:rPr>
        <w:t>一份“正本”和二份“副本”</w:t>
      </w:r>
      <w:r>
        <w:rPr>
          <w:rFonts w:hint="eastAsia" w:asciiTheme="minorEastAsia" w:hAnsiTheme="minorEastAsia" w:eastAsiaTheme="minorEastAsia"/>
          <w:b/>
          <w:sz w:val="24"/>
          <w:szCs w:val="24"/>
          <w:highlight w:val="none"/>
        </w:rPr>
        <w:t>。</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2、在每一份投标文件上要明确标注项目名称、投标文件各自对应的名称、投标人全称、</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正本</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副本</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字样，“正本”和“副本”若有差异，概以“正本”为准。</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3、投标文件中的所有“正本”，须为打印的，其正文内容由法定代表人或被委托受权人签字（或盖章）并加盖公章，“副本”可为“正本”的复印件。</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4、开标程序顺利进行后，所有投标文件都将作为档案保存，不论中标与否，代理机构均不退回（未拆封的除外）。</w:t>
      </w:r>
    </w:p>
    <w:p>
      <w:pPr>
        <w:snapToGrid w:val="0"/>
        <w:spacing w:line="420" w:lineRule="exact"/>
        <w:ind w:firstLine="472" w:firstLineChars="196"/>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六、投标文件的密封及标记</w:t>
      </w:r>
    </w:p>
    <w:p>
      <w:pPr>
        <w:snapToGrid w:val="0"/>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、投标人须将本项目投标文件“【A】【B】”</w:t>
      </w:r>
      <w:r>
        <w:rPr>
          <w:rFonts w:hint="eastAsia" w:asciiTheme="minorEastAsia" w:hAnsiTheme="minorEastAsia" w:eastAsiaTheme="minorEastAsia"/>
          <w:b/>
          <w:sz w:val="24"/>
          <w:szCs w:val="24"/>
          <w:highlight w:val="none"/>
        </w:rPr>
        <w:t>分别单独密封</w:t>
      </w:r>
      <w:r>
        <w:rPr>
          <w:rFonts w:hint="eastAsia" w:asciiTheme="minorEastAsia" w:hAnsiTheme="minorEastAsia" w:eastAsiaTheme="minorEastAsia"/>
          <w:sz w:val="24"/>
          <w:szCs w:val="24"/>
          <w:highlight w:val="none"/>
        </w:rPr>
        <w:t>。</w:t>
      </w:r>
    </w:p>
    <w:p>
      <w:pPr>
        <w:snapToGrid w:val="0"/>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、密封后，应在每一密封的投标文件上明确标注投标项目名称、投标文件各自对应的名称、投标人全称及日期，同时加盖投标人公章。</w:t>
      </w:r>
    </w:p>
    <w:p>
      <w:pPr>
        <w:snapToGrid w:val="0"/>
        <w:spacing w:line="420" w:lineRule="exact"/>
        <w:ind w:firstLine="482" w:firstLineChars="200"/>
        <w:rPr>
          <w:rFonts w:asciiTheme="minorEastAsia" w:hAnsiTheme="minorEastAsia" w:eastAsiaTheme="minorEastAsia"/>
          <w:sz w:val="24"/>
          <w:szCs w:val="24"/>
          <w:highlight w:val="none"/>
        </w:rPr>
      </w:pPr>
      <w:r>
        <w:rPr>
          <w:rFonts w:hint="eastAsia" w:asciiTheme="minorEastAsia" w:hAnsiTheme="minorEastAsia" w:eastAsiaTheme="minorEastAsia"/>
          <w:b/>
          <w:sz w:val="24"/>
          <w:szCs w:val="24"/>
          <w:highlight w:val="none"/>
        </w:rPr>
        <w:t>特别提醒：</w:t>
      </w:r>
      <w:r>
        <w:rPr>
          <w:rFonts w:hint="eastAsia" w:asciiTheme="minorEastAsia" w:hAnsiTheme="minorEastAsia" w:eastAsiaTheme="minorEastAsia"/>
          <w:sz w:val="24"/>
          <w:szCs w:val="24"/>
          <w:highlight w:val="none"/>
        </w:rPr>
        <w:t>投标文件中的【A】的“正本”或“副本”中，均不得含有任何【</w:t>
      </w:r>
      <w:r>
        <w:rPr>
          <w:rFonts w:asciiTheme="minorEastAsia" w:hAnsiTheme="minorEastAsia" w:eastAsiaTheme="minorEastAsia"/>
          <w:sz w:val="24"/>
          <w:szCs w:val="24"/>
          <w:highlight w:val="none"/>
        </w:rPr>
        <w:t>B</w:t>
      </w:r>
      <w:r>
        <w:rPr>
          <w:rFonts w:hint="eastAsia" w:asciiTheme="minorEastAsia" w:hAnsiTheme="minorEastAsia" w:eastAsiaTheme="minorEastAsia"/>
          <w:sz w:val="24"/>
          <w:szCs w:val="24"/>
          <w:highlight w:val="none"/>
        </w:rPr>
        <w:t>】中的报价表（报价单）的内容，否则作废标处理。</w:t>
      </w:r>
    </w:p>
    <w:p>
      <w:pPr>
        <w:snapToGrid w:val="0"/>
        <w:spacing w:line="420" w:lineRule="exact"/>
        <w:ind w:firstLine="472" w:firstLineChars="196"/>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七、投标文件内容</w:t>
      </w:r>
    </w:p>
    <w:p>
      <w:pPr>
        <w:adjustRightInd w:val="0"/>
        <w:snapToGrid w:val="0"/>
        <w:spacing w:line="420" w:lineRule="exact"/>
        <w:ind w:firstLine="482" w:firstLineChars="200"/>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A、资格后审材料文件</w:t>
      </w:r>
      <w:r>
        <w:rPr>
          <w:rFonts w:hint="eastAsia" w:asciiTheme="minorEastAsia" w:hAnsiTheme="minorEastAsia" w:eastAsiaTheme="minorEastAsia"/>
          <w:sz w:val="24"/>
          <w:szCs w:val="24"/>
          <w:highlight w:val="none"/>
        </w:rPr>
        <w:t>（格式参见第八章）（一个密封包，含一正二副文件）</w:t>
      </w:r>
      <w:r>
        <w:rPr>
          <w:rFonts w:hint="eastAsia" w:asciiTheme="minorEastAsia" w:hAnsiTheme="minorEastAsia" w:eastAsiaTheme="minorEastAsia"/>
          <w:b/>
          <w:sz w:val="24"/>
          <w:szCs w:val="24"/>
          <w:highlight w:val="none"/>
        </w:rPr>
        <w:t>：</w:t>
      </w:r>
    </w:p>
    <w:p>
      <w:pPr>
        <w:snapToGrid w:val="0"/>
        <w:spacing w:line="420" w:lineRule="exact"/>
        <w:ind w:firstLine="491" w:firstLineChars="20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bookmarkStart w:id="2" w:name="_Hlk10361781"/>
    </w:p>
    <w:p>
      <w:pPr>
        <w:snapToGrid w:val="0"/>
        <w:spacing w:line="420" w:lineRule="exact"/>
        <w:ind w:firstLine="491" w:firstLineChars="20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1、投标人具有独立法人资格，提供有效的营业执照及税务登记证；或者是三证合一的营业执照件的复印件（须加盖投标人公章）。</w:t>
      </w:r>
    </w:p>
    <w:p>
      <w:pPr>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法定代表人参加投标的，必须提供本人身份证原件的复印件（须加盖公章）；非法定代表人参加的，必须提供法定代表人身份证明及其签名或盖章的授权委托书及被委托受权人身份证这3项材料的原件的复印件（须加盖公章）。</w:t>
      </w:r>
    </w:p>
    <w:p>
      <w:pPr>
        <w:pStyle w:val="21"/>
        <w:ind w:firstLine="480" w:firstLineChars="200"/>
        <w:rPr>
          <w:rFonts w:asciiTheme="minorEastAsia" w:hAnsiTheme="minorEastAsia" w:eastAsiaTheme="minorEastAsia"/>
          <w:color w:val="FF0000"/>
          <w:sz w:val="24"/>
          <w:szCs w:val="24"/>
          <w:highlight w:val="none"/>
        </w:rPr>
      </w:pPr>
      <w:r>
        <w:rPr>
          <w:rFonts w:hint="eastAsia" w:asciiTheme="minorEastAsia" w:hAnsiTheme="minorEastAsia" w:eastAsiaTheme="minorEastAsia"/>
          <w:sz w:val="24"/>
          <w:szCs w:val="24"/>
          <w:highlight w:val="none"/>
        </w:rPr>
        <w:t>3、</w:t>
      </w:r>
      <w:r>
        <w:rPr>
          <w:rFonts w:hint="eastAsia" w:ascii="宋体" w:hAnsi="宋体"/>
          <w:sz w:val="24"/>
          <w:szCs w:val="24"/>
          <w:highlight w:val="none"/>
          <w:lang w:eastAsia="zh-CN"/>
        </w:rPr>
        <w:t>投标</w:t>
      </w:r>
      <w:r>
        <w:rPr>
          <w:rFonts w:hint="eastAsia" w:ascii="宋体" w:hAnsi="宋体"/>
          <w:sz w:val="24"/>
          <w:szCs w:val="24"/>
          <w:highlight w:val="none"/>
          <w:lang w:val="en-US" w:eastAsia="zh-CN"/>
        </w:rPr>
        <w:t>人</w:t>
      </w:r>
      <w:r>
        <w:rPr>
          <w:rFonts w:hint="eastAsia" w:ascii="宋体" w:hAnsi="宋体"/>
          <w:sz w:val="24"/>
          <w:szCs w:val="24"/>
          <w:highlight w:val="none"/>
        </w:rPr>
        <w:t>应具备省级市场监督管理局核发</w:t>
      </w:r>
      <w:r>
        <w:rPr>
          <w:rFonts w:hint="eastAsia" w:ascii="宋体" w:hAnsi="宋体"/>
          <w:sz w:val="24"/>
          <w:szCs w:val="24"/>
          <w:highlight w:val="none"/>
          <w:lang w:eastAsia="zh-CN"/>
        </w:rPr>
        <w:t>的《中华人民共和国特种设备检验检测机构核准证》</w:t>
      </w:r>
      <w:r>
        <w:rPr>
          <w:rFonts w:hint="eastAsia" w:asciiTheme="minorEastAsia" w:hAnsiTheme="minorEastAsia" w:eastAsiaTheme="minorEastAsia"/>
          <w:sz w:val="24"/>
          <w:szCs w:val="24"/>
          <w:highlight w:val="none"/>
        </w:rPr>
        <w:t>的原件的复印件（须加盖公章）</w:t>
      </w:r>
      <w:r>
        <w:rPr>
          <w:rFonts w:hint="eastAsia" w:ascii="宋体" w:hAnsi="宋体"/>
          <w:sz w:val="24"/>
          <w:szCs w:val="24"/>
          <w:highlight w:val="none"/>
        </w:rPr>
        <w:t>（检测目录中需含PD1无缝气瓶</w:t>
      </w:r>
      <w:r>
        <w:rPr>
          <w:rFonts w:hint="eastAsia" w:ascii="宋体" w:hAnsi="宋体"/>
          <w:sz w:val="24"/>
          <w:szCs w:val="24"/>
          <w:highlight w:val="none"/>
          <w:lang w:eastAsia="zh-CN"/>
        </w:rPr>
        <w:t>或</w:t>
      </w:r>
      <w:r>
        <w:rPr>
          <w:rFonts w:hint="eastAsia" w:ascii="宋体" w:hAnsi="宋体"/>
          <w:sz w:val="24"/>
          <w:szCs w:val="24"/>
          <w:highlight w:val="none"/>
        </w:rPr>
        <w:t>PD2</w:t>
      </w:r>
      <w:r>
        <w:rPr>
          <w:rFonts w:hint="eastAsia" w:ascii="宋体" w:hAnsi="宋体"/>
          <w:sz w:val="24"/>
          <w:szCs w:val="24"/>
          <w:highlight w:val="none"/>
          <w:lang w:eastAsia="zh-CN"/>
        </w:rPr>
        <w:t>或</w:t>
      </w:r>
      <w:r>
        <w:rPr>
          <w:rFonts w:hint="eastAsia" w:ascii="宋体" w:hAnsi="宋体"/>
          <w:sz w:val="24"/>
          <w:szCs w:val="24"/>
          <w:highlight w:val="none"/>
          <w:lang w:val="en-US" w:eastAsia="zh-CN"/>
        </w:rPr>
        <w:t>RD6</w:t>
      </w:r>
      <w:r>
        <w:rPr>
          <w:rFonts w:hint="eastAsia" w:ascii="宋体" w:hAnsi="宋体"/>
          <w:sz w:val="24"/>
          <w:szCs w:val="24"/>
          <w:highlight w:val="none"/>
        </w:rPr>
        <w:t>焊接气瓶检测项目）和省级市场监督管理局核发的《</w:t>
      </w:r>
      <w:r>
        <w:rPr>
          <w:rFonts w:hint="eastAsia" w:ascii="宋体" w:hAnsi="宋体"/>
          <w:sz w:val="24"/>
          <w:szCs w:val="24"/>
          <w:highlight w:val="none"/>
          <w:lang w:eastAsia="zh-CN"/>
        </w:rPr>
        <w:t>中华人民共和国</w:t>
      </w:r>
      <w:r>
        <w:rPr>
          <w:rFonts w:hint="eastAsia" w:ascii="宋体" w:hAnsi="宋体"/>
          <w:sz w:val="24"/>
          <w:szCs w:val="24"/>
          <w:highlight w:val="none"/>
        </w:rPr>
        <w:t>气瓶充装许可证》及《危险化学品经营许可证》</w:t>
      </w:r>
      <w:r>
        <w:rPr>
          <w:rFonts w:hint="eastAsia" w:asciiTheme="minorEastAsia" w:hAnsiTheme="minorEastAsia" w:eastAsiaTheme="minorEastAsia"/>
          <w:sz w:val="24"/>
          <w:szCs w:val="24"/>
          <w:highlight w:val="none"/>
        </w:rPr>
        <w:t>的原件的复印件（须加盖公章）；</w:t>
      </w:r>
    </w:p>
    <w:p>
      <w:pPr>
        <w:pStyle w:val="21"/>
        <w:ind w:firstLine="480" w:firstLineChars="200"/>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4、</w:t>
      </w:r>
      <w:r>
        <w:rPr>
          <w:rFonts w:hint="eastAsia" w:ascii="宋体" w:hAnsi="宋体"/>
          <w:sz w:val="24"/>
          <w:szCs w:val="24"/>
          <w:highlight w:val="none"/>
          <w:lang w:eastAsia="zh-CN"/>
        </w:rPr>
        <w:t>投标</w:t>
      </w:r>
      <w:r>
        <w:rPr>
          <w:rFonts w:hint="eastAsia" w:ascii="宋体" w:hAnsi="宋体"/>
          <w:sz w:val="24"/>
          <w:szCs w:val="24"/>
          <w:highlight w:val="none"/>
          <w:lang w:val="en-US" w:eastAsia="zh-CN"/>
        </w:rPr>
        <w:t>人</w:t>
      </w:r>
      <w:r>
        <w:rPr>
          <w:rFonts w:hint="eastAsia" w:ascii="宋体" w:hAnsi="宋体"/>
          <w:sz w:val="24"/>
          <w:szCs w:val="24"/>
          <w:highlight w:val="none"/>
        </w:rPr>
        <w:t>应具备</w:t>
      </w:r>
      <w:r>
        <w:rPr>
          <w:rFonts w:hint="eastAsia" w:asciiTheme="minorEastAsia" w:hAnsiTheme="minorEastAsia" w:eastAsiaTheme="minorEastAsia"/>
          <w:sz w:val="24"/>
          <w:szCs w:val="24"/>
          <w:highlight w:val="none"/>
          <w:lang w:val="en-US" w:eastAsia="zh-CN"/>
        </w:rPr>
        <w:t>国家固定灭火系统和耐火部件机构质量监督检验中心出具的IG-100惰性气体灭火剂检测报告</w:t>
      </w:r>
      <w:r>
        <w:rPr>
          <w:rFonts w:hint="eastAsia" w:asciiTheme="minorEastAsia" w:hAnsiTheme="minorEastAsia" w:eastAsiaTheme="minorEastAsia"/>
          <w:sz w:val="24"/>
          <w:szCs w:val="24"/>
          <w:highlight w:val="none"/>
        </w:rPr>
        <w:t>原件的复印件（须加盖公章）</w:t>
      </w:r>
      <w:r>
        <w:rPr>
          <w:rFonts w:hint="eastAsia" w:asciiTheme="minorEastAsia" w:hAnsiTheme="minorEastAsia" w:eastAsiaTheme="minorEastAsia"/>
          <w:sz w:val="24"/>
          <w:szCs w:val="24"/>
          <w:highlight w:val="none"/>
          <w:lang w:val="en-US" w:eastAsia="zh-CN"/>
        </w:rPr>
        <w:t>；</w:t>
      </w:r>
    </w:p>
    <w:p>
      <w:pPr>
        <w:spacing w:line="420" w:lineRule="exact"/>
        <w:ind w:firstLine="484" w:firstLineChars="202"/>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5</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现场勘察回执（格式详见第八章</w:t>
      </w:r>
      <w:r>
        <w:rPr>
          <w:rFonts w:hint="eastAsia" w:asciiTheme="minorEastAsia" w:hAnsiTheme="minorEastAsia" w:eastAsiaTheme="minorEastAsia"/>
          <w:sz w:val="24"/>
          <w:szCs w:val="24"/>
          <w:highlight w:val="none"/>
        </w:rPr>
        <w:t>投标文件的组成及格式</w:t>
      </w:r>
      <w:r>
        <w:rPr>
          <w:rFonts w:hint="eastAsia" w:asciiTheme="minorEastAsia" w:hAnsiTheme="minorEastAsia" w:eastAsiaTheme="minorEastAsia"/>
          <w:sz w:val="24"/>
          <w:szCs w:val="24"/>
          <w:highlight w:val="none"/>
          <w:lang w:val="en-US" w:eastAsia="zh-CN"/>
        </w:rPr>
        <w:t>）；</w:t>
      </w:r>
    </w:p>
    <w:p>
      <w:pPr>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6、</w:t>
      </w:r>
      <w:r>
        <w:rPr>
          <w:rFonts w:hint="eastAsia" w:asciiTheme="minorEastAsia" w:hAnsiTheme="minorEastAsia" w:eastAsiaTheme="minorEastAsia"/>
          <w:sz w:val="24"/>
          <w:szCs w:val="24"/>
          <w:highlight w:val="none"/>
        </w:rPr>
        <w:t>投标人还须提供本招标文件第八章投标文件的组成及格式中的“资格后审材料相关格式文件”内的：关于资格文件的声明函、投标人一般情况表。</w:t>
      </w:r>
    </w:p>
    <w:bookmarkEnd w:id="2"/>
    <w:p>
      <w:pPr>
        <w:spacing w:line="420" w:lineRule="exact"/>
        <w:ind w:firstLine="487" w:firstLineChars="202"/>
        <w:outlineLvl w:val="2"/>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B</w:t>
      </w:r>
      <w:r>
        <w:rPr>
          <w:rFonts w:hint="eastAsia" w:asciiTheme="minorEastAsia" w:hAnsiTheme="minorEastAsia" w:eastAsiaTheme="minorEastAsia"/>
          <w:b/>
          <w:sz w:val="24"/>
          <w:szCs w:val="24"/>
          <w:highlight w:val="none"/>
        </w:rPr>
        <w:t>、价格标响应文件（格式参见第八章）</w:t>
      </w:r>
      <w:r>
        <w:rPr>
          <w:rFonts w:hint="eastAsia" w:asciiTheme="minorEastAsia" w:hAnsiTheme="minorEastAsia" w:eastAsiaTheme="minorEastAsia"/>
          <w:sz w:val="24"/>
          <w:szCs w:val="24"/>
          <w:highlight w:val="none"/>
        </w:rPr>
        <w:t>（一个密封包，含一正二副文件）</w:t>
      </w:r>
      <w:r>
        <w:rPr>
          <w:rFonts w:hint="eastAsia" w:asciiTheme="minorEastAsia" w:hAnsiTheme="minorEastAsia" w:eastAsiaTheme="minorEastAsia"/>
          <w:b/>
          <w:sz w:val="24"/>
          <w:szCs w:val="24"/>
          <w:highlight w:val="none"/>
        </w:rPr>
        <w:t>：</w:t>
      </w:r>
    </w:p>
    <w:p>
      <w:pPr>
        <w:spacing w:line="44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特别提醒】价格标响应文件中的报价，包括本招标文件规定涵盖的所有招标范围及相应说明的全部内容及费用。本次招标项目的商务付款方式要求，必须完全响应不得有任何负偏离，且不接受任何意在更改的说明，否则作无效投标处理。投标人中标后如据此提出疑义，不履行签订合同等下一步工作，招标人有权没收其全额投标保证金并取消其中标资格。</w:t>
      </w:r>
    </w:p>
    <w:p>
      <w:pPr>
        <w:pStyle w:val="22"/>
        <w:numPr>
          <w:ilvl w:val="0"/>
          <w:numId w:val="2"/>
        </w:numPr>
        <w:ind w:left="1205" w:leftChars="0" w:hanging="720" w:firstLineChars="0"/>
        <w:rPr>
          <w:rFonts w:hint="eastAsia" w:cs="Times New Roman" w:asciiTheme="minorEastAsia" w:hAnsiTheme="minorEastAsia" w:eastAsiaTheme="minorEastAsia"/>
          <w:kern w:val="2"/>
          <w:sz w:val="24"/>
          <w:szCs w:val="24"/>
          <w:highlight w:val="none"/>
          <w:lang w:val="en-US" w:eastAsia="zh-CN" w:bidi="ar-SA"/>
        </w:rPr>
      </w:pPr>
      <w:r>
        <w:rPr>
          <w:rFonts w:asciiTheme="minorEastAsia" w:hAnsiTheme="minorEastAsia" w:eastAsiaTheme="minorEastAsia"/>
          <w:sz w:val="24"/>
          <w:szCs w:val="24"/>
          <w:highlight w:val="none"/>
        </w:rPr>
        <w:t>投标响应报价总表</w:t>
      </w:r>
      <w:r>
        <w:rPr>
          <w:rFonts w:hint="eastAsia" w:asciiTheme="minorEastAsia" w:hAnsiTheme="minorEastAsia" w:eastAsiaTheme="minorEastAsia"/>
          <w:sz w:val="24"/>
          <w:szCs w:val="24"/>
          <w:highlight w:val="none"/>
          <w:lang w:eastAsia="zh-CN"/>
        </w:rPr>
        <w:t>。</w:t>
      </w:r>
    </w:p>
    <w:p>
      <w:pPr>
        <w:snapToGrid w:val="0"/>
        <w:spacing w:line="420" w:lineRule="exact"/>
        <w:ind w:firstLine="496" w:firstLineChars="206"/>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八</w:t>
      </w:r>
      <w:r>
        <w:rPr>
          <w:rFonts w:asciiTheme="minorEastAsia" w:hAnsiTheme="minorEastAsia" w:eastAsiaTheme="minorEastAsia"/>
          <w:b/>
          <w:bCs/>
          <w:sz w:val="24"/>
          <w:szCs w:val="24"/>
          <w:highlight w:val="none"/>
        </w:rPr>
        <w:t>、</w:t>
      </w:r>
      <w:r>
        <w:rPr>
          <w:rFonts w:hint="eastAsia" w:asciiTheme="minorEastAsia" w:hAnsiTheme="minorEastAsia" w:eastAsiaTheme="minorEastAsia"/>
          <w:b/>
          <w:bCs/>
          <w:sz w:val="24"/>
          <w:szCs w:val="24"/>
          <w:highlight w:val="none"/>
        </w:rPr>
        <w:t>联合投标：</w:t>
      </w:r>
    </w:p>
    <w:p>
      <w:pPr>
        <w:spacing w:line="420" w:lineRule="exact"/>
        <w:ind w:firstLine="480" w:firstLineChars="200"/>
        <w:rPr>
          <w:rFonts w:asciiTheme="minorEastAsia" w:hAnsiTheme="minorEastAsia" w:eastAsiaTheme="minorEastAsia"/>
          <w:b/>
          <w:bCs/>
          <w:sz w:val="24"/>
          <w:szCs w:val="24"/>
          <w:highlight w:val="none"/>
        </w:rPr>
      </w:pPr>
      <w:r>
        <w:rPr>
          <w:rFonts w:hint="eastAsia" w:asciiTheme="minorEastAsia" w:hAnsiTheme="minorEastAsia" w:eastAsiaTheme="minorEastAsia"/>
          <w:sz w:val="24"/>
          <w:szCs w:val="24"/>
          <w:highlight w:val="none"/>
        </w:rPr>
        <w:t>本项目不接受多个投标人组成联合体参与投标。</w:t>
      </w:r>
    </w:p>
    <w:p>
      <w:pPr>
        <w:snapToGrid w:val="0"/>
        <w:spacing w:line="420" w:lineRule="exact"/>
        <w:ind w:firstLine="496" w:firstLineChars="206"/>
        <w:outlineLvl w:val="1"/>
        <w:rPr>
          <w:rFonts w:asciiTheme="minorEastAsia" w:hAnsiTheme="minorEastAsia" w:eastAsiaTheme="minorEastAsia"/>
          <w:sz w:val="24"/>
          <w:szCs w:val="24"/>
          <w:highlight w:val="none"/>
        </w:rPr>
      </w:pPr>
      <w:r>
        <w:rPr>
          <w:rFonts w:hint="eastAsia" w:asciiTheme="minorEastAsia" w:hAnsiTheme="minorEastAsia" w:eastAsiaTheme="minorEastAsia"/>
          <w:b/>
          <w:bCs/>
          <w:sz w:val="24"/>
          <w:szCs w:val="24"/>
          <w:highlight w:val="none"/>
        </w:rPr>
        <w:t>九、投标</w:t>
      </w:r>
      <w:r>
        <w:rPr>
          <w:rFonts w:asciiTheme="minorEastAsia" w:hAnsiTheme="minorEastAsia" w:eastAsiaTheme="minorEastAsia"/>
          <w:b/>
          <w:bCs/>
          <w:sz w:val="24"/>
          <w:szCs w:val="24"/>
          <w:highlight w:val="none"/>
        </w:rPr>
        <w:t>文件递交</w:t>
      </w:r>
    </w:p>
    <w:p>
      <w:pPr>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接收人：招标代理机构；</w:t>
      </w:r>
    </w:p>
    <w:p>
      <w:pPr>
        <w:spacing w:line="420" w:lineRule="exact"/>
        <w:ind w:firstLine="480" w:firstLineChars="200"/>
        <w:rPr>
          <w:rFonts w:asciiTheme="minorEastAsia" w:hAnsiTheme="minorEastAsia" w:eastAsiaTheme="minorEastAsia"/>
          <w:highlight w:val="none"/>
        </w:rPr>
      </w:pPr>
      <w:r>
        <w:rPr>
          <w:rFonts w:asciiTheme="minorEastAsia" w:hAnsiTheme="minorEastAsia" w:eastAsiaTheme="minorEastAsia"/>
          <w:sz w:val="24"/>
          <w:szCs w:val="24"/>
          <w:highlight w:val="none"/>
        </w:rPr>
        <w:t>2.接收截止时间：</w:t>
      </w:r>
      <w:r>
        <w:rPr>
          <w:rFonts w:hint="eastAsia" w:ascii="宋体" w:hAnsi="宋体" w:eastAsia="宋体"/>
          <w:b/>
          <w:sz w:val="24"/>
          <w:szCs w:val="24"/>
          <w:highlight w:val="none"/>
          <w:u w:val="thick" w:color="FF0000"/>
        </w:rPr>
        <w:t>202</w:t>
      </w:r>
      <w:r>
        <w:rPr>
          <w:rFonts w:hint="eastAsia" w:ascii="宋体" w:hAnsi="宋体" w:eastAsia="宋体"/>
          <w:b/>
          <w:sz w:val="24"/>
          <w:szCs w:val="24"/>
          <w:highlight w:val="none"/>
          <w:u w:val="thick" w:color="FF0000"/>
          <w:lang w:val="en-US" w:eastAsia="zh-CN"/>
        </w:rPr>
        <w:t>4</w:t>
      </w:r>
      <w:r>
        <w:rPr>
          <w:rFonts w:hint="eastAsia" w:ascii="宋体" w:hAnsi="宋体" w:eastAsia="宋体"/>
          <w:b/>
          <w:sz w:val="24"/>
          <w:szCs w:val="24"/>
          <w:highlight w:val="none"/>
          <w:u w:val="thick" w:color="FF0000"/>
        </w:rPr>
        <w:t>年</w:t>
      </w:r>
      <w:r>
        <w:rPr>
          <w:rFonts w:hint="eastAsia" w:ascii="宋体" w:hAnsi="宋体" w:eastAsia="宋体"/>
          <w:b/>
          <w:sz w:val="24"/>
          <w:szCs w:val="24"/>
          <w:highlight w:val="none"/>
          <w:u w:val="thick" w:color="FF0000"/>
          <w:lang w:val="en-US" w:eastAsia="zh-CN"/>
        </w:rPr>
        <w:t>5</w:t>
      </w:r>
      <w:r>
        <w:rPr>
          <w:rFonts w:hint="eastAsia" w:ascii="宋体" w:hAnsi="宋体" w:eastAsia="宋体"/>
          <w:b/>
          <w:sz w:val="24"/>
          <w:szCs w:val="24"/>
          <w:highlight w:val="none"/>
          <w:u w:val="thick" w:color="FF0000"/>
        </w:rPr>
        <w:t>月</w:t>
      </w:r>
      <w:r>
        <w:rPr>
          <w:rFonts w:hint="eastAsia" w:ascii="宋体" w:hAnsi="宋体" w:eastAsia="宋体"/>
          <w:b/>
          <w:sz w:val="24"/>
          <w:szCs w:val="24"/>
          <w:highlight w:val="none"/>
          <w:u w:val="thick" w:color="FF0000"/>
          <w:lang w:val="en-US" w:eastAsia="zh-CN"/>
        </w:rPr>
        <w:t>21</w:t>
      </w:r>
      <w:r>
        <w:rPr>
          <w:rFonts w:hint="eastAsia" w:ascii="宋体" w:hAnsi="宋体" w:eastAsia="宋体"/>
          <w:b/>
          <w:sz w:val="24"/>
          <w:szCs w:val="24"/>
          <w:highlight w:val="none"/>
          <w:u w:val="thick" w:color="FF0000"/>
        </w:rPr>
        <w:t>日</w:t>
      </w:r>
      <w:r>
        <w:rPr>
          <w:rFonts w:hint="eastAsia" w:ascii="宋体" w:hAnsi="宋体" w:eastAsia="宋体"/>
          <w:b/>
          <w:sz w:val="24"/>
          <w:szCs w:val="24"/>
          <w:highlight w:val="none"/>
          <w:u w:val="thick" w:color="FF0000"/>
          <w:lang w:val="en-US" w:eastAsia="zh-CN"/>
        </w:rPr>
        <w:t>9</w:t>
      </w:r>
      <w:r>
        <w:rPr>
          <w:rFonts w:hint="eastAsia" w:ascii="宋体" w:hAnsi="宋体" w:eastAsia="宋体"/>
          <w:b/>
          <w:sz w:val="24"/>
          <w:szCs w:val="24"/>
          <w:highlight w:val="none"/>
          <w:u w:val="thick" w:color="FF0000"/>
        </w:rPr>
        <w:t>点</w:t>
      </w:r>
      <w:r>
        <w:rPr>
          <w:rFonts w:hint="eastAsia" w:ascii="宋体" w:hAnsi="宋体" w:eastAsia="宋体"/>
          <w:b/>
          <w:sz w:val="24"/>
          <w:szCs w:val="24"/>
          <w:highlight w:val="none"/>
          <w:u w:val="thick" w:color="FF0000"/>
          <w:lang w:val="en-US" w:eastAsia="zh-CN"/>
        </w:rPr>
        <w:t>30</w:t>
      </w:r>
      <w:r>
        <w:rPr>
          <w:rFonts w:hint="eastAsia" w:ascii="宋体" w:hAnsi="宋体" w:eastAsia="宋体"/>
          <w:b/>
          <w:sz w:val="24"/>
          <w:szCs w:val="24"/>
          <w:highlight w:val="none"/>
          <w:u w:val="thick" w:color="FF0000"/>
        </w:rPr>
        <w:t>分</w:t>
      </w:r>
      <w:r>
        <w:rPr>
          <w:rFonts w:hint="eastAsia" w:asciiTheme="minorEastAsia" w:hAnsiTheme="minorEastAsia" w:eastAsiaTheme="minorEastAsia"/>
          <w:b/>
          <w:sz w:val="24"/>
          <w:szCs w:val="24"/>
          <w:highlight w:val="none"/>
          <w:u w:val="thick" w:color="FF0000"/>
        </w:rPr>
        <w:t>前</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地址：</w:t>
      </w:r>
      <w:r>
        <w:rPr>
          <w:rFonts w:hint="eastAsia" w:asciiTheme="minorEastAsia" w:hAnsiTheme="minorEastAsia" w:eastAsiaTheme="minorEastAsia"/>
          <w:sz w:val="24"/>
          <w:highlight w:val="none"/>
          <w:u w:val="single"/>
          <w:lang w:eastAsia="zh-CN"/>
        </w:rPr>
        <w:t>南通市崇川区石桥路333号南通市保安服务有限公司6楼会议室2</w:t>
      </w:r>
      <w:r>
        <w:rPr>
          <w:rFonts w:hint="eastAsia" w:asciiTheme="minorEastAsia" w:hAnsiTheme="minorEastAsia" w:eastAsiaTheme="minorEastAsia"/>
          <w:sz w:val="24"/>
          <w:highlight w:val="none"/>
          <w:u w:val="single"/>
        </w:rPr>
        <w:t>；</w:t>
      </w:r>
    </w:p>
    <w:p>
      <w:pPr>
        <w:spacing w:line="420" w:lineRule="exact"/>
        <w:ind w:firstLine="487" w:firstLineChars="202"/>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十、开标</w:t>
      </w:r>
    </w:p>
    <w:p>
      <w:pPr>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开标</w:t>
      </w:r>
      <w:r>
        <w:rPr>
          <w:rFonts w:hint="eastAsia" w:asciiTheme="minorEastAsia" w:hAnsiTheme="minorEastAsia" w:eastAsiaTheme="minorEastAsia"/>
          <w:sz w:val="24"/>
          <w:szCs w:val="24"/>
          <w:highlight w:val="none"/>
        </w:rPr>
        <w:t>时间：</w:t>
      </w:r>
      <w:r>
        <w:rPr>
          <w:rFonts w:hint="eastAsia" w:ascii="宋体" w:hAnsi="宋体" w:eastAsia="宋体"/>
          <w:b/>
          <w:sz w:val="24"/>
          <w:szCs w:val="24"/>
          <w:highlight w:val="none"/>
          <w:u w:val="thick" w:color="FF0000"/>
        </w:rPr>
        <w:t>202</w:t>
      </w:r>
      <w:r>
        <w:rPr>
          <w:rFonts w:hint="eastAsia" w:ascii="宋体" w:hAnsi="宋体" w:eastAsia="宋体"/>
          <w:b/>
          <w:sz w:val="24"/>
          <w:szCs w:val="24"/>
          <w:highlight w:val="none"/>
          <w:u w:val="thick" w:color="FF0000"/>
          <w:lang w:val="en-US" w:eastAsia="zh-CN"/>
        </w:rPr>
        <w:t>4</w:t>
      </w:r>
      <w:r>
        <w:rPr>
          <w:rFonts w:hint="eastAsia" w:ascii="宋体" w:hAnsi="宋体" w:eastAsia="宋体"/>
          <w:b/>
          <w:sz w:val="24"/>
          <w:szCs w:val="24"/>
          <w:highlight w:val="none"/>
          <w:u w:val="thick" w:color="FF0000"/>
        </w:rPr>
        <w:t>年</w:t>
      </w:r>
      <w:r>
        <w:rPr>
          <w:rFonts w:hint="eastAsia" w:ascii="宋体" w:hAnsi="宋体" w:eastAsia="宋体"/>
          <w:b/>
          <w:sz w:val="24"/>
          <w:szCs w:val="24"/>
          <w:highlight w:val="none"/>
          <w:u w:val="thick" w:color="FF0000"/>
          <w:lang w:val="en-US" w:eastAsia="zh-CN"/>
        </w:rPr>
        <w:t>5</w:t>
      </w:r>
      <w:r>
        <w:rPr>
          <w:rFonts w:hint="eastAsia" w:ascii="宋体" w:hAnsi="宋体" w:eastAsia="宋体"/>
          <w:b/>
          <w:sz w:val="24"/>
          <w:szCs w:val="24"/>
          <w:highlight w:val="none"/>
          <w:u w:val="thick" w:color="FF0000"/>
        </w:rPr>
        <w:t>月</w:t>
      </w:r>
      <w:r>
        <w:rPr>
          <w:rFonts w:hint="eastAsia" w:ascii="宋体" w:hAnsi="宋体" w:eastAsia="宋体"/>
          <w:b/>
          <w:sz w:val="24"/>
          <w:szCs w:val="24"/>
          <w:highlight w:val="none"/>
          <w:u w:val="thick" w:color="FF0000"/>
          <w:lang w:val="en-US" w:eastAsia="zh-CN"/>
        </w:rPr>
        <w:t>21</w:t>
      </w:r>
      <w:r>
        <w:rPr>
          <w:rFonts w:hint="eastAsia" w:ascii="宋体" w:hAnsi="宋体" w:eastAsia="宋体"/>
          <w:b/>
          <w:sz w:val="24"/>
          <w:szCs w:val="24"/>
          <w:highlight w:val="none"/>
          <w:u w:val="thick" w:color="FF0000"/>
        </w:rPr>
        <w:t>日</w:t>
      </w:r>
      <w:r>
        <w:rPr>
          <w:rFonts w:hint="eastAsia" w:ascii="宋体" w:hAnsi="宋体" w:eastAsia="宋体"/>
          <w:b/>
          <w:sz w:val="24"/>
          <w:szCs w:val="24"/>
          <w:highlight w:val="none"/>
          <w:u w:val="thick" w:color="FF0000"/>
          <w:lang w:val="en-US" w:eastAsia="zh-CN"/>
        </w:rPr>
        <w:t>9</w:t>
      </w:r>
      <w:r>
        <w:rPr>
          <w:rFonts w:hint="eastAsia" w:ascii="宋体" w:hAnsi="宋体" w:eastAsia="宋体"/>
          <w:b/>
          <w:sz w:val="24"/>
          <w:szCs w:val="24"/>
          <w:highlight w:val="none"/>
          <w:u w:val="thick" w:color="FF0000"/>
        </w:rPr>
        <w:t>点</w:t>
      </w:r>
      <w:r>
        <w:rPr>
          <w:rFonts w:hint="eastAsia" w:ascii="宋体" w:hAnsi="宋体" w:eastAsia="宋体"/>
          <w:b/>
          <w:sz w:val="24"/>
          <w:szCs w:val="24"/>
          <w:highlight w:val="none"/>
          <w:u w:val="thick" w:color="FF0000"/>
          <w:lang w:val="en-US" w:eastAsia="zh-CN"/>
        </w:rPr>
        <w:t>30</w:t>
      </w:r>
      <w:r>
        <w:rPr>
          <w:rFonts w:hint="eastAsia" w:ascii="宋体" w:hAnsi="宋体" w:eastAsia="宋体"/>
          <w:b/>
          <w:sz w:val="24"/>
          <w:szCs w:val="24"/>
          <w:highlight w:val="none"/>
          <w:u w:val="thick" w:color="FF0000"/>
        </w:rPr>
        <w:t>分</w:t>
      </w:r>
      <w:r>
        <w:rPr>
          <w:rFonts w:hint="eastAsia" w:asciiTheme="minorEastAsia" w:hAnsiTheme="minorEastAsia" w:eastAsiaTheme="minorEastAsia"/>
          <w:b/>
          <w:sz w:val="24"/>
          <w:szCs w:val="24"/>
          <w:highlight w:val="none"/>
          <w:u w:val="thick" w:color="FF0000"/>
        </w:rPr>
        <w:t>整</w:t>
      </w:r>
      <w:r>
        <w:rPr>
          <w:rFonts w:hint="eastAsia" w:asciiTheme="minorEastAsia" w:hAnsiTheme="minorEastAsia" w:eastAsiaTheme="minorEastAsia"/>
          <w:sz w:val="24"/>
          <w:szCs w:val="24"/>
          <w:highlight w:val="none"/>
        </w:rPr>
        <w:t>；</w:t>
      </w:r>
    </w:p>
    <w:p>
      <w:pPr>
        <w:spacing w:line="420" w:lineRule="exact"/>
        <w:ind w:firstLine="480" w:firstLineChars="200"/>
        <w:rPr>
          <w:rFonts w:asciiTheme="minorEastAsia" w:hAnsiTheme="minorEastAsia" w:eastAsiaTheme="minorEastAsia"/>
          <w:b/>
          <w:sz w:val="24"/>
          <w:szCs w:val="24"/>
          <w:highlight w:val="none"/>
        </w:rPr>
      </w:pP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、开标</w:t>
      </w:r>
      <w:r>
        <w:rPr>
          <w:rFonts w:asciiTheme="minorEastAsia" w:hAnsiTheme="minorEastAsia" w:eastAsiaTheme="minorEastAsia"/>
          <w:sz w:val="24"/>
          <w:szCs w:val="24"/>
          <w:highlight w:val="none"/>
        </w:rPr>
        <w:t>地点：</w:t>
      </w:r>
      <w:r>
        <w:rPr>
          <w:rFonts w:hint="eastAsia" w:asciiTheme="minorEastAsia" w:hAnsiTheme="minorEastAsia" w:eastAsiaTheme="minorEastAsia"/>
          <w:sz w:val="24"/>
          <w:highlight w:val="none"/>
          <w:u w:val="single"/>
          <w:lang w:eastAsia="zh-CN"/>
        </w:rPr>
        <w:t>南通市崇川区石桥路333号南通市保安服务有限公司6楼会议室2</w:t>
      </w:r>
      <w:r>
        <w:rPr>
          <w:rFonts w:hint="eastAsia" w:asciiTheme="minorEastAsia" w:hAnsiTheme="minorEastAsia" w:eastAsiaTheme="minorEastAsia"/>
          <w:sz w:val="24"/>
          <w:highlight w:val="none"/>
          <w:u w:val="single"/>
        </w:rPr>
        <w:t>；</w:t>
      </w:r>
    </w:p>
    <w:p>
      <w:pPr>
        <w:spacing w:line="420" w:lineRule="exact"/>
        <w:ind w:firstLine="487" w:firstLineChars="202"/>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十一、资格审查</w:t>
      </w:r>
    </w:p>
    <w:p>
      <w:pPr>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1、资格审查时间：</w:t>
      </w:r>
      <w:r>
        <w:rPr>
          <w:rFonts w:hint="eastAsia" w:asciiTheme="minorEastAsia" w:hAnsiTheme="minorEastAsia" w:eastAsiaTheme="minorEastAsia"/>
          <w:b/>
          <w:sz w:val="24"/>
          <w:szCs w:val="24"/>
          <w:highlight w:val="none"/>
          <w:u w:val="thick" w:color="FF0000"/>
        </w:rPr>
        <w:t>开标结束后当即开始</w:t>
      </w:r>
      <w:r>
        <w:rPr>
          <w:rFonts w:hint="eastAsia" w:asciiTheme="minorEastAsia" w:hAnsiTheme="minorEastAsia" w:eastAsiaTheme="minorEastAsia"/>
          <w:sz w:val="24"/>
          <w:szCs w:val="24"/>
          <w:highlight w:val="none"/>
        </w:rPr>
        <w:t>。</w:t>
      </w:r>
    </w:p>
    <w:p>
      <w:pPr>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、资格审查</w:t>
      </w:r>
      <w:r>
        <w:rPr>
          <w:rFonts w:asciiTheme="minorEastAsia" w:hAnsiTheme="minorEastAsia" w:eastAsiaTheme="minorEastAsia"/>
          <w:sz w:val="24"/>
          <w:szCs w:val="24"/>
          <w:highlight w:val="none"/>
        </w:rPr>
        <w:t>地点：</w:t>
      </w:r>
      <w:r>
        <w:rPr>
          <w:rFonts w:hint="eastAsia" w:asciiTheme="minorEastAsia" w:hAnsiTheme="minorEastAsia" w:eastAsiaTheme="minorEastAsia"/>
          <w:sz w:val="24"/>
          <w:highlight w:val="none"/>
          <w:u w:val="single"/>
          <w:lang w:eastAsia="zh-CN"/>
        </w:rPr>
        <w:t>南通市崇川区石桥路333号南通市保安服务有限公司6楼会议室2</w:t>
      </w:r>
      <w:r>
        <w:rPr>
          <w:rFonts w:hint="eastAsia" w:asciiTheme="minorEastAsia" w:hAnsiTheme="minorEastAsia" w:eastAsiaTheme="minorEastAsia"/>
          <w:sz w:val="24"/>
          <w:highlight w:val="none"/>
          <w:u w:val="single"/>
        </w:rPr>
        <w:t>；</w:t>
      </w:r>
    </w:p>
    <w:p>
      <w:pPr>
        <w:spacing w:line="420" w:lineRule="exact"/>
        <w:ind w:firstLine="480" w:firstLineChars="200"/>
        <w:rPr>
          <w:rFonts w:asciiTheme="minorEastAsia" w:hAnsiTheme="minorEastAsia" w:eastAsiaTheme="minorEastAsia"/>
          <w:b/>
          <w:sz w:val="24"/>
          <w:szCs w:val="24"/>
          <w:highlight w:val="none"/>
        </w:rPr>
      </w:pP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、招标人依法委托评标小组对各投标人的资格进行审查，审查通过方可参与项目的价格标评审。</w:t>
      </w:r>
    </w:p>
    <w:p>
      <w:pPr>
        <w:spacing w:line="420" w:lineRule="exact"/>
        <w:ind w:firstLine="487" w:firstLineChars="202"/>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十二、评标</w:t>
      </w:r>
    </w:p>
    <w:p>
      <w:pPr>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1、评标时间：</w:t>
      </w:r>
      <w:r>
        <w:rPr>
          <w:rFonts w:hint="eastAsia" w:asciiTheme="minorEastAsia" w:hAnsiTheme="minorEastAsia" w:eastAsiaTheme="minorEastAsia"/>
          <w:b/>
          <w:sz w:val="24"/>
          <w:szCs w:val="24"/>
          <w:highlight w:val="none"/>
          <w:u w:val="thick" w:color="FF0000"/>
        </w:rPr>
        <w:t>资格审查结束后当即开始</w:t>
      </w:r>
      <w:r>
        <w:rPr>
          <w:rFonts w:hint="eastAsia" w:asciiTheme="minorEastAsia" w:hAnsiTheme="minorEastAsia" w:eastAsiaTheme="minorEastAsia"/>
          <w:sz w:val="24"/>
          <w:szCs w:val="24"/>
          <w:highlight w:val="none"/>
        </w:rPr>
        <w:t>；</w:t>
      </w:r>
    </w:p>
    <w:p>
      <w:pPr>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2、评标</w:t>
      </w:r>
      <w:r>
        <w:rPr>
          <w:rFonts w:asciiTheme="minorEastAsia" w:hAnsiTheme="minorEastAsia" w:eastAsiaTheme="minorEastAsia"/>
          <w:sz w:val="24"/>
          <w:szCs w:val="24"/>
          <w:highlight w:val="none"/>
        </w:rPr>
        <w:t>地点：</w:t>
      </w:r>
      <w:r>
        <w:rPr>
          <w:rFonts w:hint="eastAsia" w:asciiTheme="minorEastAsia" w:hAnsiTheme="minorEastAsia" w:eastAsiaTheme="minorEastAsia"/>
          <w:sz w:val="24"/>
          <w:highlight w:val="none"/>
          <w:u w:val="single"/>
          <w:lang w:eastAsia="zh-CN"/>
        </w:rPr>
        <w:t>南通市崇川区石桥路333号南通市保安服务有限公司6楼会议室2</w:t>
      </w:r>
      <w:r>
        <w:rPr>
          <w:rFonts w:hint="eastAsia" w:asciiTheme="minorEastAsia" w:hAnsiTheme="minorEastAsia" w:eastAsiaTheme="minorEastAsia"/>
          <w:sz w:val="24"/>
          <w:highlight w:val="none"/>
          <w:u w:val="single"/>
        </w:rPr>
        <w:t>；</w:t>
      </w:r>
    </w:p>
    <w:p>
      <w:pPr>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、评标委员会负责具体评标事务。</w:t>
      </w:r>
    </w:p>
    <w:p>
      <w:pPr>
        <w:snapToGrid w:val="0"/>
        <w:spacing w:line="420" w:lineRule="exact"/>
        <w:ind w:firstLine="496" w:firstLineChars="206"/>
        <w:outlineLvl w:val="1"/>
        <w:rPr>
          <w:rFonts w:asciiTheme="minorEastAsia" w:hAnsiTheme="minorEastAsia" w:eastAsiaTheme="minorEastAsia"/>
          <w:sz w:val="24"/>
          <w:szCs w:val="24"/>
          <w:highlight w:val="none"/>
        </w:rPr>
      </w:pPr>
      <w:r>
        <w:rPr>
          <w:rFonts w:hint="eastAsia" w:asciiTheme="minorEastAsia" w:hAnsiTheme="minorEastAsia" w:eastAsiaTheme="minorEastAsia"/>
          <w:b/>
          <w:bCs/>
          <w:sz w:val="24"/>
          <w:szCs w:val="24"/>
          <w:highlight w:val="none"/>
        </w:rPr>
        <w:t>十三、</w:t>
      </w:r>
      <w:r>
        <w:rPr>
          <w:rFonts w:asciiTheme="minorEastAsia" w:hAnsiTheme="minorEastAsia" w:eastAsiaTheme="minorEastAsia"/>
          <w:b/>
          <w:bCs/>
          <w:sz w:val="24"/>
          <w:szCs w:val="24"/>
          <w:highlight w:val="none"/>
        </w:rPr>
        <w:t>投标文件的有效期</w:t>
      </w:r>
    </w:p>
    <w:p>
      <w:pPr>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1、从投标文件接收截止之日算起，</w:t>
      </w:r>
      <w:r>
        <w:rPr>
          <w:rFonts w:asciiTheme="minorEastAsia" w:hAnsiTheme="minorEastAsia" w:eastAsiaTheme="minorEastAsia"/>
          <w:sz w:val="24"/>
          <w:szCs w:val="24"/>
          <w:highlight w:val="none"/>
        </w:rPr>
        <w:t>45个</w:t>
      </w:r>
      <w:r>
        <w:rPr>
          <w:rFonts w:hint="eastAsia" w:asciiTheme="minorEastAsia" w:hAnsiTheme="minorEastAsia" w:eastAsiaTheme="minorEastAsia"/>
          <w:sz w:val="24"/>
          <w:szCs w:val="24"/>
          <w:highlight w:val="none"/>
        </w:rPr>
        <w:t>日历天内投标书应保持有效。有效期短于这个规定期限的投标，将被拒绝。</w:t>
      </w:r>
    </w:p>
    <w:p>
      <w:pPr>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在特殊情况下，招标代理机构可与投标人协商延长投标书的有效期。这种要求和答复都应以书面、传真、或电报的形式进行。同意延长有效期的投标人不能修改投标文件，按本招标文件规定的投标保证金的有效期也相应延长。拒绝接受延期要求的投标人的投标将被拒绝，但投标保证金可退还。</w:t>
      </w:r>
    </w:p>
    <w:p>
      <w:pPr>
        <w:snapToGrid w:val="0"/>
        <w:spacing w:line="420" w:lineRule="exact"/>
        <w:ind w:firstLine="496" w:firstLineChars="206"/>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十四、投标费用</w:t>
      </w:r>
    </w:p>
    <w:p>
      <w:pPr>
        <w:snapToGrid w:val="0"/>
        <w:spacing w:line="420" w:lineRule="exact"/>
        <w:ind w:firstLine="494" w:firstLineChars="206"/>
        <w:outlineLvl w:val="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1、投标人应承担其报名投标项目、编制投标文件以及递交投标文件所涉及的一切费用。无论投标结果如何，招标人对上述费用不负任何责任。</w:t>
      </w:r>
    </w:p>
    <w:p>
      <w:pPr>
        <w:snapToGrid w:val="0"/>
        <w:spacing w:line="420" w:lineRule="exact"/>
        <w:ind w:firstLine="496" w:firstLineChars="206"/>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十五、投标报价</w:t>
      </w:r>
    </w:p>
    <w:p>
      <w:pPr>
        <w:snapToGrid w:val="0"/>
        <w:spacing w:line="420" w:lineRule="exact"/>
        <w:ind w:firstLine="494" w:firstLineChars="206"/>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1、本项目不接受任何有选择的报价。</w:t>
      </w:r>
    </w:p>
    <w:p>
      <w:pPr>
        <w:snapToGrid w:val="0"/>
        <w:spacing w:line="420" w:lineRule="exact"/>
        <w:ind w:firstLine="494" w:firstLineChars="206"/>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2、投标报价均以人民币为报价的货币单位。</w:t>
      </w:r>
    </w:p>
    <w:p>
      <w:pPr>
        <w:snapToGrid w:val="0"/>
        <w:spacing w:line="420" w:lineRule="exact"/>
        <w:ind w:firstLine="494" w:firstLineChars="206"/>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、报价表必须加盖投标人公章且必须经法定代表人或被委托受权人签署。</w:t>
      </w:r>
    </w:p>
    <w:p>
      <w:pPr>
        <w:snapToGrid w:val="0"/>
        <w:spacing w:line="420" w:lineRule="exact"/>
        <w:ind w:firstLine="494" w:firstLineChars="206"/>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4</w:t>
      </w:r>
      <w:r>
        <w:rPr>
          <w:rFonts w:hint="eastAsia" w:asciiTheme="minorEastAsia" w:hAnsiTheme="minorEastAsia" w:eastAsiaTheme="minorEastAsia"/>
          <w:sz w:val="24"/>
          <w:szCs w:val="24"/>
          <w:highlight w:val="none"/>
        </w:rPr>
        <w:t>、报价出现前后不一致的，按照下列规定修正：</w:t>
      </w:r>
    </w:p>
    <w:p>
      <w:pPr>
        <w:snapToGrid w:val="0"/>
        <w:spacing w:line="420" w:lineRule="exact"/>
        <w:ind w:firstLine="494" w:firstLineChars="20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（1）投标文件中报价表（开标一览表）内容与投标文件技术响应中内容明细不一致的，以报价表（开标一览表）为准；</w:t>
      </w:r>
    </w:p>
    <w:p>
      <w:pPr>
        <w:snapToGrid w:val="0"/>
        <w:spacing w:line="420" w:lineRule="exact"/>
        <w:ind w:firstLine="494" w:firstLineChars="20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（2）投标文件中涉及大写金额和小写金额不一致的，以大写金额为准；</w:t>
      </w:r>
    </w:p>
    <w:p>
      <w:pPr>
        <w:snapToGrid w:val="0"/>
        <w:spacing w:line="420" w:lineRule="exact"/>
        <w:ind w:firstLine="494" w:firstLineChars="20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（3）单价金额小数点或者百分比有明显错位的，以报价表（开标一览表）的总价为准，并修改单价；</w:t>
      </w:r>
    </w:p>
    <w:p>
      <w:pPr>
        <w:snapToGrid w:val="0"/>
        <w:spacing w:line="420" w:lineRule="exact"/>
        <w:ind w:firstLine="494" w:firstLineChars="20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（4）总价金额与按单价汇总金额不一致的，以单价金额计算结果为准。</w:t>
      </w:r>
    </w:p>
    <w:p>
      <w:pPr>
        <w:snapToGrid w:val="0"/>
        <w:spacing w:line="420" w:lineRule="exact"/>
        <w:ind w:firstLine="494" w:firstLineChars="20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同时出现两种以上不一致的，按照前款规定的顺序修正。修正后的报价应当由投标人的法定代表人或其授权的代表签字确认后产生约束力，投标人不确认的，其投标无效。</w:t>
      </w:r>
    </w:p>
    <w:p>
      <w:pPr>
        <w:snapToGrid w:val="0"/>
        <w:spacing w:line="420" w:lineRule="exact"/>
        <w:ind w:firstLine="494" w:firstLineChars="206"/>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5、投标</w:t>
      </w:r>
      <w:r>
        <w:rPr>
          <w:rFonts w:hint="eastAsia" w:asciiTheme="minorEastAsia" w:hAnsiTheme="minorEastAsia" w:eastAsiaTheme="minorEastAsia"/>
          <w:sz w:val="24"/>
          <w:szCs w:val="24"/>
          <w:highlight w:val="none"/>
        </w:rPr>
        <w:t>报价总价包括：</w:t>
      </w:r>
    </w:p>
    <w:p>
      <w:pPr>
        <w:snapToGrid w:val="0"/>
        <w:spacing w:line="420" w:lineRule="exact"/>
        <w:ind w:firstLine="494" w:firstLineChars="20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（1）根据招标文件所确定的</w:t>
      </w:r>
      <w:r>
        <w:rPr>
          <w:rFonts w:hint="eastAsia" w:asciiTheme="minorEastAsia" w:hAnsiTheme="minorEastAsia" w:eastAsiaTheme="minorEastAsia"/>
          <w:sz w:val="24"/>
          <w:szCs w:val="24"/>
          <w:highlight w:val="none"/>
          <w:lang w:eastAsia="zh-CN"/>
        </w:rPr>
        <w:t>南通市保安服务有限公司IG100钢瓶检测项目</w:t>
      </w:r>
      <w:r>
        <w:rPr>
          <w:rFonts w:hint="eastAsia" w:asciiTheme="minorEastAsia" w:hAnsiTheme="minorEastAsia" w:eastAsiaTheme="minorEastAsia"/>
          <w:sz w:val="24"/>
          <w:szCs w:val="24"/>
          <w:highlight w:val="none"/>
        </w:rPr>
        <w:t>范围内的全部工作人员和内容的价格体现，是为完成招标文件规定的工作所涉及到的一切费用。</w:t>
      </w:r>
    </w:p>
    <w:p>
      <w:pPr>
        <w:snapToGrid w:val="0"/>
        <w:spacing w:line="420" w:lineRule="exact"/>
        <w:ind w:firstLine="494" w:firstLineChars="206"/>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6、本次公开招标项目仅为一次商务报价，一旦中标即为中标价。</w:t>
      </w:r>
      <w:r>
        <w:rPr>
          <w:rFonts w:hint="eastAsia" w:asciiTheme="minorEastAsia" w:hAnsiTheme="minorEastAsia" w:eastAsiaTheme="minorEastAsia"/>
          <w:sz w:val="24"/>
          <w:szCs w:val="24"/>
          <w:highlight w:val="none"/>
        </w:rPr>
        <w:t>除非因特殊原因并经买卖双方协商同意，中标的投标人（以下称中标人）不得再要求追加任何费用。同时，除非合同条款中另有规定，否则，中标人的中标价在合同实施期间不得因市场变化因素而变动。</w:t>
      </w:r>
    </w:p>
    <w:p>
      <w:pPr>
        <w:snapToGrid w:val="0"/>
        <w:spacing w:line="420" w:lineRule="exact"/>
        <w:ind w:firstLine="482" w:firstLineChars="200"/>
        <w:outlineLvl w:val="1"/>
        <w:rPr>
          <w:rFonts w:asciiTheme="minorEastAsia" w:hAnsiTheme="minorEastAsia" w:eastAsiaTheme="minorEastAsia"/>
          <w:b/>
          <w:bCs/>
          <w:sz w:val="24"/>
          <w:szCs w:val="24"/>
          <w:highlight w:val="none"/>
          <w:lang w:val="zh-CN"/>
        </w:rPr>
      </w:pPr>
      <w:r>
        <w:rPr>
          <w:rFonts w:hint="eastAsia" w:asciiTheme="minorEastAsia" w:hAnsiTheme="minorEastAsia" w:eastAsiaTheme="minorEastAsia"/>
          <w:b/>
          <w:bCs/>
          <w:sz w:val="24"/>
          <w:szCs w:val="24"/>
          <w:highlight w:val="none"/>
          <w:lang w:val="zh-CN"/>
        </w:rPr>
        <w:t>十</w:t>
      </w:r>
      <w:r>
        <w:rPr>
          <w:rFonts w:hint="eastAsia" w:asciiTheme="minorEastAsia" w:hAnsiTheme="minorEastAsia" w:eastAsiaTheme="minorEastAsia"/>
          <w:b/>
          <w:bCs/>
          <w:sz w:val="24"/>
          <w:szCs w:val="24"/>
          <w:highlight w:val="none"/>
        </w:rPr>
        <w:t>六</w:t>
      </w:r>
      <w:r>
        <w:rPr>
          <w:rFonts w:hint="eastAsia" w:asciiTheme="minorEastAsia" w:hAnsiTheme="minorEastAsia" w:eastAsiaTheme="minorEastAsia"/>
          <w:b/>
          <w:bCs/>
          <w:sz w:val="24"/>
          <w:szCs w:val="24"/>
          <w:highlight w:val="none"/>
          <w:lang w:val="zh-CN"/>
        </w:rPr>
        <w:t>、</w:t>
      </w:r>
      <w:r>
        <w:rPr>
          <w:rFonts w:hint="eastAsia" w:asciiTheme="minorEastAsia" w:hAnsiTheme="minorEastAsia" w:eastAsiaTheme="minorEastAsia"/>
          <w:b/>
          <w:bCs/>
          <w:sz w:val="24"/>
          <w:szCs w:val="24"/>
          <w:highlight w:val="none"/>
        </w:rPr>
        <w:t>投标</w:t>
      </w:r>
      <w:r>
        <w:rPr>
          <w:rFonts w:hint="eastAsia" w:asciiTheme="minorEastAsia" w:hAnsiTheme="minorEastAsia" w:eastAsiaTheme="minorEastAsia"/>
          <w:b/>
          <w:bCs/>
          <w:sz w:val="24"/>
          <w:szCs w:val="24"/>
          <w:highlight w:val="none"/>
          <w:lang w:val="zh-CN"/>
        </w:rPr>
        <w:t>保证金</w:t>
      </w:r>
    </w:p>
    <w:p>
      <w:pPr>
        <w:snapToGrid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1、本项目无需递交投标保证金。</w:t>
      </w:r>
    </w:p>
    <w:p>
      <w:pPr>
        <w:snapToGrid w:val="0"/>
        <w:spacing w:line="420" w:lineRule="exact"/>
        <w:ind w:firstLine="496" w:firstLineChars="206"/>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十七、履约保证金</w:t>
      </w:r>
    </w:p>
    <w:p>
      <w:pPr>
        <w:spacing w:line="360" w:lineRule="auto"/>
        <w:ind w:firstLine="480" w:firstLineChars="200"/>
        <w:rPr>
          <w:rFonts w:asciiTheme="minorEastAsia" w:hAnsiTheme="minorEastAsia" w:eastAsiaTheme="minorEastAsia"/>
          <w:sz w:val="24"/>
          <w:szCs w:val="24"/>
          <w:highlight w:val="none"/>
        </w:rPr>
      </w:pPr>
      <w:r>
        <w:rPr>
          <w:rFonts w:cs="宋体" w:asciiTheme="minorEastAsia" w:hAnsiTheme="minorEastAsia" w:eastAsiaTheme="minorEastAsia"/>
          <w:sz w:val="24"/>
          <w:szCs w:val="24"/>
          <w:highlight w:val="none"/>
        </w:rPr>
        <w:t>1</w:t>
      </w:r>
      <w:r>
        <w:rPr>
          <w:rFonts w:hint="eastAsia" w:cs="宋体" w:asciiTheme="minorEastAsia" w:hAnsiTheme="minorEastAsia" w:eastAsiaTheme="minorEastAsia"/>
          <w:sz w:val="24"/>
          <w:szCs w:val="24"/>
          <w:highlight w:val="none"/>
        </w:rPr>
        <w:t>、本项目中标后的履约保证金为合同价的10%。</w:t>
      </w:r>
    </w:p>
    <w:p>
      <w:pPr>
        <w:spacing w:line="360" w:lineRule="auto"/>
        <w:ind w:firstLine="480" w:firstLineChars="200"/>
        <w:rPr>
          <w:rFonts w:asciiTheme="minorEastAsia" w:hAnsiTheme="minorEastAsia" w:eastAsiaTheme="minorEastAsia"/>
          <w:sz w:val="24"/>
          <w:szCs w:val="24"/>
          <w:highlight w:val="none"/>
        </w:rPr>
      </w:pPr>
      <w:r>
        <w:rPr>
          <w:rFonts w:cs="宋体" w:asciiTheme="minorEastAsia" w:hAnsiTheme="minorEastAsia" w:eastAsiaTheme="minorEastAsia"/>
          <w:sz w:val="24"/>
          <w:szCs w:val="24"/>
          <w:highlight w:val="none"/>
        </w:rPr>
        <w:t>2</w:t>
      </w:r>
      <w:r>
        <w:rPr>
          <w:rFonts w:hint="eastAsia" w:cs="宋体" w:asciiTheme="minorEastAsia" w:hAnsiTheme="minorEastAsia" w:eastAsiaTheme="minorEastAsia"/>
          <w:sz w:val="24"/>
          <w:szCs w:val="24"/>
          <w:highlight w:val="none"/>
        </w:rPr>
        <w:t>、中标供应商的履约保证金须在招标代理通知发中标通知书之日起</w:t>
      </w:r>
      <w:r>
        <w:rPr>
          <w:rFonts w:hint="eastAsia" w:cs="宋体" w:asciiTheme="minorEastAsia" w:hAnsiTheme="minorEastAsia" w:eastAsiaTheme="minorEastAsia"/>
          <w:sz w:val="24"/>
          <w:szCs w:val="24"/>
          <w:highlight w:val="none"/>
          <w:lang w:val="en-US" w:eastAsia="zh-CN"/>
        </w:rPr>
        <w:t>7</w:t>
      </w:r>
      <w:r>
        <w:rPr>
          <w:rFonts w:hint="eastAsia" w:cs="宋体" w:asciiTheme="minorEastAsia" w:hAnsiTheme="minorEastAsia" w:eastAsiaTheme="minorEastAsia"/>
          <w:sz w:val="24"/>
          <w:szCs w:val="24"/>
          <w:highlight w:val="none"/>
        </w:rPr>
        <w:t>个工作日内汇入招标人账户，中标供应商凭“中标通知书”和已经汇至招标人账上的“履约保证金”凭证，并在招标代理通知发中标通知书之日起</w:t>
      </w:r>
      <w:r>
        <w:rPr>
          <w:rFonts w:hint="eastAsia" w:cs="宋体" w:asciiTheme="minorEastAsia" w:hAnsiTheme="minorEastAsia" w:eastAsiaTheme="minorEastAsia"/>
          <w:sz w:val="24"/>
          <w:szCs w:val="24"/>
          <w:highlight w:val="none"/>
          <w:lang w:val="en-US" w:eastAsia="zh-CN"/>
        </w:rPr>
        <w:t>30</w:t>
      </w:r>
      <w:r>
        <w:rPr>
          <w:rFonts w:hint="eastAsia" w:cs="宋体" w:asciiTheme="minorEastAsia" w:hAnsiTheme="minorEastAsia" w:eastAsiaTheme="minorEastAsia"/>
          <w:sz w:val="24"/>
          <w:szCs w:val="24"/>
          <w:highlight w:val="none"/>
        </w:rPr>
        <w:t>日内与招标人签订合同。超期则视为自动放弃中标资格，没收投标保证金。</w:t>
      </w:r>
    </w:p>
    <w:p>
      <w:pPr>
        <w:spacing w:line="360" w:lineRule="auto"/>
        <w:ind w:firstLine="480" w:firstLineChars="200"/>
        <w:rPr>
          <w:rFonts w:asciiTheme="minorEastAsia" w:hAnsiTheme="minorEastAsia" w:eastAsiaTheme="minorEastAsia"/>
          <w:sz w:val="24"/>
          <w:szCs w:val="24"/>
          <w:highlight w:val="none"/>
        </w:rPr>
      </w:pPr>
      <w:r>
        <w:rPr>
          <w:rFonts w:cs="宋体" w:asciiTheme="minorEastAsia" w:hAnsiTheme="minorEastAsia" w:eastAsiaTheme="minorEastAsia"/>
          <w:sz w:val="24"/>
          <w:szCs w:val="24"/>
          <w:highlight w:val="none"/>
        </w:rPr>
        <w:t>3</w:t>
      </w:r>
      <w:r>
        <w:rPr>
          <w:rFonts w:hint="eastAsia" w:cs="宋体" w:asciiTheme="minorEastAsia" w:hAnsiTheme="minorEastAsia" w:eastAsiaTheme="minorEastAsia"/>
          <w:sz w:val="24"/>
          <w:szCs w:val="24"/>
          <w:highlight w:val="none"/>
        </w:rPr>
        <w:t>、中标供应商在按要求保质保量的完成该项目合同并通过验收后，招标人凭中标供应商提交的申请，一次性无息退还该合同项目的履约保证金。</w:t>
      </w:r>
    </w:p>
    <w:p>
      <w:pPr>
        <w:spacing w:line="360" w:lineRule="auto"/>
        <w:ind w:firstLine="480" w:firstLineChars="200"/>
        <w:rPr>
          <w:rFonts w:asciiTheme="minorEastAsia" w:hAnsiTheme="minorEastAsia" w:eastAsiaTheme="minorEastAsia"/>
          <w:sz w:val="24"/>
          <w:szCs w:val="24"/>
          <w:highlight w:val="none"/>
        </w:rPr>
      </w:pPr>
      <w:r>
        <w:rPr>
          <w:rFonts w:cs="宋体" w:asciiTheme="minorEastAsia" w:hAnsiTheme="minorEastAsia" w:eastAsiaTheme="minorEastAsia"/>
          <w:sz w:val="24"/>
          <w:szCs w:val="24"/>
          <w:highlight w:val="none"/>
        </w:rPr>
        <w:t>4</w:t>
      </w:r>
      <w:r>
        <w:rPr>
          <w:rFonts w:hint="eastAsia" w:cs="宋体" w:asciiTheme="minorEastAsia" w:hAnsiTheme="minorEastAsia" w:eastAsiaTheme="minorEastAsia"/>
          <w:sz w:val="24"/>
          <w:szCs w:val="24"/>
          <w:highlight w:val="none"/>
        </w:rPr>
        <w:t>、由于中标供应商原因，在签订合同后出现不按合同履行的情况，招标人有权将履约保证金作为违约金，全额不予退还，同时招标人亦有权终止合同，中标供应商还须承担相应的法律赔偿责任。</w:t>
      </w:r>
    </w:p>
    <w:p>
      <w:pPr>
        <w:snapToGrid w:val="0"/>
        <w:spacing w:line="420" w:lineRule="exact"/>
        <w:ind w:firstLine="496" w:firstLineChars="206"/>
        <w:outlineLvl w:val="1"/>
        <w:rPr>
          <w:rFonts w:asciiTheme="minorEastAsia" w:hAnsiTheme="minorEastAsia" w:eastAsiaTheme="minorEastAsia"/>
          <w:bCs/>
          <w:sz w:val="24"/>
          <w:szCs w:val="24"/>
          <w:highlight w:val="none"/>
          <w:lang w:val="zh-CN"/>
        </w:rPr>
      </w:pPr>
      <w:r>
        <w:rPr>
          <w:rFonts w:hint="eastAsia" w:asciiTheme="minorEastAsia" w:hAnsiTheme="minorEastAsia" w:eastAsiaTheme="minorEastAsia"/>
          <w:b/>
          <w:sz w:val="24"/>
          <w:szCs w:val="24"/>
          <w:highlight w:val="none"/>
        </w:rPr>
        <w:t>十八、付款方式</w:t>
      </w:r>
    </w:p>
    <w:p>
      <w:pPr>
        <w:snapToGrid w:val="0"/>
        <w:spacing w:line="44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【特别提醒】付款方式不接受负偏离及任何意图改变付款方式的意图表达，否则作无效投标处理。</w:t>
      </w:r>
    </w:p>
    <w:p>
      <w:pPr>
        <w:snapToGrid w:val="0"/>
        <w:spacing w:line="420" w:lineRule="exact"/>
        <w:ind w:firstLine="480" w:firstLineChars="200"/>
        <w:rPr>
          <w:rFonts w:hint="eastAsia"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付款方</w:t>
      </w:r>
      <w:r>
        <w:rPr>
          <w:rFonts w:hint="eastAsia" w:asciiTheme="minorEastAsia" w:hAnsiTheme="minorEastAsia" w:eastAsiaTheme="minorEastAsia"/>
          <w:bCs/>
          <w:sz w:val="24"/>
          <w:szCs w:val="24"/>
          <w:highlight w:val="none"/>
          <w:lang w:val="zh-CN"/>
        </w:rPr>
        <w:t>式：</w:t>
      </w:r>
    </w:p>
    <w:p>
      <w:pPr>
        <w:snapToGrid w:val="0"/>
        <w:spacing w:line="420" w:lineRule="exact"/>
        <w:ind w:firstLine="480" w:firstLineChars="200"/>
        <w:rPr>
          <w:rFonts w:hint="eastAsia"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eastAsia="zh-CN"/>
        </w:rPr>
        <w:t>1、验收合格2个月内支付合同款95%，验收合格起质保期1年，1年后支付剩余合同款项5%。</w:t>
      </w:r>
    </w:p>
    <w:p>
      <w:pPr>
        <w:snapToGrid w:val="0"/>
        <w:spacing w:line="420" w:lineRule="exact"/>
        <w:ind w:firstLine="480" w:firstLineChars="200"/>
        <w:rPr>
          <w:rFonts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2、最终以双方签订的采购合同内确定的付款结算条款为准。</w:t>
      </w:r>
    </w:p>
    <w:p>
      <w:pPr>
        <w:snapToGrid w:val="0"/>
        <w:spacing w:line="420" w:lineRule="exact"/>
        <w:ind w:firstLine="482" w:firstLineChars="200"/>
        <w:rPr>
          <w:rFonts w:asciiTheme="minorEastAsia" w:hAnsiTheme="minorEastAsia" w:eastAsiaTheme="minorEastAsia"/>
          <w:b/>
          <w:sz w:val="24"/>
          <w:szCs w:val="24"/>
          <w:highlight w:val="none"/>
          <w:lang w:val="zh-CN"/>
        </w:rPr>
      </w:pPr>
      <w:r>
        <w:rPr>
          <w:rFonts w:hint="eastAsia" w:asciiTheme="minorEastAsia" w:hAnsiTheme="minorEastAsia" w:eastAsiaTheme="minorEastAsia"/>
          <w:b/>
          <w:sz w:val="24"/>
          <w:szCs w:val="24"/>
          <w:highlight w:val="none"/>
          <w:lang w:val="zh-CN"/>
        </w:rPr>
        <w:t>十</w:t>
      </w:r>
      <w:r>
        <w:rPr>
          <w:rFonts w:hint="eastAsia" w:asciiTheme="minorEastAsia" w:hAnsiTheme="minorEastAsia" w:eastAsiaTheme="minorEastAsia"/>
          <w:b/>
          <w:sz w:val="24"/>
          <w:szCs w:val="24"/>
          <w:highlight w:val="none"/>
        </w:rPr>
        <w:t>九</w:t>
      </w:r>
      <w:r>
        <w:rPr>
          <w:rFonts w:hint="eastAsia" w:asciiTheme="minorEastAsia" w:hAnsiTheme="minorEastAsia" w:eastAsiaTheme="minorEastAsia"/>
          <w:b/>
          <w:sz w:val="24"/>
          <w:szCs w:val="24"/>
          <w:highlight w:val="none"/>
          <w:lang w:val="zh-CN"/>
        </w:rPr>
        <w:t>、服务量的调整及结算方式</w:t>
      </w:r>
    </w:p>
    <w:p>
      <w:pPr>
        <w:snapToGrid w:val="0"/>
        <w:spacing w:line="44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如因招标人实际需求，采购的</w:t>
      </w:r>
      <w:r>
        <w:rPr>
          <w:rFonts w:hint="eastAsia" w:asciiTheme="minorEastAsia" w:hAnsiTheme="minorEastAsia" w:eastAsiaTheme="minorEastAsia"/>
          <w:sz w:val="24"/>
          <w:szCs w:val="24"/>
          <w:highlight w:val="none"/>
          <w:lang w:val="en-US" w:eastAsia="zh-CN"/>
        </w:rPr>
        <w:t>货物</w:t>
      </w:r>
      <w:r>
        <w:rPr>
          <w:rFonts w:hint="eastAsia" w:asciiTheme="minorEastAsia" w:hAnsiTheme="minorEastAsia" w:eastAsiaTheme="minorEastAsia"/>
          <w:sz w:val="24"/>
          <w:szCs w:val="24"/>
          <w:highlight w:val="none"/>
        </w:rPr>
        <w:t>数量发生变化，中标人须无条件满足招标人要求，确保</w:t>
      </w:r>
      <w:r>
        <w:rPr>
          <w:rFonts w:hint="eastAsia" w:asciiTheme="minorEastAsia" w:hAnsiTheme="minorEastAsia" w:eastAsiaTheme="minorEastAsia"/>
          <w:sz w:val="24"/>
          <w:szCs w:val="24"/>
          <w:highlight w:val="none"/>
          <w:lang w:val="en-US" w:eastAsia="zh-CN"/>
        </w:rPr>
        <w:t>货物</w:t>
      </w:r>
      <w:r>
        <w:rPr>
          <w:rFonts w:hint="eastAsia" w:asciiTheme="minorEastAsia" w:hAnsiTheme="minorEastAsia" w:eastAsiaTheme="minorEastAsia"/>
          <w:sz w:val="24"/>
          <w:szCs w:val="24"/>
          <w:highlight w:val="none"/>
        </w:rPr>
        <w:t>质量；结算时按招标人确认的实际</w:t>
      </w:r>
      <w:r>
        <w:rPr>
          <w:rFonts w:hint="eastAsia" w:asciiTheme="minorEastAsia" w:hAnsiTheme="minorEastAsia" w:eastAsiaTheme="minorEastAsia"/>
          <w:sz w:val="24"/>
          <w:szCs w:val="24"/>
          <w:highlight w:val="none"/>
          <w:lang w:val="en-US" w:eastAsia="zh-CN"/>
        </w:rPr>
        <w:t>货物</w:t>
      </w:r>
      <w:r>
        <w:rPr>
          <w:rFonts w:hint="eastAsia" w:asciiTheme="minorEastAsia" w:hAnsiTheme="minorEastAsia" w:eastAsiaTheme="minorEastAsia"/>
          <w:sz w:val="24"/>
          <w:szCs w:val="24"/>
          <w:highlight w:val="none"/>
        </w:rPr>
        <w:t>数量进行结算，项目综合单价不变。</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二十、代理服务费</w:t>
      </w:r>
    </w:p>
    <w:p>
      <w:pPr>
        <w:snapToGrid w:val="0"/>
        <w:spacing w:line="44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1、中标单位中标后向代理公司支付招标代理服务费</w:t>
      </w:r>
      <w:r>
        <w:rPr>
          <w:rFonts w:hint="eastAsia" w:asciiTheme="minorEastAsia" w:hAnsiTheme="minorEastAsia" w:eastAsiaTheme="minorEastAsia"/>
          <w:sz w:val="24"/>
          <w:szCs w:val="24"/>
          <w:highlight w:val="none"/>
          <w:lang w:val="en-US" w:eastAsia="zh-CN"/>
        </w:rPr>
        <w:t>2500</w:t>
      </w:r>
      <w:r>
        <w:rPr>
          <w:rFonts w:hint="eastAsia" w:asciiTheme="minorEastAsia" w:hAnsiTheme="minorEastAsia" w:eastAsiaTheme="minorEastAsia"/>
          <w:sz w:val="24"/>
          <w:szCs w:val="24"/>
          <w:highlight w:val="none"/>
        </w:rPr>
        <w:t>元。</w:t>
      </w:r>
    </w:p>
    <w:p>
      <w:pPr>
        <w:snapToGrid w:val="0"/>
        <w:spacing w:line="44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2、投标人自行考虑包含在投标总价内的该项费用及风险并将其综合在单价内，不得单列。</w:t>
      </w:r>
    </w:p>
    <w:p>
      <w:pPr>
        <w:snapToGrid w:val="0"/>
        <w:spacing w:line="440" w:lineRule="exact"/>
        <w:ind w:firstLine="48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4"/>
          <w:szCs w:val="24"/>
          <w:highlight w:val="none"/>
        </w:rPr>
        <w:t>3、代理服务费应在中标通知书发出前一次性付清。</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二十一、未尽事宜</w:t>
      </w:r>
    </w:p>
    <w:p>
      <w:pPr>
        <w:snapToGrid w:val="0"/>
        <w:spacing w:line="420" w:lineRule="exact"/>
        <w:ind w:firstLine="494" w:firstLineChars="20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按相关的法律法规执行。</w:t>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highlight w:val="none"/>
        </w:rPr>
      </w:pPr>
      <w:bookmarkStart w:id="3" w:name="_Toc363573855"/>
      <w:r>
        <w:rPr>
          <w:rFonts w:asciiTheme="minorEastAsia" w:hAnsiTheme="minorEastAsia" w:eastAsiaTheme="minorEastAsia"/>
          <w:b/>
          <w:w w:val="80"/>
          <w:sz w:val="32"/>
          <w:szCs w:val="32"/>
          <w:highlight w:val="none"/>
        </w:rPr>
        <w:br w:type="page"/>
      </w:r>
      <w:r>
        <w:rPr>
          <w:rFonts w:hint="eastAsia" w:asciiTheme="minorEastAsia" w:hAnsiTheme="minorEastAsia" w:eastAsiaTheme="minorEastAsia"/>
          <w:b/>
          <w:w w:val="80"/>
          <w:sz w:val="32"/>
          <w:szCs w:val="32"/>
          <w:highlight w:val="none"/>
        </w:rPr>
        <w:t>第三章</w:t>
      </w:r>
      <w:r>
        <w:rPr>
          <w:rFonts w:asciiTheme="minorEastAsia" w:hAnsiTheme="minorEastAsia" w:eastAsiaTheme="minorEastAsia"/>
          <w:b/>
          <w:w w:val="80"/>
          <w:sz w:val="32"/>
          <w:szCs w:val="32"/>
          <w:highlight w:val="none"/>
        </w:rPr>
        <w:t xml:space="preserve">  </w:t>
      </w:r>
      <w:r>
        <w:rPr>
          <w:rFonts w:hint="eastAsia" w:asciiTheme="minorEastAsia" w:hAnsiTheme="minorEastAsia" w:eastAsiaTheme="minorEastAsia"/>
          <w:b/>
          <w:w w:val="80"/>
          <w:sz w:val="32"/>
          <w:szCs w:val="32"/>
          <w:highlight w:val="none"/>
        </w:rPr>
        <w:t>项目需求</w:t>
      </w:r>
      <w:bookmarkEnd w:id="3"/>
    </w:p>
    <w:p>
      <w:pPr>
        <w:spacing w:line="360" w:lineRule="auto"/>
        <w:rPr>
          <w:rFonts w:hint="eastAsia" w:ascii="宋体" w:hAnsi="宋体" w:eastAsia="宋体" w:cs="宋体"/>
          <w:sz w:val="24"/>
          <w:szCs w:val="24"/>
          <w:highlight w:val="none"/>
          <w:lang w:val="en-US" w:eastAsia="zh-CN"/>
        </w:rPr>
      </w:pPr>
      <w:bookmarkStart w:id="4" w:name="_Toc13543213"/>
      <w:r>
        <w:rPr>
          <w:rFonts w:hint="eastAsia" w:ascii="宋体" w:hAnsi="宋体" w:eastAsia="宋体" w:cs="宋体"/>
          <w:sz w:val="24"/>
          <w:szCs w:val="24"/>
          <w:highlight w:val="none"/>
          <w:lang w:val="en-US" w:eastAsia="zh-CN"/>
        </w:rPr>
        <w:t>1.规格及数量</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"mailto:IG100无缝钢瓶436只型式检验（单个瓶体容积82L、灭火剂18公斤、贮存压力20mpa@20°、工作压力23.2mpa）"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IG100无缝钢瓶436只型式检验（单个瓶体容积82L、灭火剂18公斤、贮存压力20mpa@20°、工作压力23.2mpa）</w:t>
      </w:r>
      <w:r>
        <w:rPr>
          <w:rFonts w:hint="eastAsia" w:ascii="宋体" w:hAnsi="宋体" w:eastAsia="宋体" w:cs="宋体"/>
          <w:sz w:val="24"/>
          <w:szCs w:val="24"/>
          <w:highlight w:val="none"/>
          <w:lang w:val="en-US" w:eastAsia="zh-CN"/>
        </w:rPr>
        <w:fldChar w:fldCharType="end"/>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pacing w:after="0" w:line="440" w:lineRule="exact"/>
        <w:ind w:right="0" w:rightChars="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lang w:eastAsia="zh-CN"/>
        </w:rPr>
        <w:t>检测</w:t>
      </w:r>
      <w:r>
        <w:rPr>
          <w:rFonts w:hint="eastAsia" w:ascii="宋体" w:hAnsi="宋体" w:eastAsia="宋体" w:cs="宋体"/>
          <w:b w:val="0"/>
          <w:bCs/>
          <w:sz w:val="24"/>
          <w:szCs w:val="24"/>
          <w:highlight w:val="none"/>
        </w:rPr>
        <w:t>质量标准、质量控制及验收要求</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2.1施工质量标准</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2.11乙方须提供高质量的服务；</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2.11.1乙方负责钢瓶的标号、记录、拆卸、安装，并对瓶组的安装质量负责，运输和安装过程中确保瓶体不受外表损伤；</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2.11.2检验过程中确保每个钢瓶瓶头阀100％检验，膜片100％检验更换，瓶体承压100％检验。</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2.12根据国家和地方有关建筑消防设施的技术规范，保障上述设备设施的正常运行，满足技术参数、配置（功能）及安装要求；</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2.13所有充装药剂的生产、制造、安装等各项技术标准应当符合国家（强制性）标准；</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2.14各项规范要求，国家没有相应标准、规范的，可使用行业标准、规定。</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2.2质量控制</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2.2.1施工准备工作就序，同意后方可进行正式施工；</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2.2.2项目施工开始前，乙方须编制技术方案，方案中须明确各站点的技术难点、技术管控、检测流程步骤及工期等，并得到甲方同意后，才能实施。</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2.2.3拆卸气瓶过程，需注意现场气消系统气瓶的保护，严禁造成其他气瓶故障或误动作，否则，由乙方负责恢复，并承担全部责任。</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2.2.4搬运气瓶时，应使用专业搬运工具，并做好人员及设备的安全保护，防止人员受伤；</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2.2.5安全包括人身安全和设备的安全。要求施工人员在施工过程中遵守各项安全操作规程，在施工中拆装、搬运等过程中对电气设备和材料要进行防护。</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2.3分批检验，提供检测图片</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结合安全需求，分2批进行检测，第一批把气体灭火瓶对点闲置库房的气瓶运走进行第一批检测，第一批气瓶检测完替换第二批气体灭火瓶对点使用库房的气瓶。实时提供钢瓶运输、送检等图片。</w:t>
      </w:r>
    </w:p>
    <w:p>
      <w:pPr>
        <w:pStyle w:val="202"/>
        <w:keepNext w:val="0"/>
        <w:keepLines w:val="0"/>
        <w:pageBreakBefore w:val="0"/>
        <w:widowControl w:val="0"/>
        <w:numPr>
          <w:ilvl w:val="0"/>
          <w:numId w:val="0"/>
        </w:numPr>
        <w:tabs>
          <w:tab w:val="left" w:pos="641"/>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3.4验收要求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验收按合同及甲方规定的要求进行，甲方对项目质量进行全面检查，本工程气体灭火系统及构成部件的性能要求、试验方法、检验规则必须符合《气体灭火系统施工及验收规范》GB50263-2007、《气瓶安全技术规程》TSG</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"http://www.csres.com/detail/357903.html" \t "http://www.csres.com/detail/_blank"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23-2021</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等有关规定；</w:t>
      </w:r>
    </w:p>
    <w:p>
      <w:pPr>
        <w:spacing w:line="360" w:lineRule="auto"/>
        <w:jc w:val="center"/>
        <w:rPr>
          <w:rFonts w:asciiTheme="minorEastAsia" w:hAnsiTheme="minorEastAsia" w:eastAsiaTheme="minorEastAsia"/>
          <w:b/>
          <w:w w:val="80"/>
          <w:sz w:val="32"/>
          <w:szCs w:val="32"/>
          <w:highlight w:val="none"/>
        </w:rPr>
      </w:pPr>
      <w:r>
        <w:rPr>
          <w:rFonts w:hint="eastAsia" w:asciiTheme="minorEastAsia" w:hAnsiTheme="minorEastAsia" w:eastAsiaTheme="minorEastAsia" w:cstheme="minorEastAsia"/>
          <w:b/>
          <w:bCs/>
          <w:sz w:val="24"/>
          <w:szCs w:val="24"/>
          <w:highlight w:val="none"/>
        </w:rPr>
        <w:br w:type="page"/>
      </w:r>
      <w:r>
        <w:rPr>
          <w:rFonts w:hint="eastAsia" w:asciiTheme="minorEastAsia" w:hAnsiTheme="minorEastAsia" w:eastAsiaTheme="minorEastAsia"/>
          <w:b/>
          <w:w w:val="80"/>
          <w:sz w:val="32"/>
          <w:szCs w:val="32"/>
          <w:highlight w:val="none"/>
        </w:rPr>
        <w:t xml:space="preserve">第四章  </w:t>
      </w:r>
      <w:bookmarkStart w:id="5" w:name="_Toc182848996"/>
      <w:r>
        <w:rPr>
          <w:rFonts w:hint="eastAsia" w:asciiTheme="minorEastAsia" w:hAnsiTheme="minorEastAsia" w:eastAsiaTheme="minorEastAsia"/>
          <w:b/>
          <w:w w:val="80"/>
          <w:sz w:val="32"/>
          <w:szCs w:val="32"/>
          <w:highlight w:val="none"/>
        </w:rPr>
        <w:t>评审程序和方法</w:t>
      </w:r>
    </w:p>
    <w:bookmarkEnd w:id="5"/>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一、评标小组组成</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1、依法成立评标委员会，成员人数为</w:t>
      </w:r>
      <w:r>
        <w:rPr>
          <w:rFonts w:hint="eastAsia" w:asciiTheme="minorEastAsia" w:hAnsiTheme="minorEastAsia" w:eastAsiaTheme="minorEastAsia"/>
          <w:b/>
          <w:sz w:val="24"/>
          <w:szCs w:val="24"/>
          <w:highlight w:val="none"/>
        </w:rPr>
        <w:t>3</w:t>
      </w:r>
      <w:r>
        <w:rPr>
          <w:rFonts w:hint="eastAsia" w:asciiTheme="minorEastAsia" w:hAnsiTheme="minorEastAsia" w:eastAsiaTheme="minorEastAsia"/>
          <w:sz w:val="24"/>
          <w:szCs w:val="24"/>
          <w:highlight w:val="none"/>
        </w:rPr>
        <w:t>人或以上单数。</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二、评标小组的职责</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评标小组负责具体的评审事务，并履行以下职责：</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1、审查投标文件是否符合招标文件的要求，并做出评价；</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2、可以要求投标人对投标文件内的有关事项做出解释或澄清；</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3、推荐中标候选人或按次序排列的中标候选人名单；</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4、评标小组成员应当履行下列义务：</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（1）遵纪守法，客观、公正、廉洁地履行职责；</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（2）评标小组成员应当按照客观、公正、审慎的原则，根据招标文件规定的评审程序、评审方法和评审标准进行独立评审。</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（3）评标小组成员应当遵守评审工作纪律，不得泄露评审情况和评审中获悉的商业秘密，对个人的评审意见承担法律责任；</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（4）评审程序中的有关记录由评标小组成员签名，存档备查。</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（5）评标小组成员在评审过程中发现投标人有行贿、提供虚假材料或者串通等违法行为的，应当及时向财政部门报告。</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（6）评标小组成员在评审过程中受到非法干涉的，应当及时向财政、监察等部门举报。</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（7）评标小组成员有义务及责任配合招标人答复投标人提出的质疑，配合财政部门的投诉处理和监督检查工作。</w:t>
      </w:r>
    </w:p>
    <w:p>
      <w:pPr>
        <w:adjustRightInd w:val="0"/>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5、在投标文件的评审、澄清、评价和比较以及授予合同的过程中，投标人对招标人和评标小组成员有施加影响的任何行为，都将取消其中标资格。</w:t>
      </w:r>
    </w:p>
    <w:p>
      <w:pPr>
        <w:adjustRightInd w:val="0"/>
        <w:snapToGrid w:val="0"/>
        <w:spacing w:line="420" w:lineRule="exact"/>
        <w:ind w:firstLine="487" w:firstLineChars="20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三、开标</w:t>
      </w:r>
    </w:p>
    <w:p>
      <w:pPr>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1、招标代理机构主持开标并记录，及时处理投标人代表提出的询问或者回避申请。</w:t>
      </w:r>
    </w:p>
    <w:p>
      <w:pPr>
        <w:spacing w:line="42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sz w:val="24"/>
          <w:szCs w:val="24"/>
          <w:highlight w:val="none"/>
        </w:rPr>
        <w:t>2、投标人不足3家的不得开标。</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四、评审原则及方法</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1、评审程序：资格符合性评审→价格标评审→确定中标候选人</w:t>
      </w:r>
    </w:p>
    <w:p>
      <w:pPr>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2、本项目采用</w:t>
      </w:r>
      <w:r>
        <w:rPr>
          <w:rFonts w:hint="eastAsia" w:asciiTheme="minorEastAsia" w:hAnsiTheme="minorEastAsia" w:eastAsiaTheme="minorEastAsia"/>
          <w:sz w:val="24"/>
          <w:szCs w:val="24"/>
          <w:highlight w:val="none"/>
          <w:u w:val="single"/>
        </w:rPr>
        <w:t xml:space="preserve">  价格单因素法  </w:t>
      </w:r>
      <w:r>
        <w:rPr>
          <w:rFonts w:hint="eastAsia" w:asciiTheme="minorEastAsia" w:hAnsiTheme="minorEastAsia" w:eastAsiaTheme="minorEastAsia"/>
          <w:sz w:val="24"/>
          <w:szCs w:val="24"/>
          <w:highlight w:val="none"/>
        </w:rPr>
        <w:t>。</w:t>
      </w:r>
    </w:p>
    <w:p>
      <w:pPr>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3、评标委员会成员：对符合资格的投标人的投标文件进行符合性审查，以确定其是否满足招标文件的实质性要求；按照招标文件中规定的评标方法和标准，对符合性审查合格的投标文件进行商务评估。</w:t>
      </w:r>
    </w:p>
    <w:p>
      <w:pPr>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4、对投标文件的评审判定，只依据投标文件内容本身，不依靠开标后任何外来证明文件。</w:t>
      </w:r>
    </w:p>
    <w:p>
      <w:pPr>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5、资格审查合格标准</w:t>
      </w:r>
    </w:p>
    <w:p>
      <w:pPr>
        <w:pStyle w:val="21"/>
        <w:rPr>
          <w:highlight w:val="none"/>
        </w:rPr>
      </w:pPr>
    </w:p>
    <w:tbl>
      <w:tblPr>
        <w:tblStyle w:val="58"/>
        <w:tblW w:w="9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73"/>
        <w:gridCol w:w="4470"/>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序号</w:t>
            </w:r>
          </w:p>
        </w:tc>
        <w:tc>
          <w:tcPr>
            <w:tcW w:w="19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评审内容</w:t>
            </w:r>
          </w:p>
        </w:tc>
        <w:tc>
          <w:tcPr>
            <w:tcW w:w="44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合格条件</w:t>
            </w:r>
          </w:p>
        </w:tc>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szCs w:val="21"/>
                <w:highlight w:val="none"/>
              </w:rPr>
            </w:pPr>
            <w:r>
              <w:rPr>
                <w:rFonts w:ascii="Tahoma" w:eastAsia="Tahoma"/>
                <w:b/>
                <w:szCs w:val="21"/>
                <w:highlight w:val="none"/>
              </w:rPr>
              <w:t>投标申请人具备</w:t>
            </w:r>
          </w:p>
          <w:p>
            <w:pPr>
              <w:spacing w:line="320" w:lineRule="exact"/>
              <w:jc w:val="center"/>
              <w:rPr>
                <w:rFonts w:ascii="宋体" w:hAnsi="宋体"/>
                <w:b/>
                <w:kern w:val="0"/>
                <w:szCs w:val="21"/>
                <w:highlight w:val="none"/>
              </w:rPr>
            </w:pPr>
            <w:r>
              <w:rPr>
                <w:rFonts w:ascii="Tahoma" w:eastAsia="Tahoma"/>
                <w:b/>
                <w:szCs w:val="21"/>
                <w:highlight w:val="none"/>
              </w:rPr>
              <w:t>的条件或说明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9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营业执照</w:t>
            </w:r>
          </w:p>
        </w:tc>
        <w:tc>
          <w:tcPr>
            <w:tcW w:w="44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heme="minorEastAsia" w:hAnsiTheme="minorEastAsia" w:eastAsiaTheme="minorEastAsia"/>
                <w:sz w:val="24"/>
                <w:highlight w:val="none"/>
              </w:rPr>
            </w:pPr>
            <w:r>
              <w:rPr>
                <w:rFonts w:hint="eastAsia" w:asciiTheme="minorEastAsia" w:hAnsiTheme="minorEastAsia" w:eastAsiaTheme="minorEastAsia"/>
                <w:spacing w:val="-4"/>
                <w:sz w:val="24"/>
                <w:highlight w:val="none"/>
              </w:rPr>
              <w:t>投标人具有独立法人资格，</w:t>
            </w:r>
            <w:r>
              <w:rPr>
                <w:rFonts w:hint="eastAsia" w:asciiTheme="minorEastAsia" w:hAnsiTheme="minorEastAsia" w:eastAsiaTheme="minorEastAsia"/>
                <w:kern w:val="0"/>
                <w:sz w:val="24"/>
                <w:highlight w:val="none"/>
              </w:rPr>
              <w:t>具有有效的企业法人营业执照副本复印件、税务登记证副本复印件；或三证合一的营业执照副本复印件。</w:t>
            </w:r>
          </w:p>
        </w:tc>
        <w:tc>
          <w:tcPr>
            <w:tcW w:w="247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heme="minorEastAsia" w:hAnsiTheme="minorEastAsia" w:eastAsiaTheme="minorEastAsia"/>
                <w:sz w:val="24"/>
                <w:highlight w:val="none"/>
              </w:rPr>
            </w:pPr>
            <w:r>
              <w:rPr>
                <w:rFonts w:hint="eastAsia" w:asciiTheme="minorEastAsia" w:hAnsiTheme="minorEastAsia" w:eastAsiaTheme="minorEastAsia"/>
                <w:spacing w:val="-4"/>
                <w:sz w:val="24"/>
                <w:highlight w:val="none"/>
              </w:rPr>
              <w:t>投标人具有独立法人资格，</w:t>
            </w:r>
            <w:r>
              <w:rPr>
                <w:rFonts w:hint="eastAsia" w:asciiTheme="minorEastAsia" w:hAnsiTheme="minorEastAsia" w:eastAsiaTheme="minorEastAsia"/>
                <w:kern w:val="0"/>
                <w:sz w:val="24"/>
                <w:highlight w:val="none"/>
              </w:rPr>
              <w:t>具有有效的企业法人营业执照副本复印件、税务登记证副本复印件；或三证合一的营业执照副本复印件。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817" w:type="dxa"/>
            <w:tcBorders>
              <w:top w:val="single" w:color="auto" w:sz="4" w:space="0"/>
              <w:left w:val="single" w:color="auto" w:sz="4" w:space="0"/>
              <w:right w:val="single" w:color="auto" w:sz="4" w:space="0"/>
            </w:tcBorders>
            <w:vAlign w:val="center"/>
          </w:tcPr>
          <w:p>
            <w:pPr>
              <w:spacing w:line="32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73" w:type="dxa"/>
            <w:tcBorders>
              <w:top w:val="single" w:color="auto" w:sz="4" w:space="0"/>
              <w:left w:val="single" w:color="auto" w:sz="4" w:space="0"/>
              <w:right w:val="single" w:color="auto" w:sz="4" w:space="0"/>
            </w:tcBorders>
            <w:vAlign w:val="center"/>
          </w:tcPr>
          <w:p>
            <w:pPr>
              <w:spacing w:line="3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w:t>
            </w:r>
            <w:r>
              <w:rPr>
                <w:rFonts w:asciiTheme="minorEastAsia" w:hAnsiTheme="minorEastAsia" w:eastAsiaTheme="minorEastAsia"/>
                <w:sz w:val="24"/>
                <w:highlight w:val="none"/>
              </w:rPr>
              <w:t>代表人身份证明、授权委托书</w:t>
            </w:r>
          </w:p>
        </w:tc>
        <w:tc>
          <w:tcPr>
            <w:tcW w:w="4470" w:type="dxa"/>
            <w:tcBorders>
              <w:top w:val="single" w:color="auto" w:sz="4" w:space="0"/>
              <w:left w:val="single" w:color="auto" w:sz="4" w:space="0"/>
              <w:right w:val="single" w:color="auto" w:sz="4" w:space="0"/>
            </w:tcBorders>
            <w:vAlign w:val="center"/>
          </w:tcPr>
          <w:p>
            <w:pPr>
              <w:spacing w:line="320" w:lineRule="exact"/>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法定代表人参加投标的，必须提供法定代表人身份证明及法定代表人本人身份证复印件；非法定代表人参加投标的，必须提供法定代表人签字或盖章的授权委托书及被授权人本人的身份证复印件。</w:t>
            </w:r>
          </w:p>
        </w:tc>
        <w:tc>
          <w:tcPr>
            <w:tcW w:w="2473" w:type="dxa"/>
            <w:tcBorders>
              <w:top w:val="single" w:color="auto" w:sz="4" w:space="0"/>
              <w:left w:val="single" w:color="auto" w:sz="4" w:space="0"/>
              <w:right w:val="single" w:color="auto" w:sz="4" w:space="0"/>
            </w:tcBorders>
            <w:vAlign w:val="center"/>
          </w:tcPr>
          <w:p>
            <w:pPr>
              <w:spacing w:line="32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格式见第八章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817" w:type="dxa"/>
            <w:tcBorders>
              <w:top w:val="single" w:color="auto" w:sz="4" w:space="0"/>
              <w:left w:val="single" w:color="auto" w:sz="4" w:space="0"/>
              <w:right w:val="single" w:color="auto" w:sz="4" w:space="0"/>
            </w:tcBorders>
            <w:vAlign w:val="center"/>
          </w:tcPr>
          <w:p>
            <w:pPr>
              <w:spacing w:line="320" w:lineRule="exact"/>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973" w:type="dxa"/>
            <w:tcBorders>
              <w:top w:val="single" w:color="auto" w:sz="4" w:space="0"/>
              <w:left w:val="single" w:color="auto" w:sz="4" w:space="0"/>
              <w:right w:val="single" w:color="auto" w:sz="4" w:space="0"/>
            </w:tcBorders>
            <w:vAlign w:val="center"/>
          </w:tcPr>
          <w:p>
            <w:pPr>
              <w:spacing w:line="320" w:lineRule="exact"/>
              <w:jc w:val="center"/>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szCs w:val="24"/>
                <w:highlight w:val="none"/>
                <w:lang w:val="en-US" w:eastAsia="zh-CN"/>
              </w:rPr>
              <w:t>资质要求</w:t>
            </w:r>
          </w:p>
        </w:tc>
        <w:tc>
          <w:tcPr>
            <w:tcW w:w="4470" w:type="dxa"/>
            <w:tcBorders>
              <w:top w:val="single" w:color="auto" w:sz="4" w:space="0"/>
              <w:left w:val="single" w:color="auto" w:sz="4" w:space="0"/>
              <w:right w:val="single" w:color="auto" w:sz="4" w:space="0"/>
            </w:tcBorders>
            <w:vAlign w:val="center"/>
          </w:tcPr>
          <w:p>
            <w:pPr>
              <w:spacing w:line="32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投标单位</w:t>
            </w:r>
            <w:r>
              <w:rPr>
                <w:rFonts w:hint="eastAsia" w:asciiTheme="minorEastAsia" w:hAnsiTheme="minorEastAsia" w:eastAsiaTheme="minorEastAsia"/>
                <w:sz w:val="24"/>
                <w:szCs w:val="24"/>
                <w:highlight w:val="none"/>
              </w:rPr>
              <w:t>应具备省级市场监督管理局核发</w:t>
            </w:r>
            <w:r>
              <w:rPr>
                <w:rFonts w:hint="eastAsia" w:asciiTheme="minorEastAsia" w:hAnsiTheme="minorEastAsia" w:eastAsiaTheme="minorEastAsia"/>
                <w:sz w:val="24"/>
                <w:szCs w:val="24"/>
                <w:highlight w:val="none"/>
                <w:lang w:eastAsia="zh-CN"/>
              </w:rPr>
              <w:t>的《中华人民共和国特种设备检验检测机构核准证》</w:t>
            </w:r>
            <w:r>
              <w:rPr>
                <w:rFonts w:hint="eastAsia" w:asciiTheme="minorEastAsia" w:hAnsiTheme="minorEastAsia" w:eastAsiaTheme="minorEastAsia"/>
                <w:sz w:val="24"/>
                <w:szCs w:val="24"/>
                <w:highlight w:val="none"/>
              </w:rPr>
              <w:t xml:space="preserve"> （检测目录中需含PD1无缝气瓶</w:t>
            </w:r>
            <w:r>
              <w:rPr>
                <w:rFonts w:hint="eastAsia" w:asciiTheme="minorEastAsia" w:hAnsiTheme="minorEastAsia" w:eastAsiaTheme="minorEastAsia"/>
                <w:sz w:val="24"/>
                <w:szCs w:val="24"/>
                <w:highlight w:val="none"/>
                <w:lang w:eastAsia="zh-CN"/>
              </w:rPr>
              <w:t>或</w:t>
            </w:r>
            <w:r>
              <w:rPr>
                <w:rFonts w:hint="eastAsia" w:asciiTheme="minorEastAsia" w:hAnsiTheme="minorEastAsia" w:eastAsiaTheme="minorEastAsia"/>
                <w:sz w:val="24"/>
                <w:szCs w:val="24"/>
                <w:highlight w:val="none"/>
              </w:rPr>
              <w:t>PD2</w:t>
            </w:r>
            <w:r>
              <w:rPr>
                <w:rFonts w:hint="eastAsia" w:asciiTheme="minorEastAsia" w:hAnsiTheme="minorEastAsia" w:eastAsiaTheme="minorEastAsia"/>
                <w:sz w:val="24"/>
                <w:szCs w:val="24"/>
                <w:highlight w:val="none"/>
                <w:lang w:eastAsia="zh-CN"/>
              </w:rPr>
              <w:t>或</w:t>
            </w:r>
            <w:r>
              <w:rPr>
                <w:rFonts w:hint="eastAsia" w:asciiTheme="minorEastAsia" w:hAnsiTheme="minorEastAsia" w:eastAsiaTheme="minorEastAsia"/>
                <w:sz w:val="24"/>
                <w:szCs w:val="24"/>
                <w:highlight w:val="none"/>
                <w:lang w:val="en-US" w:eastAsia="zh-CN"/>
              </w:rPr>
              <w:t>RD6</w:t>
            </w:r>
            <w:r>
              <w:rPr>
                <w:rFonts w:hint="eastAsia" w:asciiTheme="minorEastAsia" w:hAnsiTheme="minorEastAsia" w:eastAsiaTheme="minorEastAsia"/>
                <w:sz w:val="24"/>
                <w:szCs w:val="24"/>
                <w:highlight w:val="none"/>
              </w:rPr>
              <w:t>焊接气瓶检测项目）和省级市场监督管理局核发的《</w:t>
            </w:r>
            <w:r>
              <w:rPr>
                <w:rFonts w:hint="eastAsia" w:asciiTheme="minorEastAsia" w:hAnsiTheme="minorEastAsia" w:eastAsiaTheme="minorEastAsia"/>
                <w:sz w:val="24"/>
                <w:szCs w:val="24"/>
                <w:highlight w:val="none"/>
                <w:lang w:eastAsia="zh-CN"/>
              </w:rPr>
              <w:t>中华人民共和国</w:t>
            </w:r>
            <w:r>
              <w:rPr>
                <w:rFonts w:hint="eastAsia" w:asciiTheme="minorEastAsia" w:hAnsiTheme="minorEastAsia" w:eastAsiaTheme="minorEastAsia"/>
                <w:sz w:val="24"/>
                <w:szCs w:val="24"/>
                <w:highlight w:val="none"/>
              </w:rPr>
              <w:t>气瓶充装许可证》及《危险化学品经营许可证》</w:t>
            </w:r>
          </w:p>
        </w:tc>
        <w:tc>
          <w:tcPr>
            <w:tcW w:w="2473" w:type="dxa"/>
            <w:tcBorders>
              <w:top w:val="single" w:color="auto" w:sz="4" w:space="0"/>
              <w:left w:val="single" w:color="auto" w:sz="4" w:space="0"/>
              <w:right w:val="single" w:color="auto" w:sz="4" w:space="0"/>
            </w:tcBorders>
            <w:vAlign w:val="center"/>
          </w:tcPr>
          <w:p>
            <w:pPr>
              <w:spacing w:line="320" w:lineRule="exact"/>
              <w:jc w:val="center"/>
              <w:rPr>
                <w:rFonts w:asciiTheme="minorEastAsia" w:hAnsiTheme="minorEastAsia" w:eastAsiaTheme="minorEastAsia"/>
                <w:b/>
                <w:bCs/>
                <w:color w:val="FF0000"/>
                <w:sz w:val="24"/>
                <w:highlight w:val="none"/>
              </w:rPr>
            </w:pPr>
            <w:r>
              <w:rPr>
                <w:rFonts w:hint="eastAsia" w:asciiTheme="minorEastAsia" w:hAnsiTheme="minorEastAsia" w:eastAsiaTheme="minorEastAsia"/>
                <w:sz w:val="24"/>
                <w:szCs w:val="24"/>
                <w:highlight w:val="none"/>
                <w:lang w:eastAsia="zh-CN"/>
              </w:rPr>
              <w:t>投标</w:t>
            </w:r>
            <w:r>
              <w:rPr>
                <w:rFonts w:hint="eastAsia" w:asciiTheme="minorEastAsia" w:hAnsiTheme="minorEastAsia" w:eastAsiaTheme="minorEastAsia"/>
                <w:sz w:val="24"/>
                <w:szCs w:val="24"/>
                <w:highlight w:val="none"/>
                <w:lang w:val="en-US" w:eastAsia="zh-CN"/>
              </w:rPr>
              <w:t>人</w:t>
            </w:r>
            <w:r>
              <w:rPr>
                <w:rFonts w:hint="eastAsia" w:asciiTheme="minorEastAsia" w:hAnsiTheme="minorEastAsia" w:eastAsiaTheme="minorEastAsia"/>
                <w:sz w:val="24"/>
                <w:szCs w:val="24"/>
                <w:highlight w:val="none"/>
              </w:rPr>
              <w:t>应具备省级市场监督管理局核发</w:t>
            </w:r>
            <w:r>
              <w:rPr>
                <w:rFonts w:hint="eastAsia" w:asciiTheme="minorEastAsia" w:hAnsiTheme="minorEastAsia" w:eastAsiaTheme="minorEastAsia"/>
                <w:sz w:val="24"/>
                <w:szCs w:val="24"/>
                <w:highlight w:val="none"/>
                <w:lang w:eastAsia="zh-CN"/>
              </w:rPr>
              <w:t>的《中华人民共和国特种设备检验检测机构核准证》</w:t>
            </w:r>
            <w:r>
              <w:rPr>
                <w:rFonts w:hint="eastAsia" w:asciiTheme="minorEastAsia" w:hAnsiTheme="minorEastAsia" w:eastAsiaTheme="minorEastAsia"/>
                <w:sz w:val="24"/>
                <w:szCs w:val="24"/>
                <w:highlight w:val="none"/>
              </w:rPr>
              <w:t>的原件的复印件（须加盖公章）（检测目录中需含PD1无缝气瓶</w:t>
            </w:r>
            <w:r>
              <w:rPr>
                <w:rFonts w:hint="eastAsia" w:asciiTheme="minorEastAsia" w:hAnsiTheme="minorEastAsia" w:eastAsiaTheme="minorEastAsia"/>
                <w:sz w:val="24"/>
                <w:szCs w:val="24"/>
                <w:highlight w:val="none"/>
                <w:lang w:eastAsia="zh-CN"/>
              </w:rPr>
              <w:t>或</w:t>
            </w:r>
            <w:r>
              <w:rPr>
                <w:rFonts w:hint="eastAsia" w:asciiTheme="minorEastAsia" w:hAnsiTheme="minorEastAsia" w:eastAsiaTheme="minorEastAsia"/>
                <w:sz w:val="24"/>
                <w:szCs w:val="24"/>
                <w:highlight w:val="none"/>
              </w:rPr>
              <w:t>PD2</w:t>
            </w:r>
            <w:r>
              <w:rPr>
                <w:rFonts w:hint="eastAsia" w:asciiTheme="minorEastAsia" w:hAnsiTheme="minorEastAsia" w:eastAsiaTheme="minorEastAsia"/>
                <w:sz w:val="24"/>
                <w:szCs w:val="24"/>
                <w:highlight w:val="none"/>
                <w:lang w:eastAsia="zh-CN"/>
              </w:rPr>
              <w:t>或</w:t>
            </w:r>
            <w:r>
              <w:rPr>
                <w:rFonts w:hint="eastAsia" w:asciiTheme="minorEastAsia" w:hAnsiTheme="minorEastAsia" w:eastAsiaTheme="minorEastAsia"/>
                <w:sz w:val="24"/>
                <w:szCs w:val="24"/>
                <w:highlight w:val="none"/>
                <w:lang w:val="en-US" w:eastAsia="zh-CN"/>
              </w:rPr>
              <w:t>RD6</w:t>
            </w:r>
            <w:r>
              <w:rPr>
                <w:rFonts w:hint="eastAsia" w:asciiTheme="minorEastAsia" w:hAnsiTheme="minorEastAsia" w:eastAsiaTheme="minorEastAsia"/>
                <w:sz w:val="24"/>
                <w:szCs w:val="24"/>
                <w:highlight w:val="none"/>
              </w:rPr>
              <w:t>焊接气瓶检测项目）和省级市场监督管理局核发的《</w:t>
            </w:r>
            <w:r>
              <w:rPr>
                <w:rFonts w:hint="eastAsia" w:asciiTheme="minorEastAsia" w:hAnsiTheme="minorEastAsia" w:eastAsiaTheme="minorEastAsia"/>
                <w:sz w:val="24"/>
                <w:szCs w:val="24"/>
                <w:highlight w:val="none"/>
                <w:lang w:eastAsia="zh-CN"/>
              </w:rPr>
              <w:t>中华人民共和国</w:t>
            </w:r>
            <w:r>
              <w:rPr>
                <w:rFonts w:hint="eastAsia" w:asciiTheme="minorEastAsia" w:hAnsiTheme="minorEastAsia" w:eastAsiaTheme="minorEastAsia"/>
                <w:sz w:val="24"/>
                <w:szCs w:val="24"/>
                <w:highlight w:val="none"/>
              </w:rPr>
              <w:t>气瓶充装许可证》及《危险化学品经营许可证》的原件的复印件（须加盖公章）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817" w:type="dxa"/>
            <w:tcBorders>
              <w:top w:val="single" w:color="auto" w:sz="4" w:space="0"/>
              <w:left w:val="single" w:color="auto" w:sz="4" w:space="0"/>
              <w:right w:val="single" w:color="auto" w:sz="4" w:space="0"/>
            </w:tcBorders>
            <w:vAlign w:val="center"/>
          </w:tcPr>
          <w:p>
            <w:pPr>
              <w:spacing w:line="320" w:lineRule="exact"/>
              <w:jc w:val="center"/>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4</w:t>
            </w:r>
          </w:p>
        </w:tc>
        <w:tc>
          <w:tcPr>
            <w:tcW w:w="1973" w:type="dxa"/>
            <w:tcBorders>
              <w:top w:val="single" w:color="auto" w:sz="4" w:space="0"/>
              <w:left w:val="single" w:color="auto" w:sz="4" w:space="0"/>
              <w:right w:val="single" w:color="auto" w:sz="4" w:space="0"/>
            </w:tcBorders>
            <w:vAlign w:val="center"/>
          </w:tcPr>
          <w:p>
            <w:pPr>
              <w:spacing w:line="320" w:lineRule="exact"/>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检测报告</w:t>
            </w:r>
          </w:p>
        </w:tc>
        <w:tc>
          <w:tcPr>
            <w:tcW w:w="4470" w:type="dxa"/>
            <w:tcBorders>
              <w:top w:val="single" w:color="auto" w:sz="4" w:space="0"/>
              <w:left w:val="single" w:color="auto" w:sz="4" w:space="0"/>
              <w:right w:val="single" w:color="auto" w:sz="4" w:space="0"/>
            </w:tcBorders>
            <w:vAlign w:val="center"/>
          </w:tcPr>
          <w:p>
            <w:pPr>
              <w:spacing w:line="320" w:lineRule="exac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投标</w:t>
            </w:r>
            <w:r>
              <w:rPr>
                <w:rFonts w:hint="eastAsia" w:asciiTheme="minorEastAsia" w:hAnsiTheme="minorEastAsia" w:eastAsiaTheme="minorEastAsia"/>
                <w:sz w:val="24"/>
                <w:highlight w:val="none"/>
                <w:lang w:val="en-US" w:eastAsia="zh-CN"/>
              </w:rPr>
              <w:t>人</w:t>
            </w:r>
            <w:r>
              <w:rPr>
                <w:rFonts w:hint="eastAsia" w:asciiTheme="minorEastAsia" w:hAnsiTheme="minorEastAsia" w:eastAsiaTheme="minorEastAsia"/>
                <w:sz w:val="24"/>
                <w:highlight w:val="none"/>
                <w:lang w:eastAsia="zh-CN"/>
              </w:rPr>
              <w:t>出具</w:t>
            </w:r>
            <w:r>
              <w:rPr>
                <w:rFonts w:hint="eastAsia" w:asciiTheme="minorEastAsia" w:hAnsiTheme="minorEastAsia" w:eastAsiaTheme="minorEastAsia"/>
                <w:sz w:val="24"/>
                <w:highlight w:val="none"/>
                <w:lang w:val="en-US" w:eastAsia="zh-CN"/>
              </w:rPr>
              <w:t>国家固定灭火系统和耐火部件机构质量监督检验中心出具的IG-100惰性气体灭火剂检测报告</w:t>
            </w:r>
          </w:p>
        </w:tc>
        <w:tc>
          <w:tcPr>
            <w:tcW w:w="2473" w:type="dxa"/>
            <w:tcBorders>
              <w:top w:val="single" w:color="auto" w:sz="4" w:space="0"/>
              <w:left w:val="single" w:color="auto" w:sz="4" w:space="0"/>
              <w:right w:val="single" w:color="auto" w:sz="4" w:space="0"/>
            </w:tcBorders>
            <w:vAlign w:val="center"/>
          </w:tcPr>
          <w:p>
            <w:pPr>
              <w:spacing w:line="32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投标</w:t>
            </w:r>
            <w:r>
              <w:rPr>
                <w:rFonts w:hint="eastAsia" w:asciiTheme="minorEastAsia" w:hAnsiTheme="minorEastAsia" w:eastAsiaTheme="minorEastAsia"/>
                <w:sz w:val="24"/>
                <w:highlight w:val="none"/>
                <w:lang w:val="en-US" w:eastAsia="zh-CN"/>
              </w:rPr>
              <w:t>人</w:t>
            </w:r>
            <w:r>
              <w:rPr>
                <w:rFonts w:hint="eastAsia" w:asciiTheme="minorEastAsia" w:hAnsiTheme="minorEastAsia" w:eastAsiaTheme="minorEastAsia"/>
                <w:sz w:val="24"/>
                <w:highlight w:val="none"/>
              </w:rPr>
              <w:t>应具备</w:t>
            </w:r>
            <w:r>
              <w:rPr>
                <w:rFonts w:hint="eastAsia" w:asciiTheme="minorEastAsia" w:hAnsiTheme="minorEastAsia" w:eastAsiaTheme="minorEastAsia"/>
                <w:sz w:val="24"/>
                <w:highlight w:val="none"/>
                <w:lang w:val="en-US" w:eastAsia="zh-CN"/>
              </w:rPr>
              <w:t>国家固定灭火系统和耐火部件机构质量监督检验中心出具的IG-100惰性气体灭火剂检测报告</w:t>
            </w:r>
            <w:r>
              <w:rPr>
                <w:rFonts w:hint="eastAsia" w:asciiTheme="minorEastAsia" w:hAnsiTheme="minorEastAsia" w:eastAsiaTheme="minorEastAsia"/>
                <w:sz w:val="24"/>
                <w:highlight w:val="none"/>
              </w:rPr>
              <w:t>原件的复印件（须加盖公章）</w:t>
            </w:r>
            <w:r>
              <w:rPr>
                <w:rFonts w:hint="eastAsia" w:asciiTheme="minorEastAsia" w:hAnsiTheme="minorEastAsia" w:eastAsiaTheme="minorEastAsia"/>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817" w:type="dxa"/>
            <w:tcBorders>
              <w:top w:val="single" w:color="auto" w:sz="4" w:space="0"/>
              <w:left w:val="single" w:color="auto" w:sz="4" w:space="0"/>
              <w:right w:val="single" w:color="auto" w:sz="4" w:space="0"/>
            </w:tcBorders>
            <w:vAlign w:val="center"/>
          </w:tcPr>
          <w:p>
            <w:pPr>
              <w:spacing w:line="320" w:lineRule="exact"/>
              <w:jc w:val="center"/>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5</w:t>
            </w:r>
          </w:p>
        </w:tc>
        <w:tc>
          <w:tcPr>
            <w:tcW w:w="1973" w:type="dxa"/>
            <w:tcBorders>
              <w:top w:val="single" w:color="auto" w:sz="4" w:space="0"/>
              <w:left w:val="single" w:color="auto" w:sz="4" w:space="0"/>
              <w:right w:val="single" w:color="auto" w:sz="4" w:space="0"/>
            </w:tcBorders>
            <w:vAlign w:val="center"/>
          </w:tcPr>
          <w:p>
            <w:pPr>
              <w:spacing w:line="320" w:lineRule="exact"/>
              <w:jc w:val="cente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现场勘察回执</w:t>
            </w:r>
          </w:p>
        </w:tc>
        <w:tc>
          <w:tcPr>
            <w:tcW w:w="4470" w:type="dxa"/>
            <w:tcBorders>
              <w:top w:val="single" w:color="auto" w:sz="4" w:space="0"/>
              <w:left w:val="single" w:color="auto" w:sz="4" w:space="0"/>
              <w:right w:val="single" w:color="auto" w:sz="4" w:space="0"/>
            </w:tcBorders>
            <w:vAlign w:val="center"/>
          </w:tcPr>
          <w:p>
            <w:pPr>
              <w:spacing w:line="320" w:lineRule="exact"/>
              <w:rPr>
                <w:rFonts w:hint="eastAsia" w:asciiTheme="minorEastAsia" w:hAnsiTheme="minorEastAsia" w:eastAsiaTheme="minorEastAsia"/>
                <w:sz w:val="24"/>
                <w:highlight w:val="none"/>
              </w:rPr>
            </w:pPr>
            <w:r>
              <w:rPr>
                <w:rFonts w:hint="eastAsia" w:asciiTheme="minorEastAsia" w:hAnsiTheme="minorEastAsia" w:eastAsiaTheme="minorEastAsia"/>
                <w:sz w:val="24"/>
                <w:szCs w:val="24"/>
                <w:highlight w:val="none"/>
                <w:lang w:val="en-US" w:eastAsia="zh-CN"/>
              </w:rPr>
              <w:t>现场勘察回执</w:t>
            </w:r>
          </w:p>
        </w:tc>
        <w:tc>
          <w:tcPr>
            <w:tcW w:w="2473" w:type="dxa"/>
            <w:tcBorders>
              <w:top w:val="single" w:color="auto" w:sz="4" w:space="0"/>
              <w:left w:val="single" w:color="auto" w:sz="4" w:space="0"/>
              <w:right w:val="single" w:color="auto" w:sz="4" w:space="0"/>
            </w:tcBorders>
            <w:vAlign w:val="center"/>
          </w:tcPr>
          <w:p>
            <w:pPr>
              <w:spacing w:line="32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格式见第八章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817" w:type="dxa"/>
            <w:tcBorders>
              <w:top w:val="single" w:color="auto" w:sz="4" w:space="0"/>
              <w:left w:val="single" w:color="auto" w:sz="4" w:space="0"/>
              <w:right w:val="single" w:color="auto" w:sz="4" w:space="0"/>
            </w:tcBorders>
            <w:vAlign w:val="center"/>
          </w:tcPr>
          <w:p>
            <w:pPr>
              <w:spacing w:line="320" w:lineRule="exact"/>
              <w:jc w:val="center"/>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6</w:t>
            </w:r>
          </w:p>
        </w:tc>
        <w:tc>
          <w:tcPr>
            <w:tcW w:w="1973" w:type="dxa"/>
            <w:tcBorders>
              <w:top w:val="single" w:color="auto" w:sz="4" w:space="0"/>
              <w:left w:val="single" w:color="auto" w:sz="4" w:space="0"/>
              <w:right w:val="single" w:color="auto" w:sz="4" w:space="0"/>
            </w:tcBorders>
            <w:vAlign w:val="center"/>
          </w:tcPr>
          <w:p>
            <w:pPr>
              <w:spacing w:line="320" w:lineRule="exact"/>
              <w:jc w:val="cente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投标人还须提供本招标文件第八章投标文件的组成及格式中的“资格后审材料相关格式文件”</w:t>
            </w:r>
          </w:p>
        </w:tc>
        <w:tc>
          <w:tcPr>
            <w:tcW w:w="4470" w:type="dxa"/>
            <w:tcBorders>
              <w:top w:val="single" w:color="auto" w:sz="4" w:space="0"/>
              <w:left w:val="single" w:color="auto" w:sz="4" w:space="0"/>
              <w:right w:val="single" w:color="auto" w:sz="4" w:space="0"/>
            </w:tcBorders>
            <w:vAlign w:val="center"/>
          </w:tcPr>
          <w:p>
            <w:pPr>
              <w:spacing w:line="320" w:lineRule="exac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格式见第八章</w:t>
            </w:r>
          </w:p>
        </w:tc>
        <w:tc>
          <w:tcPr>
            <w:tcW w:w="2473" w:type="dxa"/>
            <w:tcBorders>
              <w:top w:val="single" w:color="auto" w:sz="4" w:space="0"/>
              <w:left w:val="single" w:color="auto" w:sz="4" w:space="0"/>
              <w:right w:val="single" w:color="auto" w:sz="4" w:space="0"/>
            </w:tcBorders>
            <w:vAlign w:val="center"/>
          </w:tcPr>
          <w:p>
            <w:pPr>
              <w:spacing w:line="32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格式见第八章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9733" w:type="dxa"/>
            <w:gridSpan w:val="4"/>
            <w:tcBorders>
              <w:top w:val="single" w:color="auto" w:sz="4" w:space="0"/>
              <w:left w:val="single" w:color="auto" w:sz="4" w:space="0"/>
              <w:right w:val="single" w:color="auto" w:sz="4" w:space="0"/>
            </w:tcBorders>
            <w:vAlign w:val="center"/>
          </w:tcPr>
          <w:p>
            <w:pPr>
              <w:widowControl/>
              <w:spacing w:line="400" w:lineRule="exact"/>
              <w:jc w:val="left"/>
              <w:rPr>
                <w:rFonts w:ascii="宋体" w:hAnsi="宋体" w:eastAsia="宋体"/>
                <w:sz w:val="24"/>
                <w:highlight w:val="none"/>
              </w:rPr>
            </w:pPr>
            <w:r>
              <w:rPr>
                <w:rFonts w:hint="eastAsia" w:ascii="宋体" w:hAnsi="宋体" w:eastAsia="宋体"/>
                <w:sz w:val="24"/>
                <w:highlight w:val="none"/>
              </w:rPr>
              <w:t>注：1、提供以上所有资料加盖投标单位公章，单独装订在资格审查资料包中；</w:t>
            </w:r>
          </w:p>
          <w:p>
            <w:pPr>
              <w:widowControl/>
              <w:spacing w:line="300" w:lineRule="exact"/>
              <w:rPr>
                <w:rFonts w:ascii="宋体" w:hAnsi="宋体" w:eastAsia="宋体"/>
                <w:sz w:val="24"/>
                <w:highlight w:val="none"/>
              </w:rPr>
            </w:pPr>
            <w:r>
              <w:rPr>
                <w:rFonts w:hint="eastAsia" w:ascii="宋体" w:hAnsi="宋体" w:eastAsia="宋体"/>
                <w:sz w:val="24"/>
                <w:highlight w:val="none"/>
              </w:rPr>
              <w:t xml:space="preserve">    2、上述(1)～(</w:t>
            </w:r>
            <w:r>
              <w:rPr>
                <w:rFonts w:hint="eastAsia" w:ascii="宋体" w:hAnsi="宋体" w:eastAsia="宋体"/>
                <w:sz w:val="24"/>
                <w:highlight w:val="none"/>
                <w:lang w:val="en-US" w:eastAsia="zh-CN"/>
              </w:rPr>
              <w:t>6</w:t>
            </w:r>
            <w:r>
              <w:rPr>
                <w:rFonts w:hint="eastAsia" w:ascii="宋体" w:hAnsi="宋体" w:eastAsia="宋体"/>
                <w:sz w:val="24"/>
                <w:highlight w:val="none"/>
              </w:rPr>
              <w:t>)中任何一条不符合要求 ，则资格审查不通过；</w:t>
            </w:r>
          </w:p>
        </w:tc>
      </w:tr>
    </w:tbl>
    <w:p>
      <w:pPr>
        <w:pStyle w:val="349"/>
        <w:rPr>
          <w:rFonts w:hAnsi="宋体"/>
          <w:highlight w:val="none"/>
        </w:rPr>
      </w:pPr>
    </w:p>
    <w:p>
      <w:pPr>
        <w:spacing w:line="400" w:lineRule="exact"/>
        <w:ind w:firstLine="482" w:firstLineChars="200"/>
        <w:rPr>
          <w:rFonts w:ascii="宋体" w:hAnsi="宋体" w:eastAsia="宋体"/>
          <w:b/>
          <w:bCs/>
          <w:kern w:val="0"/>
          <w:sz w:val="24"/>
          <w:highlight w:val="none"/>
        </w:rPr>
      </w:pPr>
      <w:r>
        <w:rPr>
          <w:rFonts w:hint="eastAsia" w:ascii="宋体" w:hAnsi="宋体" w:eastAsia="宋体"/>
          <w:b/>
          <w:bCs/>
          <w:kern w:val="0"/>
          <w:sz w:val="24"/>
          <w:highlight w:val="none"/>
        </w:rPr>
        <w:t>五、价格标</w:t>
      </w:r>
    </w:p>
    <w:p>
      <w:pPr>
        <w:spacing w:line="400" w:lineRule="exact"/>
        <w:ind w:firstLine="480" w:firstLineChars="200"/>
        <w:rPr>
          <w:rFonts w:ascii="宋体" w:hAnsi="宋体" w:eastAsia="宋体"/>
          <w:kern w:val="0"/>
          <w:sz w:val="24"/>
          <w:highlight w:val="none"/>
        </w:rPr>
      </w:pPr>
      <w:r>
        <w:rPr>
          <w:rFonts w:hint="eastAsia" w:ascii="宋体" w:hAnsi="宋体" w:eastAsia="宋体"/>
          <w:kern w:val="0"/>
          <w:sz w:val="24"/>
          <w:highlight w:val="none"/>
        </w:rPr>
        <w:t>1、本项目招标控制价为</w:t>
      </w:r>
      <w:r>
        <w:rPr>
          <w:rFonts w:hint="eastAsia" w:ascii="宋体" w:hAnsi="宋体" w:eastAsia="宋体"/>
          <w:kern w:val="0"/>
          <w:sz w:val="24"/>
          <w:highlight w:val="none"/>
          <w:lang w:val="en-US" w:eastAsia="zh-CN"/>
        </w:rPr>
        <w:t>44</w:t>
      </w:r>
      <w:r>
        <w:rPr>
          <w:rFonts w:hint="eastAsia" w:ascii="宋体" w:hAnsi="宋体" w:eastAsia="宋体"/>
          <w:kern w:val="0"/>
          <w:sz w:val="24"/>
          <w:highlight w:val="none"/>
        </w:rPr>
        <w:t>万元，投标报价低于招标控制价的各投标人的投标报价为有效报价（投标报价高于或等于招标控制价的作废标处理）。</w:t>
      </w:r>
    </w:p>
    <w:p>
      <w:pPr>
        <w:spacing w:line="400" w:lineRule="exact"/>
        <w:ind w:firstLine="480" w:firstLineChars="200"/>
        <w:rPr>
          <w:rFonts w:ascii="宋体" w:hAnsi="宋体" w:eastAsia="宋体"/>
          <w:kern w:val="0"/>
          <w:sz w:val="24"/>
          <w:highlight w:val="none"/>
        </w:rPr>
      </w:pPr>
      <w:r>
        <w:rPr>
          <w:rFonts w:hint="eastAsia" w:ascii="宋体" w:hAnsi="宋体" w:eastAsia="宋体"/>
          <w:kern w:val="0"/>
          <w:sz w:val="24"/>
          <w:highlight w:val="none"/>
        </w:rPr>
        <w:t>2、各投标人的有效报价依次从低到高排序，推荐最低报价的投标人为第一中标候选人，依次类推，推荐第二中标候选人、第三中标候选人。若出现报价相同情况时，则现场抽签确定中标候选人。</w:t>
      </w:r>
    </w:p>
    <w:p>
      <w:pPr>
        <w:spacing w:line="400" w:lineRule="exact"/>
        <w:ind w:firstLine="480" w:firstLineChars="200"/>
        <w:rPr>
          <w:rFonts w:ascii="宋体" w:hAnsi="宋体" w:eastAsia="宋体"/>
          <w:kern w:val="0"/>
          <w:sz w:val="24"/>
          <w:highlight w:val="none"/>
        </w:rPr>
      </w:pPr>
      <w:r>
        <w:rPr>
          <w:rFonts w:hint="eastAsia" w:ascii="宋体" w:hAnsi="宋体" w:eastAsia="宋体"/>
          <w:kern w:val="0"/>
          <w:sz w:val="24"/>
          <w:highlight w:val="none"/>
        </w:rPr>
        <w:t>六、本项目第一中标候选人原则上为中标人, 中标价为其投标报价。当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00" w:lineRule="exact"/>
        <w:ind w:firstLine="482" w:firstLineChars="200"/>
        <w:rPr>
          <w:rFonts w:ascii="宋体" w:hAnsi="宋体" w:eastAsia="宋体"/>
          <w:b/>
          <w:bCs/>
          <w:highlight w:val="none"/>
        </w:rPr>
      </w:pPr>
      <w:r>
        <w:rPr>
          <w:rFonts w:hint="eastAsia" w:ascii="宋体" w:hAnsi="宋体" w:eastAsia="宋体"/>
          <w:b/>
          <w:bCs/>
          <w:kern w:val="0"/>
          <w:sz w:val="24"/>
          <w:highlight w:val="none"/>
        </w:rPr>
        <w:t>七、评标过程中出现本评标办法未尽事宜，由评标委员会根据有关法律、法规讨论决定。</w:t>
      </w:r>
    </w:p>
    <w:p>
      <w:pPr>
        <w:snapToGrid w:val="0"/>
        <w:spacing w:line="420" w:lineRule="exact"/>
        <w:ind w:firstLine="482" w:firstLineChars="200"/>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八、出现下列情形之一的，作无效投标处理：</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asciiTheme="minorEastAsia" w:hAnsiTheme="minorEastAsia" w:eastAsiaTheme="minorEastAsia"/>
          <w:sz w:val="24"/>
          <w:szCs w:val="24"/>
          <w:highlight w:val="none"/>
        </w:rPr>
        <w:t>未按照招标文件的规定提交投标保证金的；</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asciiTheme="minorEastAsia" w:hAnsiTheme="minorEastAsia" w:eastAsiaTheme="minorEastAsia"/>
          <w:sz w:val="24"/>
          <w:szCs w:val="24"/>
          <w:highlight w:val="none"/>
        </w:rPr>
        <w:t>投标文件未按招标文件要求签署、盖章的；</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w:t>
      </w:r>
      <w:r>
        <w:rPr>
          <w:rFonts w:asciiTheme="minorEastAsia" w:hAnsiTheme="minorEastAsia" w:eastAsiaTheme="minorEastAsia"/>
          <w:sz w:val="24"/>
          <w:szCs w:val="24"/>
          <w:highlight w:val="none"/>
        </w:rPr>
        <w:t>不具备招标文件中规定的资格要求的；</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w:t>
      </w:r>
      <w:r>
        <w:rPr>
          <w:rFonts w:asciiTheme="minorEastAsia" w:hAnsiTheme="minorEastAsia" w:eastAsiaTheme="minorEastAsia"/>
          <w:sz w:val="24"/>
          <w:szCs w:val="24"/>
          <w:highlight w:val="none"/>
        </w:rPr>
        <w:t>报价超过招标文件中规定的预算金额或者最高限价的；</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w:t>
      </w:r>
      <w:r>
        <w:rPr>
          <w:rFonts w:asciiTheme="minorEastAsia" w:hAnsiTheme="minorEastAsia" w:eastAsiaTheme="minorEastAsia"/>
          <w:sz w:val="24"/>
          <w:szCs w:val="24"/>
          <w:highlight w:val="none"/>
        </w:rPr>
        <w:t>投标文件含有招标人不能接受的附加条件的</w:t>
      </w:r>
      <w:r>
        <w:rPr>
          <w:rFonts w:hint="eastAsia" w:asciiTheme="minorEastAsia" w:hAnsiTheme="minorEastAsia" w:eastAsiaTheme="minorEastAsia"/>
          <w:sz w:val="24"/>
          <w:szCs w:val="24"/>
          <w:highlight w:val="none"/>
        </w:rPr>
        <w:t>；</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6、</w:t>
      </w:r>
      <w:r>
        <w:rPr>
          <w:rFonts w:asciiTheme="minorEastAsia" w:hAnsiTheme="minorEastAsia" w:eastAsiaTheme="minorEastAsia"/>
          <w:sz w:val="24"/>
          <w:szCs w:val="24"/>
          <w:highlight w:val="none"/>
        </w:rPr>
        <w:t>法律、法规和招标文件规定的其他无效情形。</w:t>
      </w:r>
    </w:p>
    <w:p>
      <w:pPr>
        <w:snapToGrid w:val="0"/>
        <w:spacing w:line="420" w:lineRule="exact"/>
        <w:ind w:firstLine="482" w:firstLineChars="200"/>
        <w:outlineLvl w:val="1"/>
        <w:rPr>
          <w:rFonts w:asciiTheme="minorEastAsia" w:hAnsiTheme="minorEastAsia" w:eastAsiaTheme="minorEastAsia"/>
          <w:sz w:val="24"/>
          <w:szCs w:val="24"/>
          <w:highlight w:val="none"/>
        </w:rPr>
      </w:pPr>
      <w:r>
        <w:rPr>
          <w:rFonts w:hint="eastAsia" w:asciiTheme="minorEastAsia" w:hAnsiTheme="minorEastAsia" w:eastAsiaTheme="minorEastAsia"/>
          <w:b/>
          <w:sz w:val="24"/>
          <w:szCs w:val="24"/>
          <w:highlight w:val="none"/>
        </w:rPr>
        <w:t>九、有下列情形之一的，视为投标人串通投标，其投标无效</w:t>
      </w:r>
    </w:p>
    <w:p>
      <w:pPr>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1、不同投标人的投标文件由同一单位或者个人编制；</w:t>
      </w:r>
    </w:p>
    <w:p>
      <w:pPr>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2、不同投标人委托同一单位或者个人办理投标事宜；</w:t>
      </w:r>
    </w:p>
    <w:p>
      <w:pPr>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3、不同投标人的投标文件载明的项目管理成员或者联系人员为同一人；</w:t>
      </w:r>
    </w:p>
    <w:p>
      <w:pPr>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4、不同投标人的投标文件异常一致或者投标报价呈规律性差异；</w:t>
      </w:r>
    </w:p>
    <w:p>
      <w:pPr>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5、不同投标人的投标文件相互混装；</w:t>
      </w:r>
    </w:p>
    <w:p>
      <w:pPr>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6、不同投标人的投标保证金从同一单位或者个人的账户转出。</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十、出现下列情形之一的，作废标处理：</w:t>
      </w:r>
    </w:p>
    <w:p>
      <w:pPr>
        <w:snapToGrid w:val="0"/>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、出现影响采购公正的违法违规行为的；</w:t>
      </w:r>
    </w:p>
    <w:p>
      <w:pPr>
        <w:snapToGrid w:val="0"/>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、所有投标人报价超出采购预算价的；</w:t>
      </w:r>
    </w:p>
    <w:p>
      <w:pPr>
        <w:snapToGrid w:val="0"/>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、因重大变故，采购任务被取消的；</w:t>
      </w:r>
    </w:p>
    <w:p>
      <w:pPr>
        <w:snapToGrid w:val="0"/>
        <w:spacing w:line="42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4</w:t>
      </w:r>
      <w:r>
        <w:rPr>
          <w:rFonts w:hint="eastAsia" w:asciiTheme="minorEastAsia" w:hAnsiTheme="minorEastAsia" w:eastAsiaTheme="minorEastAsia"/>
          <w:sz w:val="24"/>
          <w:szCs w:val="24"/>
          <w:highlight w:val="none"/>
        </w:rPr>
        <w:t>、评标委员会依据法律法规可以认定为废标的其他情况。</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十一、中标通知</w:t>
      </w:r>
    </w:p>
    <w:p>
      <w:pPr>
        <w:spacing w:line="420" w:lineRule="exact"/>
        <w:ind w:firstLine="484" w:firstLineChars="202"/>
        <w:rPr>
          <w:rFonts w:asciiTheme="minorEastAsia" w:hAnsiTheme="minorEastAsia" w:eastAsiaTheme="minorEastAsia"/>
          <w:kern w:val="0"/>
          <w:sz w:val="24"/>
          <w:szCs w:val="24"/>
          <w:highlight w:val="none"/>
        </w:rPr>
      </w:pPr>
      <w:r>
        <w:rPr>
          <w:rFonts w:asciiTheme="minorEastAsia" w:hAnsiTheme="minorEastAsia" w:eastAsiaTheme="minorEastAsia"/>
          <w:kern w:val="0"/>
          <w:sz w:val="24"/>
          <w:szCs w:val="24"/>
          <w:highlight w:val="none"/>
        </w:rPr>
        <w:t>1、开标结束后，招标</w:t>
      </w:r>
      <w:r>
        <w:rPr>
          <w:rFonts w:hint="eastAsia" w:asciiTheme="minorEastAsia" w:hAnsiTheme="minorEastAsia" w:eastAsiaTheme="minorEastAsia"/>
          <w:kern w:val="0"/>
          <w:sz w:val="24"/>
          <w:szCs w:val="24"/>
          <w:highlight w:val="none"/>
        </w:rPr>
        <w:t>采购单位自中标人确定之日起2个工作日内</w:t>
      </w:r>
      <w:r>
        <w:rPr>
          <w:rFonts w:asciiTheme="minorEastAsia" w:hAnsiTheme="minorEastAsia" w:eastAsiaTheme="minorEastAsia"/>
          <w:kern w:val="0"/>
          <w:sz w:val="24"/>
          <w:szCs w:val="24"/>
          <w:highlight w:val="none"/>
        </w:rPr>
        <w:t>在指定媒体上</w:t>
      </w:r>
      <w:r>
        <w:rPr>
          <w:rFonts w:hint="eastAsia" w:asciiTheme="minorEastAsia" w:hAnsiTheme="minorEastAsia" w:eastAsiaTheme="minorEastAsia"/>
          <w:kern w:val="0"/>
          <w:sz w:val="24"/>
          <w:szCs w:val="24"/>
          <w:highlight w:val="none"/>
        </w:rPr>
        <w:t>公告中标结果。</w:t>
      </w:r>
    </w:p>
    <w:p>
      <w:pPr>
        <w:spacing w:line="420" w:lineRule="exact"/>
        <w:ind w:firstLine="484" w:firstLineChars="202"/>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2、中标公告期限为3日，期限</w:t>
      </w:r>
      <w:r>
        <w:rPr>
          <w:rFonts w:asciiTheme="minorEastAsia" w:hAnsiTheme="minorEastAsia" w:eastAsiaTheme="minorEastAsia"/>
          <w:kern w:val="0"/>
          <w:sz w:val="24"/>
          <w:szCs w:val="24"/>
          <w:highlight w:val="none"/>
        </w:rPr>
        <w:t>结束后向中标人发出《中标通知书》。</w:t>
      </w:r>
    </w:p>
    <w:p>
      <w:pPr>
        <w:spacing w:line="420" w:lineRule="exact"/>
        <w:ind w:firstLine="484" w:firstLineChars="202"/>
        <w:rPr>
          <w:rFonts w:asciiTheme="minorEastAsia" w:hAnsiTheme="minorEastAsia" w:eastAsiaTheme="minorEastAsia"/>
          <w:b/>
          <w:kern w:val="0"/>
          <w:sz w:val="24"/>
          <w:szCs w:val="24"/>
          <w:highlight w:val="none"/>
        </w:rPr>
      </w:pPr>
      <w:r>
        <w:rPr>
          <w:rFonts w:asciiTheme="minorEastAsia" w:hAnsiTheme="minorEastAsia" w:eastAsiaTheme="minorEastAsia"/>
          <w:kern w:val="0"/>
          <w:sz w:val="24"/>
          <w:szCs w:val="24"/>
          <w:highlight w:val="none"/>
        </w:rPr>
        <w:t>3、《中标通知书》一经发出，即具有法律效力。招标人、中标人依法承担法律责任。</w:t>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highlight w:val="none"/>
        </w:rPr>
      </w:pPr>
    </w:p>
    <w:p>
      <w:pPr>
        <w:adjustRightInd w:val="0"/>
        <w:snapToGrid w:val="0"/>
        <w:spacing w:line="590" w:lineRule="exact"/>
        <w:jc w:val="right"/>
        <w:rPr>
          <w:highlight w:val="none"/>
        </w:rPr>
        <w:sectPr>
          <w:pgSz w:w="12240" w:h="15840"/>
          <w:pgMar w:top="1500" w:right="1100" w:bottom="280" w:left="1400" w:header="720" w:footer="720" w:gutter="0"/>
          <w:cols w:space="720" w:num="1"/>
        </w:sectPr>
      </w:pPr>
      <w:r>
        <w:rPr>
          <w:rFonts w:asciiTheme="minorEastAsia" w:hAnsiTheme="minorEastAsia" w:eastAsiaTheme="minorEastAsia"/>
          <w:sz w:val="32"/>
          <w:szCs w:val="32"/>
          <w:highlight w:val="none"/>
        </w:rPr>
        <w:br w:type="page"/>
      </w:r>
      <w:bookmarkEnd w:id="4"/>
      <w:bookmarkStart w:id="6" w:name="_Toc94585343"/>
      <w:bookmarkStart w:id="7" w:name="_Toc363573858"/>
    </w:p>
    <w:p>
      <w:pPr>
        <w:widowControl/>
        <w:jc w:val="center"/>
        <w:rPr>
          <w:rFonts w:asciiTheme="minorEastAsia" w:hAnsiTheme="minorEastAsia" w:eastAsiaTheme="minorEastAsia"/>
          <w:b/>
          <w:w w:val="80"/>
          <w:sz w:val="32"/>
          <w:szCs w:val="32"/>
          <w:highlight w:val="none"/>
        </w:rPr>
      </w:pPr>
      <w:r>
        <w:rPr>
          <w:rFonts w:hint="eastAsia" w:asciiTheme="minorEastAsia" w:hAnsiTheme="minorEastAsia" w:eastAsiaTheme="minorEastAsia"/>
          <w:b/>
          <w:w w:val="80"/>
          <w:sz w:val="32"/>
          <w:szCs w:val="32"/>
          <w:highlight w:val="none"/>
        </w:rPr>
        <w:t>第</w:t>
      </w:r>
      <w:r>
        <w:rPr>
          <w:rFonts w:hint="eastAsia" w:asciiTheme="minorEastAsia" w:hAnsiTheme="minorEastAsia" w:eastAsiaTheme="minorEastAsia"/>
          <w:b/>
          <w:w w:val="80"/>
          <w:sz w:val="32"/>
          <w:szCs w:val="32"/>
          <w:highlight w:val="none"/>
          <w:lang w:val="en-US" w:eastAsia="zh-CN"/>
        </w:rPr>
        <w:t>五</w:t>
      </w:r>
      <w:r>
        <w:rPr>
          <w:rFonts w:hint="eastAsia" w:asciiTheme="minorEastAsia" w:hAnsiTheme="minorEastAsia" w:eastAsiaTheme="minorEastAsia"/>
          <w:b/>
          <w:w w:val="80"/>
          <w:sz w:val="32"/>
          <w:szCs w:val="32"/>
          <w:highlight w:val="none"/>
        </w:rPr>
        <w:t xml:space="preserve">章  </w:t>
      </w:r>
      <w:bookmarkEnd w:id="6"/>
      <w:r>
        <w:rPr>
          <w:rFonts w:hint="eastAsia" w:asciiTheme="minorEastAsia" w:hAnsiTheme="minorEastAsia" w:eastAsiaTheme="minorEastAsia"/>
          <w:b/>
          <w:w w:val="80"/>
          <w:sz w:val="32"/>
          <w:szCs w:val="32"/>
          <w:highlight w:val="none"/>
        </w:rPr>
        <w:t>履约验收及付款</w:t>
      </w:r>
      <w:bookmarkEnd w:id="7"/>
    </w:p>
    <w:p>
      <w:pPr>
        <w:spacing w:line="420" w:lineRule="exact"/>
        <w:ind w:firstLine="484" w:firstLineChars="202"/>
        <w:rPr>
          <w:rFonts w:asciiTheme="minorEastAsia" w:hAnsiTheme="minorEastAsia" w:eastAsiaTheme="minorEastAsia"/>
          <w:kern w:val="0"/>
          <w:sz w:val="24"/>
          <w:szCs w:val="24"/>
          <w:highlight w:val="none"/>
        </w:rPr>
      </w:pPr>
      <w:bookmarkStart w:id="8" w:name="_Toc363573859"/>
      <w:r>
        <w:rPr>
          <w:rFonts w:hint="eastAsia" w:asciiTheme="minorEastAsia" w:hAnsiTheme="minorEastAsia" w:eastAsiaTheme="minorEastAsia"/>
          <w:kern w:val="0"/>
          <w:sz w:val="24"/>
          <w:szCs w:val="24"/>
          <w:highlight w:val="none"/>
        </w:rPr>
        <w:t>一、招标人和中标人应相互配合，按采购合同约定积极组织本项目的实施，确保按时履约提供服务。</w:t>
      </w:r>
    </w:p>
    <w:p>
      <w:pPr>
        <w:spacing w:line="420" w:lineRule="exact"/>
        <w:ind w:firstLine="484" w:firstLineChars="202"/>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二、履约完成后，中标人应以书面形式向招标人提出验收申请，招标人接到申请后应及时组织验收。</w:t>
      </w:r>
    </w:p>
    <w:p>
      <w:pPr>
        <w:spacing w:line="420" w:lineRule="exact"/>
        <w:ind w:firstLine="484" w:firstLineChars="202"/>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三、招标人、中标人不按采购合同规定履约，出现违约情形，应当及时纠正或补偿，造成损失的，按合同约定追究违约责任；履约中发现有假冒、伪劣、走私产品、商业贿赂等违法情形的，应由招标人移交工商、质监、公安等行政执法部门依法查处。</w:t>
      </w:r>
    </w:p>
    <w:p>
      <w:pPr>
        <w:spacing w:line="420" w:lineRule="exact"/>
        <w:ind w:firstLine="484" w:firstLineChars="202"/>
        <w:rPr>
          <w:rFonts w:asciiTheme="minorEastAsia" w:hAnsiTheme="minorEastAsia" w:eastAsiaTheme="minorEastAsia"/>
          <w:kern w:val="0"/>
          <w:sz w:val="24"/>
          <w:szCs w:val="24"/>
          <w:highlight w:val="none"/>
        </w:rPr>
      </w:pP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highlight w:val="none"/>
        </w:rPr>
      </w:pPr>
      <w:r>
        <w:rPr>
          <w:rFonts w:asciiTheme="minorEastAsia" w:hAnsiTheme="minorEastAsia" w:eastAsiaTheme="minorEastAsia"/>
          <w:b/>
          <w:w w:val="80"/>
          <w:sz w:val="32"/>
          <w:szCs w:val="32"/>
          <w:highlight w:val="none"/>
        </w:rPr>
        <w:t>第</w:t>
      </w:r>
      <w:r>
        <w:rPr>
          <w:rFonts w:hint="eastAsia" w:asciiTheme="minorEastAsia" w:hAnsiTheme="minorEastAsia" w:eastAsiaTheme="minorEastAsia"/>
          <w:b/>
          <w:w w:val="80"/>
          <w:sz w:val="32"/>
          <w:szCs w:val="32"/>
          <w:highlight w:val="none"/>
          <w:lang w:val="en-US" w:eastAsia="zh-CN"/>
        </w:rPr>
        <w:t>六</w:t>
      </w:r>
      <w:r>
        <w:rPr>
          <w:rFonts w:asciiTheme="minorEastAsia" w:hAnsiTheme="minorEastAsia" w:eastAsiaTheme="minorEastAsia"/>
          <w:b/>
          <w:w w:val="80"/>
          <w:sz w:val="32"/>
          <w:szCs w:val="32"/>
          <w:highlight w:val="none"/>
        </w:rPr>
        <w:t xml:space="preserve">章 </w:t>
      </w:r>
      <w:r>
        <w:rPr>
          <w:rFonts w:hint="eastAsia" w:asciiTheme="minorEastAsia" w:hAnsiTheme="minorEastAsia" w:eastAsiaTheme="minorEastAsia"/>
          <w:b/>
          <w:w w:val="80"/>
          <w:sz w:val="32"/>
          <w:szCs w:val="32"/>
          <w:highlight w:val="none"/>
        </w:rPr>
        <w:t xml:space="preserve"> 质疑与投诉</w:t>
      </w:r>
      <w:bookmarkEnd w:id="8"/>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一、质疑的提出</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1、质疑必须是直接参加本次招投标活动的当事人。</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2、取得招标文件的投标人应根据招标文件第二章 “投标人须知”中“第一条第4款”的约定提出质疑。</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投标文件接收截止后未进行投标登记的投标人，不能就投标文件接收截止后的招标过程、中标结果提出质疑。</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在招标过程中，凡主持人或评标委员会明确提出须由投标人确认的事项，投标人当场无异议的，事后不得提出质疑、投诉。</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3、提出质疑时，必须坚持“谁主张，谁举证”、“实事求是”的原则，不能臆测。</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属于须由法定部门调查、侦查或先行作出相关认定的事项，质疑人应当依法申请具有法定职权的部门查清、认定，并将相关结果提供给招标人、招标代理机构。</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招标人、招标代理机构不具有法定调查、认定的权限。</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4、对本次招投标有质疑的，须实名制以书面形式提出，不得进行匿名、虚假、恶意质疑。</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质疑人应在质疑有效期内以书面形式提出《质疑函》。</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《质疑函》内容应包括质疑事项、主要内容、事实依据、适应法规条款、佐证材料等。</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质疑人应保证其提出的质疑内容及相关佐证材料的真实性及来源的合法性，并承担相应的法律责任。</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对不能提供相关佐证材料的、涉及商业秘密的、非书面形式的、非送达的、匿名的《质疑函》将不予受理，视作无效质疑。</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相关佐证材料要具备客观性、关联性、合法性，无法查实的（如宣传册、媒体报道、猜测、推理等）不能作为佐证材料。</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招标人、招标代理机构不负责搜集相关佐证材料等工作。</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二、《质疑函》的受理和回复</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1、《质疑函》须由质疑人的法定代表人或参加本次招标授权人送达采购单位和招标人。</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3、对不符合提出质疑要求的《质疑函》，出具《质疑退回通知书》并提出相关补充材料要求，质疑人未在规定时间内提供补充佐证材料的，视同放弃质疑。</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4、招标人负责将质疑人提交的质疑相关材料提供给相关专家或评标委员会审核，并将审核意见回复质疑人。</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必要时，可向被质疑投标人（以下称被质疑人）转发《质疑函》及相关佐证材料。</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被质疑人应当在要求的时间日期内，以书面形式作出说明回复，并提交相关证据。</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被质疑人在规定时间内，无正当理由未提交相关证据的，视同放弃说明权利，认可被质疑事项。</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5、因质疑情况复杂，组织论证或审查时间较长的，招标人以书面形式通知质疑人，可适当延长质疑回复处理时间。</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三、质疑处理</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1、质疑成立的处理。招标人终止采购，并建议有关部门给相关当事人予以处理。</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2、质疑不成立的处理：</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（1）质疑人书面《申请撤回质疑函》。</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（2）质疑人在规定的时间内不配合进行质疑调查处理的，按自动撤回《质疑函》处理。</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（3）质疑人不按《质疑函》格式就提出质疑的，视情列入不良投标人名单。</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4）质疑人不能提供相关佐证材料的，招标人已指出，质疑人仍然坚持提出质疑的，质疑人虽提供了相关佐证材料，但不能证明其质疑成立的，招标人请质疑人补充相关佐证材料，仍不能证明其质疑成立的，列入不良投标人名单。</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5）对明显有违背事实的、经相关专家或评委认定无依据的、经其他投标人举证无依据的质疑，列入不良投标人名单；同时，对其中每一项不成立的质疑给予质疑人1年内禁入采购活动的处理，依次类推；视情在南通市公共资源交易网、省、国家级相关媒体予以披露。</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（6）质疑人承担使用虚假材料或恶意方式质疑的法律责任。</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四、无佐证材料的举报作违约处理</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投标人不得进行不提供相关佐证材料向有关部门的举报，否则对其在1至3年内禁入招标人单位的采购活动。</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无法查实的如宣传册、媒体报道、猜测、推理等，不作为相关佐证材料。</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五、投诉的提出</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质疑人对招标人的答复不满意或者招标人未在规定的时间内做出答复的，可以在答复期满后15个工作日内向招标人的上级主管部门投诉。</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六、投诉不成立的作违约处理</w:t>
      </w:r>
    </w:p>
    <w:p>
      <w:pPr>
        <w:snapToGrid w:val="0"/>
        <w:spacing w:line="420" w:lineRule="exact"/>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投标人进行质疑后，招标人回复质疑不成立，投标人仍进行投诉的，并最终投诉不成立的，对其在1至3年内禁入招标人单位的采购活动。</w:t>
      </w:r>
    </w:p>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七、质疑、举报、投诉不成立的等相关情况</w:t>
      </w:r>
    </w:p>
    <w:p>
      <w:pPr>
        <w:spacing w:line="420" w:lineRule="exact"/>
        <w:ind w:firstLine="484" w:firstLineChars="202"/>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《质疑函》、《质疑回复函》，质疑、举报、投诉不成立的等相关情况，视情在省市、国家级等相关媒体予以披露。并建议相关采购机构对该投标人同步实施1至3年内禁入。</w:t>
      </w:r>
    </w:p>
    <w:p>
      <w:pPr>
        <w:pStyle w:val="21"/>
        <w:rPr>
          <w:rFonts w:asciiTheme="minorEastAsia" w:hAnsiTheme="minorEastAsia" w:eastAsiaTheme="minorEastAsia"/>
          <w:kern w:val="0"/>
          <w:sz w:val="24"/>
          <w:szCs w:val="24"/>
          <w:highlight w:val="none"/>
        </w:rPr>
      </w:pPr>
    </w:p>
    <w:p>
      <w:pPr>
        <w:widowControl/>
        <w:jc w:val="left"/>
        <w:rPr>
          <w:rFonts w:asciiTheme="minorEastAsia" w:hAnsiTheme="minorEastAsia" w:eastAsiaTheme="minorEastAsia"/>
          <w:b/>
          <w:w w:val="80"/>
          <w:sz w:val="32"/>
          <w:szCs w:val="32"/>
          <w:highlight w:val="none"/>
        </w:rPr>
      </w:pPr>
      <w:bookmarkStart w:id="9" w:name="_Toc363573860"/>
      <w:r>
        <w:rPr>
          <w:rFonts w:asciiTheme="minorEastAsia" w:hAnsiTheme="minorEastAsia" w:eastAsiaTheme="minorEastAsia"/>
          <w:b/>
          <w:w w:val="80"/>
          <w:sz w:val="32"/>
          <w:szCs w:val="32"/>
          <w:highlight w:val="none"/>
        </w:rPr>
        <w:br w:type="page"/>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highlight w:val="none"/>
        </w:rPr>
      </w:pPr>
      <w:r>
        <w:rPr>
          <w:rFonts w:hint="eastAsia" w:asciiTheme="minorEastAsia" w:hAnsiTheme="minorEastAsia" w:eastAsiaTheme="minorEastAsia"/>
          <w:b/>
          <w:w w:val="80"/>
          <w:sz w:val="32"/>
          <w:szCs w:val="32"/>
          <w:highlight w:val="none"/>
        </w:rPr>
        <w:t>第</w:t>
      </w:r>
      <w:r>
        <w:rPr>
          <w:rFonts w:hint="eastAsia" w:asciiTheme="minorEastAsia" w:hAnsiTheme="minorEastAsia" w:eastAsiaTheme="minorEastAsia"/>
          <w:b/>
          <w:w w:val="80"/>
          <w:sz w:val="32"/>
          <w:szCs w:val="32"/>
          <w:highlight w:val="none"/>
          <w:lang w:val="en-US" w:eastAsia="zh-CN"/>
        </w:rPr>
        <w:t>七</w:t>
      </w:r>
      <w:r>
        <w:rPr>
          <w:rFonts w:hint="eastAsia" w:asciiTheme="minorEastAsia" w:hAnsiTheme="minorEastAsia" w:eastAsiaTheme="minorEastAsia"/>
          <w:b/>
          <w:w w:val="80"/>
          <w:sz w:val="32"/>
          <w:szCs w:val="32"/>
          <w:highlight w:val="none"/>
        </w:rPr>
        <w:t xml:space="preserve">章  </w:t>
      </w:r>
      <w:bookmarkEnd w:id="9"/>
      <w:r>
        <w:rPr>
          <w:rFonts w:hint="eastAsia" w:asciiTheme="minorEastAsia" w:hAnsiTheme="minorEastAsia" w:eastAsiaTheme="minorEastAsia"/>
          <w:b/>
          <w:w w:val="80"/>
          <w:sz w:val="32"/>
          <w:szCs w:val="32"/>
          <w:highlight w:val="none"/>
        </w:rPr>
        <w:t>投标文件的组成及格式</w:t>
      </w:r>
    </w:p>
    <w:p>
      <w:pPr>
        <w:adjustRightInd w:val="0"/>
        <w:snapToGrid w:val="0"/>
        <w:spacing w:line="420" w:lineRule="exact"/>
        <w:ind w:firstLine="487" w:firstLineChars="202"/>
        <w:jc w:val="left"/>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一、投标响应文件</w:t>
      </w:r>
    </w:p>
    <w:p>
      <w:pPr>
        <w:adjustRightInd w:val="0"/>
        <w:snapToGrid w:val="0"/>
        <w:spacing w:line="420" w:lineRule="exact"/>
        <w:ind w:firstLine="484" w:firstLineChars="202"/>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A、</w:t>
      </w:r>
      <w:r>
        <w:rPr>
          <w:rFonts w:asciiTheme="minorEastAsia" w:hAnsiTheme="minorEastAsia" w:eastAsiaTheme="minorEastAsia"/>
          <w:bCs/>
          <w:sz w:val="24"/>
          <w:szCs w:val="24"/>
          <w:highlight w:val="none"/>
        </w:rPr>
        <w:t>资格后审材料文件</w:t>
      </w:r>
      <w:r>
        <w:rPr>
          <w:rFonts w:hint="eastAsia" w:asciiTheme="minorEastAsia" w:hAnsiTheme="minorEastAsia" w:eastAsiaTheme="minorEastAsia"/>
          <w:sz w:val="24"/>
          <w:szCs w:val="24"/>
          <w:highlight w:val="none"/>
        </w:rPr>
        <w:t>（一个密封包，含一正二副文件）</w:t>
      </w:r>
    </w:p>
    <w:p>
      <w:pPr>
        <w:adjustRightInd w:val="0"/>
        <w:snapToGrid w:val="0"/>
        <w:spacing w:line="420" w:lineRule="exact"/>
        <w:ind w:firstLine="484" w:firstLineChars="202"/>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B、</w:t>
      </w:r>
      <w:r>
        <w:rPr>
          <w:rFonts w:asciiTheme="minorEastAsia" w:hAnsiTheme="minorEastAsia" w:eastAsiaTheme="minorEastAsia"/>
          <w:bCs/>
          <w:sz w:val="24"/>
          <w:szCs w:val="24"/>
          <w:highlight w:val="none"/>
        </w:rPr>
        <w:t>价格标响应文件</w:t>
      </w:r>
      <w:r>
        <w:rPr>
          <w:rFonts w:hint="eastAsia" w:asciiTheme="minorEastAsia" w:hAnsiTheme="minorEastAsia" w:eastAsiaTheme="minorEastAsia"/>
          <w:sz w:val="24"/>
          <w:szCs w:val="24"/>
          <w:highlight w:val="none"/>
        </w:rPr>
        <w:t>（一个密封包，含一正二副文件）</w:t>
      </w:r>
    </w:p>
    <w:p>
      <w:pPr>
        <w:adjustRightInd w:val="0"/>
        <w:snapToGrid w:val="0"/>
        <w:spacing w:line="420" w:lineRule="exact"/>
        <w:ind w:firstLine="487" w:firstLineChars="202"/>
        <w:jc w:val="left"/>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二、投标响应文件封面范例</w:t>
      </w:r>
    </w:p>
    <w:p>
      <w:pPr>
        <w:spacing w:line="420" w:lineRule="exact"/>
        <w:jc w:val="center"/>
        <w:rPr>
          <w:rFonts w:cs="宋体" w:asciiTheme="minorEastAsia" w:hAnsiTheme="minorEastAsia" w:eastAsiaTheme="minorEastAsia"/>
          <w:bCs/>
          <w:sz w:val="24"/>
          <w:szCs w:val="24"/>
          <w:highlight w:val="none"/>
        </w:rPr>
      </w:pPr>
    </w:p>
    <w:p>
      <w:pPr>
        <w:spacing w:line="420" w:lineRule="exact"/>
        <w:jc w:val="center"/>
        <w:rPr>
          <w:rFonts w:cs="宋体" w:asciiTheme="minorEastAsia" w:hAnsiTheme="minorEastAsia" w:eastAsiaTheme="minorEastAsia"/>
          <w:bCs/>
          <w:sz w:val="24"/>
          <w:szCs w:val="24"/>
          <w:highlight w:val="none"/>
        </w:rPr>
      </w:pPr>
    </w:p>
    <w:p>
      <w:pPr>
        <w:spacing w:line="400" w:lineRule="exact"/>
        <w:jc w:val="center"/>
        <w:rPr>
          <w:rFonts w:asciiTheme="minorEastAsia" w:hAnsiTheme="minorEastAsia" w:eastAsiaTheme="minorEastAsia"/>
          <w:sz w:val="44"/>
          <w:szCs w:val="44"/>
          <w:highlight w:val="none"/>
        </w:rPr>
      </w:pPr>
      <w:r>
        <w:rPr>
          <w:rFonts w:hint="eastAsia" w:asciiTheme="minorEastAsia" w:hAnsiTheme="minorEastAsia" w:eastAsiaTheme="minorEastAsia"/>
          <w:sz w:val="36"/>
          <w:szCs w:val="22"/>
          <w:highlight w:val="none"/>
          <w:u w:val="single"/>
        </w:rPr>
        <w:t xml:space="preserve"> </w:t>
      </w:r>
      <w:r>
        <w:rPr>
          <w:rFonts w:asciiTheme="minorEastAsia" w:hAnsiTheme="minorEastAsia" w:eastAsiaTheme="minorEastAsia"/>
          <w:sz w:val="36"/>
          <w:szCs w:val="22"/>
          <w:highlight w:val="none"/>
          <w:u w:val="single"/>
        </w:rPr>
        <w:t xml:space="preserve">                  </w:t>
      </w:r>
      <w:r>
        <w:rPr>
          <w:rFonts w:hint="eastAsia" w:asciiTheme="minorEastAsia" w:hAnsiTheme="minorEastAsia" w:eastAsiaTheme="minorEastAsia"/>
          <w:sz w:val="36"/>
          <w:szCs w:val="22"/>
          <w:highlight w:val="none"/>
        </w:rPr>
        <w:t>项目</w:t>
      </w:r>
    </w:p>
    <w:p>
      <w:pPr>
        <w:spacing w:line="420" w:lineRule="exact"/>
        <w:jc w:val="center"/>
        <w:rPr>
          <w:rFonts w:cs="宋体" w:asciiTheme="minorEastAsia" w:hAnsiTheme="minorEastAsia" w:eastAsiaTheme="minorEastAsia"/>
          <w:bCs/>
          <w:sz w:val="24"/>
          <w:szCs w:val="24"/>
          <w:highlight w:val="none"/>
        </w:rPr>
      </w:pPr>
    </w:p>
    <w:p>
      <w:pPr>
        <w:spacing w:line="400" w:lineRule="exact"/>
        <w:jc w:val="center"/>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投标响应文件</w:t>
      </w:r>
    </w:p>
    <w:p>
      <w:pPr>
        <w:spacing w:line="420" w:lineRule="exact"/>
        <w:ind w:firstLine="1920" w:firstLineChars="800"/>
        <w:rPr>
          <w:rFonts w:asciiTheme="minorEastAsia" w:hAnsiTheme="minorEastAsia" w:eastAsiaTheme="minorEastAsia"/>
          <w:sz w:val="24"/>
          <w:szCs w:val="24"/>
          <w:highlight w:val="none"/>
        </w:rPr>
      </w:pPr>
    </w:p>
    <w:p>
      <w:pPr>
        <w:spacing w:line="42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投标标文件，相应填写：</w:t>
      </w:r>
    </w:p>
    <w:p>
      <w:pPr>
        <w:spacing w:line="420" w:lineRule="exact"/>
        <w:ind w:firstLine="5040" w:firstLineChars="210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资格后审材料文件</w:t>
      </w:r>
    </w:p>
    <w:p>
      <w:pPr>
        <w:spacing w:line="420" w:lineRule="exact"/>
        <w:ind w:firstLine="5040" w:firstLineChars="210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价格标响应文件</w:t>
      </w:r>
    </w:p>
    <w:p>
      <w:pPr>
        <w:spacing w:line="420" w:lineRule="exact"/>
        <w:jc w:val="center"/>
        <w:rPr>
          <w:rFonts w:asciiTheme="minorEastAsia" w:hAnsiTheme="minorEastAsia" w:eastAsiaTheme="minorEastAsia"/>
          <w:b/>
          <w:sz w:val="24"/>
          <w:szCs w:val="24"/>
          <w:highlight w:val="none"/>
        </w:rPr>
      </w:pPr>
    </w:p>
    <w:p>
      <w:pPr>
        <w:spacing w:line="42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（资格后审）</w:t>
      </w:r>
    </w:p>
    <w:p>
      <w:pPr>
        <w:spacing w:line="400" w:lineRule="exact"/>
        <w:jc w:val="center"/>
        <w:rPr>
          <w:rFonts w:asciiTheme="minorEastAsia" w:hAnsiTheme="minorEastAsia" w:eastAsiaTheme="minorEastAsia"/>
          <w:sz w:val="32"/>
          <w:szCs w:val="32"/>
          <w:highlight w:val="none"/>
        </w:rPr>
      </w:pPr>
    </w:p>
    <w:p>
      <w:pPr>
        <w:spacing w:line="420" w:lineRule="exact"/>
        <w:jc w:val="center"/>
        <w:rPr>
          <w:rFonts w:cs="宋体" w:asciiTheme="minorEastAsia" w:hAnsiTheme="minorEastAsia" w:eastAsiaTheme="minorEastAsia"/>
          <w:bCs/>
          <w:sz w:val="24"/>
          <w:szCs w:val="24"/>
          <w:highlight w:val="none"/>
        </w:rPr>
      </w:pPr>
    </w:p>
    <w:p>
      <w:pPr>
        <w:spacing w:line="400" w:lineRule="exact"/>
        <w:jc w:val="center"/>
        <w:rPr>
          <w:rFonts w:asciiTheme="minorEastAsia" w:hAnsiTheme="minorEastAsia" w:eastAsiaTheme="minorEastAsia"/>
          <w:sz w:val="32"/>
          <w:szCs w:val="32"/>
          <w:highlight w:val="none"/>
        </w:rPr>
      </w:pPr>
    </w:p>
    <w:p>
      <w:pPr>
        <w:spacing w:line="420" w:lineRule="exact"/>
        <w:jc w:val="center"/>
        <w:rPr>
          <w:rFonts w:cs="宋体" w:asciiTheme="minorEastAsia" w:hAnsiTheme="minorEastAsia" w:eastAsiaTheme="minorEastAsia"/>
          <w:bCs/>
          <w:sz w:val="24"/>
          <w:szCs w:val="24"/>
          <w:highlight w:val="none"/>
        </w:rPr>
      </w:pPr>
    </w:p>
    <w:p>
      <w:pPr>
        <w:spacing w:line="420" w:lineRule="exact"/>
        <w:jc w:val="center"/>
        <w:rPr>
          <w:rFonts w:cs="宋体" w:asciiTheme="minorEastAsia" w:hAnsiTheme="minorEastAsia" w:eastAsiaTheme="minorEastAsia"/>
          <w:bCs/>
          <w:sz w:val="24"/>
          <w:szCs w:val="24"/>
          <w:highlight w:val="none"/>
        </w:rPr>
      </w:pPr>
    </w:p>
    <w:p>
      <w:pPr>
        <w:spacing w:line="420" w:lineRule="exact"/>
        <w:jc w:val="center"/>
        <w:rPr>
          <w:rFonts w:cs="宋体" w:asciiTheme="minorEastAsia" w:hAnsiTheme="minorEastAsia" w:eastAsiaTheme="minorEastAsia"/>
          <w:bCs/>
          <w:sz w:val="24"/>
          <w:szCs w:val="24"/>
          <w:highlight w:val="none"/>
        </w:rPr>
      </w:pPr>
    </w:p>
    <w:p>
      <w:pPr>
        <w:spacing w:line="420" w:lineRule="exact"/>
        <w:jc w:val="center"/>
        <w:rPr>
          <w:rFonts w:cs="宋体" w:asciiTheme="minorEastAsia" w:hAnsiTheme="minorEastAsia" w:eastAsiaTheme="minorEastAsia"/>
          <w:bCs/>
          <w:sz w:val="24"/>
          <w:szCs w:val="24"/>
          <w:highlight w:val="none"/>
        </w:rPr>
      </w:pPr>
    </w:p>
    <w:p>
      <w:pPr>
        <w:spacing w:line="420" w:lineRule="exact"/>
        <w:jc w:val="center"/>
        <w:rPr>
          <w:rFonts w:cs="宋体" w:asciiTheme="minorEastAsia" w:hAnsiTheme="minorEastAsia" w:eastAsiaTheme="minorEastAsia"/>
          <w:bCs/>
          <w:sz w:val="24"/>
          <w:szCs w:val="24"/>
          <w:highlight w:val="none"/>
        </w:rPr>
      </w:pPr>
    </w:p>
    <w:p>
      <w:pPr>
        <w:spacing w:line="420" w:lineRule="exact"/>
        <w:jc w:val="center"/>
        <w:rPr>
          <w:rFonts w:cs="宋体" w:asciiTheme="minorEastAsia" w:hAnsiTheme="minorEastAsia" w:eastAsiaTheme="minorEastAsia"/>
          <w:bCs/>
          <w:sz w:val="24"/>
          <w:szCs w:val="24"/>
          <w:highlight w:val="none"/>
        </w:rPr>
      </w:pPr>
    </w:p>
    <w:p>
      <w:pPr>
        <w:adjustRightInd w:val="0"/>
        <w:snapToGrid w:val="0"/>
        <w:spacing w:line="42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投标人：投标人全称</w:t>
      </w:r>
    </w:p>
    <w:p>
      <w:pPr>
        <w:snapToGrid w:val="0"/>
        <w:spacing w:line="42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年     月     日</w:t>
      </w:r>
    </w:p>
    <w:p>
      <w:pPr>
        <w:spacing w:line="400" w:lineRule="exact"/>
        <w:jc w:val="center"/>
        <w:rPr>
          <w:rFonts w:asciiTheme="minorEastAsia" w:hAnsiTheme="minorEastAsia" w:eastAsiaTheme="minorEastAsia"/>
          <w:sz w:val="32"/>
          <w:szCs w:val="32"/>
          <w:highlight w:val="none"/>
        </w:rPr>
      </w:pPr>
    </w:p>
    <w:p>
      <w:pPr>
        <w:spacing w:line="400" w:lineRule="exact"/>
        <w:jc w:val="center"/>
        <w:rPr>
          <w:rFonts w:asciiTheme="minorEastAsia" w:hAnsiTheme="minorEastAsia" w:eastAsiaTheme="minorEastAsia"/>
          <w:sz w:val="32"/>
          <w:szCs w:val="32"/>
          <w:highlight w:val="none"/>
        </w:rPr>
      </w:pPr>
    </w:p>
    <w:p>
      <w:pPr>
        <w:spacing w:line="400" w:lineRule="exact"/>
        <w:jc w:val="center"/>
        <w:rPr>
          <w:rFonts w:asciiTheme="minorEastAsia" w:hAnsiTheme="minorEastAsia" w:eastAsiaTheme="minorEastAsia"/>
          <w:sz w:val="32"/>
          <w:szCs w:val="32"/>
          <w:highlight w:val="none"/>
        </w:rPr>
      </w:pPr>
    </w:p>
    <w:p>
      <w:pPr>
        <w:spacing w:line="400" w:lineRule="exact"/>
        <w:jc w:val="center"/>
        <w:rPr>
          <w:rFonts w:asciiTheme="minorEastAsia" w:hAnsiTheme="minorEastAsia" w:eastAsiaTheme="minorEastAsia"/>
          <w:sz w:val="32"/>
          <w:szCs w:val="32"/>
          <w:highlight w:val="none"/>
        </w:rPr>
      </w:pPr>
    </w:p>
    <w:p>
      <w:pPr>
        <w:widowControl/>
        <w:jc w:val="left"/>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br w:type="page"/>
      </w:r>
    </w:p>
    <w:p>
      <w:pPr>
        <w:adjustRightInd w:val="0"/>
        <w:snapToGrid w:val="0"/>
        <w:spacing w:line="420" w:lineRule="exact"/>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三、投标响应文件</w:t>
      </w:r>
    </w:p>
    <w:p>
      <w:pPr>
        <w:adjustRightInd w:val="0"/>
        <w:snapToGrid w:val="0"/>
        <w:spacing w:line="420" w:lineRule="exact"/>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A、资格后审材料文件</w:t>
      </w:r>
      <w:r>
        <w:rPr>
          <w:rFonts w:hint="eastAsia" w:asciiTheme="minorEastAsia" w:hAnsiTheme="minorEastAsia" w:eastAsiaTheme="minorEastAsia"/>
          <w:sz w:val="24"/>
          <w:szCs w:val="24"/>
          <w:highlight w:val="none"/>
        </w:rPr>
        <w:t>（一个密封包，含一正二副文件）</w:t>
      </w:r>
    </w:p>
    <w:p>
      <w:pPr>
        <w:snapToGrid w:val="0"/>
        <w:spacing w:line="420" w:lineRule="exact"/>
        <w:ind w:firstLine="491" w:firstLineChars="20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p>
    <w:p>
      <w:pPr>
        <w:adjustRightInd w:val="0"/>
        <w:snapToGrid w:val="0"/>
        <w:spacing w:line="420" w:lineRule="exact"/>
        <w:jc w:val="left"/>
        <w:outlineLvl w:val="3"/>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A.1、目录</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51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trPr>
        <w:tc>
          <w:tcPr>
            <w:tcW w:w="567" w:type="dxa"/>
            <w:vAlign w:val="center"/>
          </w:tcPr>
          <w:p>
            <w:pPr>
              <w:spacing w:line="42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序号</w:t>
            </w:r>
          </w:p>
        </w:tc>
        <w:tc>
          <w:tcPr>
            <w:tcW w:w="7513" w:type="dxa"/>
            <w:vAlign w:val="center"/>
          </w:tcPr>
          <w:p>
            <w:pPr>
              <w:spacing w:line="42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资格后审材料文件 清单</w:t>
            </w:r>
          </w:p>
        </w:tc>
        <w:tc>
          <w:tcPr>
            <w:tcW w:w="1559" w:type="dxa"/>
            <w:vAlign w:val="center"/>
          </w:tcPr>
          <w:p>
            <w:pPr>
              <w:spacing w:line="42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自行判断有否提供（√）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67" w:type="dxa"/>
            <w:vAlign w:val="center"/>
          </w:tcPr>
          <w:p>
            <w:pPr>
              <w:spacing w:line="42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p>
        </w:tc>
        <w:tc>
          <w:tcPr>
            <w:tcW w:w="7513" w:type="dxa"/>
            <w:vAlign w:val="center"/>
          </w:tcPr>
          <w:p>
            <w:pPr>
              <w:widowControl/>
              <w:adjustRightInd w:val="0"/>
              <w:snapToGrid w:val="0"/>
              <w:spacing w:line="420" w:lineRule="exact"/>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投标人须提供营业执照原件的复印件（须加盖投标人公章）。</w:t>
            </w:r>
          </w:p>
        </w:tc>
        <w:tc>
          <w:tcPr>
            <w:tcW w:w="1559" w:type="dxa"/>
            <w:vAlign w:val="center"/>
          </w:tcPr>
          <w:p>
            <w:pPr>
              <w:spacing w:line="420" w:lineRule="exact"/>
              <w:jc w:val="center"/>
              <w:rPr>
                <w:rFonts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67" w:type="dxa"/>
            <w:vAlign w:val="center"/>
          </w:tcPr>
          <w:p>
            <w:pPr>
              <w:spacing w:line="42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p>
        </w:tc>
        <w:tc>
          <w:tcPr>
            <w:tcW w:w="7513" w:type="dxa"/>
            <w:vAlign w:val="center"/>
          </w:tcPr>
          <w:p>
            <w:pPr>
              <w:spacing w:line="42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法定代表人参加投标的，必须提供本人身份证原件的复印件（须加盖公章）；非法定代表人参加的，必须提供法定代表人身份证明及其签名或盖章的授权委托书及被委托受权人身份证这3项材料的原件的复印件（须加盖公章）。</w:t>
            </w:r>
          </w:p>
        </w:tc>
        <w:tc>
          <w:tcPr>
            <w:tcW w:w="1559" w:type="dxa"/>
            <w:vAlign w:val="center"/>
          </w:tcPr>
          <w:p>
            <w:pPr>
              <w:spacing w:line="420" w:lineRule="exact"/>
              <w:jc w:val="center"/>
              <w:rPr>
                <w:rFonts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67" w:type="dxa"/>
            <w:vAlign w:val="center"/>
          </w:tcPr>
          <w:p>
            <w:pPr>
              <w:spacing w:line="42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w:t>
            </w:r>
          </w:p>
        </w:tc>
        <w:tc>
          <w:tcPr>
            <w:tcW w:w="7513" w:type="dxa"/>
            <w:vAlign w:val="center"/>
          </w:tcPr>
          <w:p>
            <w:pPr>
              <w:spacing w:line="420" w:lineRule="exac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投标</w:t>
            </w:r>
            <w:r>
              <w:rPr>
                <w:rFonts w:hint="eastAsia" w:asciiTheme="minorEastAsia" w:hAnsiTheme="minorEastAsia" w:eastAsiaTheme="minorEastAsia"/>
                <w:sz w:val="24"/>
                <w:szCs w:val="24"/>
                <w:highlight w:val="none"/>
                <w:lang w:val="en-US" w:eastAsia="zh-CN"/>
              </w:rPr>
              <w:t>人</w:t>
            </w:r>
            <w:r>
              <w:rPr>
                <w:rFonts w:hint="eastAsia" w:asciiTheme="minorEastAsia" w:hAnsiTheme="minorEastAsia" w:eastAsiaTheme="minorEastAsia"/>
                <w:sz w:val="24"/>
                <w:szCs w:val="24"/>
                <w:highlight w:val="none"/>
              </w:rPr>
              <w:t>应具备省级市场监督管理局核发</w:t>
            </w:r>
            <w:r>
              <w:rPr>
                <w:rFonts w:hint="eastAsia" w:asciiTheme="minorEastAsia" w:hAnsiTheme="minorEastAsia" w:eastAsiaTheme="minorEastAsia"/>
                <w:sz w:val="24"/>
                <w:szCs w:val="24"/>
                <w:highlight w:val="none"/>
                <w:lang w:eastAsia="zh-CN"/>
              </w:rPr>
              <w:t>的《中华人民共和国特种设备检验检测机构核准证》</w:t>
            </w:r>
            <w:r>
              <w:rPr>
                <w:rFonts w:hint="eastAsia" w:asciiTheme="minorEastAsia" w:hAnsiTheme="minorEastAsia" w:eastAsiaTheme="minorEastAsia"/>
                <w:sz w:val="24"/>
                <w:szCs w:val="24"/>
                <w:highlight w:val="none"/>
              </w:rPr>
              <w:t>的原件的复印件（须加盖公章）（检测目录中需含PD1无缝气瓶</w:t>
            </w:r>
            <w:r>
              <w:rPr>
                <w:rFonts w:hint="eastAsia" w:asciiTheme="minorEastAsia" w:hAnsiTheme="minorEastAsia" w:eastAsiaTheme="minorEastAsia"/>
                <w:sz w:val="24"/>
                <w:szCs w:val="24"/>
                <w:highlight w:val="none"/>
                <w:lang w:eastAsia="zh-CN"/>
              </w:rPr>
              <w:t>或</w:t>
            </w:r>
            <w:r>
              <w:rPr>
                <w:rFonts w:hint="eastAsia" w:asciiTheme="minorEastAsia" w:hAnsiTheme="minorEastAsia" w:eastAsiaTheme="minorEastAsia"/>
                <w:sz w:val="24"/>
                <w:szCs w:val="24"/>
                <w:highlight w:val="none"/>
              </w:rPr>
              <w:t>PD2</w:t>
            </w:r>
            <w:r>
              <w:rPr>
                <w:rFonts w:hint="eastAsia" w:asciiTheme="minorEastAsia" w:hAnsiTheme="minorEastAsia" w:eastAsiaTheme="minorEastAsia"/>
                <w:sz w:val="24"/>
                <w:szCs w:val="24"/>
                <w:highlight w:val="none"/>
                <w:lang w:eastAsia="zh-CN"/>
              </w:rPr>
              <w:t>或</w:t>
            </w:r>
            <w:r>
              <w:rPr>
                <w:rFonts w:hint="eastAsia" w:asciiTheme="minorEastAsia" w:hAnsiTheme="minorEastAsia" w:eastAsiaTheme="minorEastAsia"/>
                <w:sz w:val="24"/>
                <w:szCs w:val="24"/>
                <w:highlight w:val="none"/>
                <w:lang w:val="en-US" w:eastAsia="zh-CN"/>
              </w:rPr>
              <w:t>RD6</w:t>
            </w:r>
            <w:r>
              <w:rPr>
                <w:rFonts w:hint="eastAsia" w:asciiTheme="minorEastAsia" w:hAnsiTheme="minorEastAsia" w:eastAsiaTheme="minorEastAsia"/>
                <w:sz w:val="24"/>
                <w:szCs w:val="24"/>
                <w:highlight w:val="none"/>
              </w:rPr>
              <w:t>焊接气瓶检测项目）和省级市场监督管理局核发的《</w:t>
            </w:r>
            <w:r>
              <w:rPr>
                <w:rFonts w:hint="eastAsia" w:asciiTheme="minorEastAsia" w:hAnsiTheme="minorEastAsia" w:eastAsiaTheme="minorEastAsia"/>
                <w:sz w:val="24"/>
                <w:szCs w:val="24"/>
                <w:highlight w:val="none"/>
                <w:lang w:eastAsia="zh-CN"/>
              </w:rPr>
              <w:t>中华人民共和国</w:t>
            </w:r>
            <w:r>
              <w:rPr>
                <w:rFonts w:hint="eastAsia" w:asciiTheme="minorEastAsia" w:hAnsiTheme="minorEastAsia" w:eastAsiaTheme="minorEastAsia"/>
                <w:sz w:val="24"/>
                <w:szCs w:val="24"/>
                <w:highlight w:val="none"/>
              </w:rPr>
              <w:t>气瓶充装许可证》及《危险化学品经营许可证》的原件的复印件（须加盖公章）</w:t>
            </w:r>
            <w:r>
              <w:rPr>
                <w:rFonts w:hint="eastAsia" w:asciiTheme="minorEastAsia" w:hAnsiTheme="minorEastAsia" w:eastAsiaTheme="minorEastAsia"/>
                <w:sz w:val="24"/>
                <w:szCs w:val="24"/>
                <w:highlight w:val="none"/>
                <w:lang w:eastAsia="zh-CN"/>
              </w:rPr>
              <w:t>。</w:t>
            </w:r>
          </w:p>
        </w:tc>
        <w:tc>
          <w:tcPr>
            <w:tcW w:w="1559" w:type="dxa"/>
            <w:vAlign w:val="center"/>
          </w:tcPr>
          <w:p>
            <w:pPr>
              <w:spacing w:line="420" w:lineRule="exact"/>
              <w:jc w:val="center"/>
              <w:rPr>
                <w:rFonts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67" w:type="dxa"/>
            <w:vAlign w:val="center"/>
          </w:tcPr>
          <w:p>
            <w:pPr>
              <w:spacing w:line="420" w:lineRule="exact"/>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4</w:t>
            </w:r>
          </w:p>
        </w:tc>
        <w:tc>
          <w:tcPr>
            <w:tcW w:w="7513" w:type="dxa"/>
            <w:vAlign w:val="center"/>
          </w:tcPr>
          <w:p>
            <w:pPr>
              <w:spacing w:line="420" w:lineRule="exac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highlight w:val="none"/>
                <w:lang w:eastAsia="zh-CN"/>
              </w:rPr>
              <w:t>投标</w:t>
            </w:r>
            <w:r>
              <w:rPr>
                <w:rFonts w:hint="eastAsia" w:asciiTheme="minorEastAsia" w:hAnsiTheme="minorEastAsia" w:eastAsiaTheme="minorEastAsia"/>
                <w:sz w:val="24"/>
                <w:highlight w:val="none"/>
                <w:lang w:val="en-US" w:eastAsia="zh-CN"/>
              </w:rPr>
              <w:t>人</w:t>
            </w:r>
            <w:r>
              <w:rPr>
                <w:rFonts w:hint="eastAsia" w:asciiTheme="minorEastAsia" w:hAnsiTheme="minorEastAsia" w:eastAsiaTheme="minorEastAsia"/>
                <w:sz w:val="24"/>
                <w:highlight w:val="none"/>
              </w:rPr>
              <w:t>应</w:t>
            </w:r>
            <w:r>
              <w:rPr>
                <w:rFonts w:hint="eastAsia" w:asciiTheme="minorEastAsia" w:hAnsiTheme="minorEastAsia" w:eastAsiaTheme="minorEastAsia"/>
                <w:sz w:val="24"/>
                <w:highlight w:val="none"/>
                <w:lang w:eastAsia="zh-CN"/>
              </w:rPr>
              <w:t>出</w:t>
            </w:r>
            <w:r>
              <w:rPr>
                <w:rFonts w:hint="eastAsia" w:asciiTheme="minorEastAsia" w:hAnsiTheme="minorEastAsia" w:eastAsiaTheme="minorEastAsia"/>
                <w:sz w:val="24"/>
                <w:highlight w:val="none"/>
              </w:rPr>
              <w:t>具</w:t>
            </w:r>
            <w:r>
              <w:rPr>
                <w:rFonts w:hint="eastAsia" w:asciiTheme="minorEastAsia" w:hAnsiTheme="minorEastAsia" w:eastAsiaTheme="minorEastAsia"/>
                <w:sz w:val="24"/>
                <w:highlight w:val="none"/>
                <w:lang w:val="en-US" w:eastAsia="zh-CN"/>
              </w:rPr>
              <w:t>国家固定灭火系统和耐火部件机构质量监督检验中心出具的IG-100惰性气体灭火剂检测报告</w:t>
            </w:r>
            <w:r>
              <w:rPr>
                <w:rFonts w:hint="eastAsia" w:asciiTheme="minorEastAsia" w:hAnsiTheme="minorEastAsia" w:eastAsiaTheme="minorEastAsia"/>
                <w:sz w:val="24"/>
                <w:szCs w:val="24"/>
                <w:highlight w:val="none"/>
              </w:rPr>
              <w:t>的原件的复印件（须加盖公章）</w:t>
            </w:r>
            <w:r>
              <w:rPr>
                <w:rFonts w:hint="eastAsia" w:asciiTheme="minorEastAsia" w:hAnsiTheme="minorEastAsia" w:eastAsiaTheme="minorEastAsia"/>
                <w:sz w:val="24"/>
                <w:szCs w:val="24"/>
                <w:highlight w:val="none"/>
                <w:lang w:eastAsia="zh-CN"/>
              </w:rPr>
              <w:t>。</w:t>
            </w:r>
          </w:p>
        </w:tc>
        <w:tc>
          <w:tcPr>
            <w:tcW w:w="1559" w:type="dxa"/>
            <w:vAlign w:val="center"/>
          </w:tcPr>
          <w:p>
            <w:pPr>
              <w:spacing w:line="420" w:lineRule="exact"/>
              <w:jc w:val="center"/>
              <w:rPr>
                <w:rFonts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67" w:type="dxa"/>
            <w:vAlign w:val="center"/>
          </w:tcPr>
          <w:p>
            <w:pPr>
              <w:spacing w:line="420" w:lineRule="exact"/>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5</w:t>
            </w:r>
          </w:p>
        </w:tc>
        <w:tc>
          <w:tcPr>
            <w:tcW w:w="7513" w:type="dxa"/>
            <w:vAlign w:val="center"/>
          </w:tcPr>
          <w:p>
            <w:pPr>
              <w:spacing w:line="420" w:lineRule="exact"/>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现场勘察回执（格式详见第八章</w:t>
            </w:r>
            <w:r>
              <w:rPr>
                <w:rFonts w:hint="eastAsia" w:asciiTheme="minorEastAsia" w:hAnsiTheme="minorEastAsia" w:eastAsiaTheme="minorEastAsia"/>
                <w:sz w:val="24"/>
                <w:szCs w:val="24"/>
                <w:highlight w:val="none"/>
              </w:rPr>
              <w:t>投标文件的组成及格式</w:t>
            </w:r>
            <w:r>
              <w:rPr>
                <w:rFonts w:hint="eastAsia" w:asciiTheme="minorEastAsia" w:hAnsiTheme="minorEastAsia" w:eastAsiaTheme="minorEastAsia"/>
                <w:sz w:val="24"/>
                <w:szCs w:val="24"/>
                <w:highlight w:val="none"/>
                <w:lang w:val="en-US" w:eastAsia="zh-CN"/>
              </w:rPr>
              <w:t>）。</w:t>
            </w:r>
          </w:p>
        </w:tc>
        <w:tc>
          <w:tcPr>
            <w:tcW w:w="1559" w:type="dxa"/>
            <w:vAlign w:val="center"/>
          </w:tcPr>
          <w:p>
            <w:pPr>
              <w:spacing w:line="420" w:lineRule="exact"/>
              <w:jc w:val="center"/>
              <w:rPr>
                <w:rFonts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67" w:type="dxa"/>
            <w:vAlign w:val="center"/>
          </w:tcPr>
          <w:p>
            <w:pPr>
              <w:spacing w:line="420" w:lineRule="exact"/>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6</w:t>
            </w:r>
          </w:p>
        </w:tc>
        <w:tc>
          <w:tcPr>
            <w:tcW w:w="7513" w:type="dxa"/>
            <w:vAlign w:val="center"/>
          </w:tcPr>
          <w:p>
            <w:pPr>
              <w:spacing w:line="42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投标人还须提供本招标文件第八章投标文件的组成及格式中的“资格后审材料相关格式文件”内的：关于资格文件的声明函、投标人一般情况表。</w:t>
            </w:r>
          </w:p>
        </w:tc>
        <w:tc>
          <w:tcPr>
            <w:tcW w:w="1559" w:type="dxa"/>
            <w:vAlign w:val="center"/>
          </w:tcPr>
          <w:p>
            <w:pPr>
              <w:spacing w:line="420" w:lineRule="exact"/>
              <w:jc w:val="center"/>
              <w:rPr>
                <w:rFonts w:asciiTheme="minorEastAsia" w:hAnsiTheme="minorEastAsia" w:eastAsiaTheme="minorEastAsia"/>
                <w:sz w:val="24"/>
                <w:szCs w:val="24"/>
                <w:highlight w:val="none"/>
              </w:rPr>
            </w:pPr>
          </w:p>
        </w:tc>
      </w:tr>
    </w:tbl>
    <w:p>
      <w:pPr>
        <w:adjustRightInd w:val="0"/>
        <w:snapToGrid w:val="0"/>
        <w:spacing w:line="42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法定代表人或被委托受权人签字：</w:t>
      </w:r>
    </w:p>
    <w:p>
      <w:pPr>
        <w:adjustRightInd w:val="0"/>
        <w:snapToGrid w:val="0"/>
        <w:spacing w:line="42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（加盖投标人公章）</w:t>
      </w:r>
    </w:p>
    <w:p>
      <w:pPr>
        <w:adjustRightInd w:val="0"/>
        <w:snapToGrid w:val="0"/>
        <w:spacing w:line="42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日期：</w:t>
      </w:r>
    </w:p>
    <w:p>
      <w:pPr>
        <w:adjustRightInd w:val="0"/>
        <w:snapToGrid w:val="0"/>
        <w:spacing w:line="420" w:lineRule="exact"/>
        <w:ind w:left="1" w:firstLine="564" w:firstLineChars="2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w:t>
      </w:r>
    </w:p>
    <w:p>
      <w:pPr>
        <w:adjustRightInd w:val="0"/>
        <w:snapToGrid w:val="0"/>
        <w:spacing w:line="420" w:lineRule="exact"/>
        <w:ind w:left="1" w:firstLine="564" w:firstLineChars="2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（1）以上由投标人填写，作为提供的资格后审资料包内的资料首页清单目录。</w:t>
      </w:r>
    </w:p>
    <w:p>
      <w:pPr>
        <w:adjustRightInd w:val="0"/>
        <w:snapToGrid w:val="0"/>
        <w:spacing w:line="420" w:lineRule="exact"/>
        <w:ind w:left="1" w:firstLine="564" w:firstLineChars="2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（2）所有资格证明复印件、相关的格式文件及表格，须加盖公章装订成册，正本1份副本2份，供审查及留存！</w:t>
      </w:r>
    </w:p>
    <w:p>
      <w:pPr>
        <w:adjustRightInd w:val="0"/>
        <w:snapToGrid w:val="0"/>
        <w:spacing w:line="420" w:lineRule="exac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A.2、</w:t>
      </w:r>
      <w:r>
        <w:rPr>
          <w:rFonts w:asciiTheme="minorEastAsia" w:hAnsiTheme="minorEastAsia" w:eastAsiaTheme="minorEastAsia"/>
          <w:b/>
          <w:sz w:val="24"/>
          <w:szCs w:val="24"/>
          <w:highlight w:val="none"/>
        </w:rPr>
        <w:t>资格</w:t>
      </w:r>
      <w:r>
        <w:rPr>
          <w:rFonts w:hint="eastAsia" w:asciiTheme="minorEastAsia" w:hAnsiTheme="minorEastAsia" w:eastAsiaTheme="minorEastAsia"/>
          <w:b/>
          <w:sz w:val="24"/>
          <w:szCs w:val="24"/>
          <w:highlight w:val="none"/>
        </w:rPr>
        <w:t>后</w:t>
      </w:r>
      <w:r>
        <w:rPr>
          <w:rFonts w:asciiTheme="minorEastAsia" w:hAnsiTheme="minorEastAsia" w:eastAsiaTheme="minorEastAsia"/>
          <w:b/>
          <w:sz w:val="24"/>
          <w:szCs w:val="24"/>
          <w:highlight w:val="none"/>
        </w:rPr>
        <w:t>审</w:t>
      </w:r>
      <w:r>
        <w:rPr>
          <w:rFonts w:hint="eastAsia" w:asciiTheme="minorEastAsia" w:hAnsiTheme="minorEastAsia" w:eastAsiaTheme="minorEastAsia"/>
          <w:b/>
          <w:sz w:val="24"/>
          <w:szCs w:val="24"/>
          <w:highlight w:val="none"/>
        </w:rPr>
        <w:t>材料相关格式文件</w:t>
      </w:r>
    </w:p>
    <w:p>
      <w:pPr>
        <w:snapToGrid w:val="0"/>
        <w:spacing w:before="240" w:beforeLines="100" w:line="420" w:lineRule="exact"/>
        <w:jc w:val="center"/>
        <w:outlineLvl w:val="3"/>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1</w:t>
      </w:r>
      <w:r>
        <w:rPr>
          <w:rFonts w:hint="eastAsia" w:asciiTheme="minorEastAsia" w:hAnsiTheme="minorEastAsia" w:eastAsiaTheme="minorEastAsia"/>
          <w:b/>
          <w:bCs/>
          <w:sz w:val="24"/>
          <w:szCs w:val="24"/>
          <w:highlight w:val="none"/>
        </w:rPr>
        <w:t>、法定代表人身份证明</w:t>
      </w:r>
    </w:p>
    <w:p>
      <w:pPr>
        <w:snapToGrid w:val="0"/>
        <w:spacing w:line="42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南通市保安服务有限公司</w:t>
      </w:r>
      <w:r>
        <w:rPr>
          <w:rFonts w:hint="eastAsia" w:asciiTheme="minorEastAsia" w:hAnsiTheme="minorEastAsia" w:eastAsiaTheme="minorEastAsia"/>
          <w:sz w:val="24"/>
          <w:szCs w:val="24"/>
          <w:highlight w:val="none"/>
        </w:rPr>
        <w:t>：</w:t>
      </w:r>
    </w:p>
    <w:p>
      <w:pPr>
        <w:snapToGrid w:val="0"/>
        <w:spacing w:line="42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u w:val="single"/>
        </w:rPr>
        <w:t xml:space="preserve">          先生／女士：</w:t>
      </w:r>
      <w:r>
        <w:rPr>
          <w:rFonts w:hint="eastAsia" w:asciiTheme="minorEastAsia" w:hAnsiTheme="minorEastAsia" w:eastAsiaTheme="minorEastAsia"/>
          <w:sz w:val="24"/>
          <w:szCs w:val="24"/>
          <w:highlight w:val="none"/>
        </w:rPr>
        <w:t>现任我单位</w:t>
      </w:r>
      <w:r>
        <w:rPr>
          <w:rFonts w:hint="eastAsia" w:asciiTheme="minorEastAsia" w:hAnsiTheme="minorEastAsia" w:eastAsiaTheme="minorEastAsia"/>
          <w:sz w:val="24"/>
          <w:szCs w:val="24"/>
          <w:highlight w:val="none"/>
          <w:u w:val="single"/>
        </w:rPr>
        <w:t>　　　　　　　</w:t>
      </w:r>
      <w:r>
        <w:rPr>
          <w:rFonts w:hint="eastAsia" w:asciiTheme="minorEastAsia" w:hAnsiTheme="minorEastAsia" w:eastAsiaTheme="minorEastAsia"/>
          <w:sz w:val="24"/>
          <w:szCs w:val="24"/>
          <w:highlight w:val="none"/>
        </w:rPr>
        <w:t>职务，为法定代表人，特此证明。</w:t>
      </w:r>
    </w:p>
    <w:p>
      <w:pPr>
        <w:snapToGrid w:val="0"/>
        <w:spacing w:line="420" w:lineRule="exact"/>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身份证号码：</w:t>
      </w:r>
      <w:r>
        <w:rPr>
          <w:rFonts w:hint="eastAsia" w:asciiTheme="minorEastAsia" w:hAnsiTheme="minorEastAsia" w:eastAsiaTheme="minorEastAsia"/>
          <w:sz w:val="24"/>
          <w:szCs w:val="24"/>
          <w:highlight w:val="none"/>
          <w:u w:val="single"/>
        </w:rPr>
        <w:t xml:space="preserve">                       </w:t>
      </w:r>
    </w:p>
    <w:p>
      <w:pPr>
        <w:snapToGrid w:val="0"/>
        <w:spacing w:line="420" w:lineRule="exact"/>
        <w:jc w:val="center"/>
        <w:rPr>
          <w:rFonts w:asciiTheme="minorEastAsia" w:hAnsiTheme="minorEastAsia" w:eastAsiaTheme="minorEastAsia"/>
          <w:sz w:val="24"/>
          <w:szCs w:val="24"/>
          <w:highlight w:val="none"/>
        </w:rPr>
      </w:pPr>
    </w:p>
    <w:p>
      <w:pPr>
        <w:snapToGrid w:val="0"/>
        <w:spacing w:line="42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注：提供法定代表人的身份证复印件并加盖公章</w:t>
      </w:r>
    </w:p>
    <w:p>
      <w:pPr>
        <w:snapToGrid w:val="0"/>
        <w:spacing w:line="420" w:lineRule="exact"/>
        <w:jc w:val="center"/>
        <w:outlineLvl w:val="3"/>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2</w:t>
      </w:r>
      <w:r>
        <w:rPr>
          <w:rFonts w:hint="eastAsia" w:asciiTheme="minorEastAsia" w:hAnsiTheme="minorEastAsia" w:eastAsiaTheme="minorEastAsia"/>
          <w:b/>
          <w:bCs/>
          <w:sz w:val="24"/>
          <w:szCs w:val="24"/>
          <w:highlight w:val="none"/>
        </w:rPr>
        <w:t>、法定代表人授权委托书</w:t>
      </w:r>
    </w:p>
    <w:p>
      <w:pPr>
        <w:snapToGrid w:val="0"/>
        <w:spacing w:line="420" w:lineRule="exact"/>
        <w:rPr>
          <w:rFonts w:asciiTheme="minorEastAsia" w:hAnsiTheme="minorEastAsia" w:eastAsiaTheme="minorEastAsia"/>
          <w:bCs/>
          <w:sz w:val="24"/>
          <w:szCs w:val="24"/>
          <w:highlight w:val="none"/>
        </w:rPr>
      </w:pPr>
      <w:r>
        <w:rPr>
          <w:rFonts w:hint="eastAsia" w:asciiTheme="minorEastAsia" w:hAnsiTheme="minorEastAsia" w:eastAsiaTheme="minorEastAsia"/>
          <w:sz w:val="24"/>
          <w:szCs w:val="24"/>
          <w:highlight w:val="none"/>
          <w:lang w:eastAsia="zh-CN"/>
        </w:rPr>
        <w:t>南通市保安服务有限公司</w:t>
      </w:r>
      <w:r>
        <w:rPr>
          <w:rFonts w:hint="eastAsia" w:asciiTheme="minorEastAsia" w:hAnsiTheme="minorEastAsia" w:eastAsiaTheme="minorEastAsia"/>
          <w:bCs/>
          <w:sz w:val="24"/>
          <w:szCs w:val="24"/>
          <w:highlight w:val="none"/>
        </w:rPr>
        <w:t>：</w:t>
      </w:r>
    </w:p>
    <w:p>
      <w:pPr>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本授权委托书声明：我</w:t>
      </w:r>
      <w:r>
        <w:rPr>
          <w:rFonts w:hint="eastAsia" w:asciiTheme="minorEastAsia" w:hAnsiTheme="minorEastAsia" w:eastAsiaTheme="minorEastAsia"/>
          <w:sz w:val="24"/>
          <w:szCs w:val="24"/>
          <w:highlight w:val="none"/>
          <w:u w:val="single"/>
        </w:rPr>
        <w:t>　　   　</w:t>
      </w:r>
      <w:r>
        <w:rPr>
          <w:rFonts w:hint="eastAsia" w:asciiTheme="minorEastAsia" w:hAnsiTheme="minorEastAsia" w:eastAsiaTheme="minorEastAsia"/>
          <w:sz w:val="24"/>
          <w:szCs w:val="24"/>
          <w:highlight w:val="none"/>
        </w:rPr>
        <w:t>（姓名）系</w:t>
      </w:r>
      <w:r>
        <w:rPr>
          <w:rFonts w:hint="eastAsia" w:asciiTheme="minorEastAsia" w:hAnsiTheme="minorEastAsia" w:eastAsiaTheme="minorEastAsia"/>
          <w:sz w:val="24"/>
          <w:szCs w:val="24"/>
          <w:highlight w:val="none"/>
          <w:u w:val="single"/>
        </w:rPr>
        <w:t>　　  　</w:t>
      </w:r>
      <w:r>
        <w:rPr>
          <w:rFonts w:hint="eastAsia" w:asciiTheme="minorEastAsia" w:hAnsiTheme="minorEastAsia" w:eastAsiaTheme="minorEastAsia"/>
          <w:sz w:val="24"/>
          <w:szCs w:val="24"/>
          <w:highlight w:val="none"/>
        </w:rPr>
        <w:t>（投标人名称）的法定代表人，现授权委托</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（姓名）为我公司代理人，以本公司的名义参加本项目的投标活动。代理人在开标、评标、合同谈判过程中所签署的一切文件和处理与之有关的一切事务，我均予以承认。</w:t>
      </w:r>
    </w:p>
    <w:p>
      <w:pPr>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被委托受权人无转委权。</w:t>
      </w:r>
    </w:p>
    <w:p>
      <w:pPr>
        <w:snapToGrid w:val="0"/>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特此委托。</w:t>
      </w:r>
    </w:p>
    <w:p>
      <w:pPr>
        <w:snapToGrid w:val="0"/>
        <w:spacing w:line="420" w:lineRule="exact"/>
        <w:ind w:firstLine="972" w:firstLineChars="405"/>
        <w:rPr>
          <w:rFonts w:asciiTheme="minorEastAsia" w:hAnsiTheme="minorEastAsia" w:eastAsiaTheme="minorEastAsia"/>
          <w:sz w:val="24"/>
          <w:szCs w:val="24"/>
          <w:highlight w:val="none"/>
        </w:rPr>
      </w:pPr>
    </w:p>
    <w:p>
      <w:pPr>
        <w:snapToGrid w:val="0"/>
        <w:spacing w:line="420" w:lineRule="exact"/>
        <w:ind w:firstLine="972" w:firstLineChars="40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被委托受权人身份证号：</w:t>
      </w:r>
    </w:p>
    <w:p>
      <w:pPr>
        <w:snapToGrid w:val="0"/>
        <w:spacing w:line="420" w:lineRule="exact"/>
        <w:ind w:firstLine="972" w:firstLineChars="40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法定代表人签字：</w:t>
      </w:r>
    </w:p>
    <w:p>
      <w:pPr>
        <w:snapToGrid w:val="0"/>
        <w:spacing w:line="420" w:lineRule="exact"/>
        <w:ind w:firstLine="972" w:firstLineChars="40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被委托受权人签字：</w:t>
      </w:r>
    </w:p>
    <w:p>
      <w:pPr>
        <w:snapToGrid w:val="0"/>
        <w:spacing w:line="420" w:lineRule="exact"/>
        <w:ind w:firstLine="484" w:firstLineChars="202"/>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投标人（盖章）</w:t>
      </w:r>
    </w:p>
    <w:p>
      <w:pPr>
        <w:snapToGrid w:val="0"/>
        <w:spacing w:line="420" w:lineRule="exact"/>
        <w:ind w:firstLine="484" w:firstLineChars="202"/>
        <w:jc w:val="righ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年    月    日</w:t>
      </w:r>
    </w:p>
    <w:p>
      <w:pPr>
        <w:snapToGrid w:val="0"/>
        <w:spacing w:line="420" w:lineRule="exact"/>
        <w:ind w:firstLine="321" w:firstLineChars="134"/>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注：提供被委托受权人的身份证复印件盖公章</w:t>
      </w:r>
    </w:p>
    <w:p>
      <w:pPr>
        <w:snapToGrid w:val="0"/>
        <w:spacing w:line="420" w:lineRule="exact"/>
        <w:ind w:firstLine="321" w:firstLineChars="134"/>
        <w:jc w:val="center"/>
        <w:rPr>
          <w:rFonts w:asciiTheme="minorEastAsia" w:hAnsiTheme="minorEastAsia" w:eastAsiaTheme="minorEastAsia"/>
          <w:sz w:val="24"/>
          <w:szCs w:val="24"/>
          <w:highlight w:val="none"/>
        </w:rPr>
      </w:pPr>
    </w:p>
    <w:p>
      <w:pPr>
        <w:spacing w:line="420" w:lineRule="exact"/>
        <w:rPr>
          <w:rFonts w:asciiTheme="minorEastAsia" w:hAnsiTheme="minorEastAsia" w:eastAsiaTheme="minorEastAsia"/>
          <w:sz w:val="24"/>
          <w:szCs w:val="24"/>
          <w:highlight w:val="none"/>
        </w:rPr>
      </w:pPr>
    </w:p>
    <w:p>
      <w:pPr>
        <w:snapToGrid w:val="0"/>
        <w:spacing w:line="420" w:lineRule="exact"/>
        <w:jc w:val="center"/>
        <w:outlineLvl w:val="3"/>
        <w:rPr>
          <w:rFonts w:asciiTheme="minorEastAsia" w:hAnsiTheme="minorEastAsia" w:eastAsiaTheme="minorEastAsia"/>
          <w:sz w:val="24"/>
          <w:szCs w:val="24"/>
          <w:highlight w:val="none"/>
        </w:rPr>
      </w:pPr>
      <w:r>
        <w:rPr>
          <w:rFonts w:hint="eastAsia" w:asciiTheme="minorEastAsia" w:hAnsiTheme="minorEastAsia" w:eastAsiaTheme="minorEastAsia"/>
          <w:b/>
          <w:bCs/>
          <w:sz w:val="24"/>
          <w:szCs w:val="24"/>
          <w:highlight w:val="none"/>
        </w:rPr>
        <w:t>3、关于资格文件的声明函</w:t>
      </w:r>
    </w:p>
    <w:p>
      <w:pPr>
        <w:snapToGrid w:val="0"/>
        <w:spacing w:line="420" w:lineRule="exact"/>
        <w:rPr>
          <w:rFonts w:asciiTheme="minorEastAsia" w:hAnsiTheme="minorEastAsia" w:eastAsiaTheme="minorEastAsia"/>
          <w:bCs/>
          <w:sz w:val="24"/>
          <w:szCs w:val="24"/>
          <w:highlight w:val="none"/>
        </w:rPr>
      </w:pPr>
      <w:r>
        <w:rPr>
          <w:rFonts w:hint="eastAsia" w:asciiTheme="minorEastAsia" w:hAnsiTheme="minorEastAsia" w:eastAsiaTheme="minorEastAsia"/>
          <w:sz w:val="24"/>
          <w:szCs w:val="24"/>
          <w:highlight w:val="none"/>
          <w:lang w:eastAsia="zh-CN"/>
        </w:rPr>
        <w:t>南通市保安服务有限公司</w:t>
      </w:r>
      <w:r>
        <w:rPr>
          <w:rFonts w:hint="eastAsia" w:asciiTheme="minorEastAsia" w:hAnsiTheme="minorEastAsia" w:eastAsiaTheme="minorEastAsia"/>
          <w:bCs/>
          <w:sz w:val="24"/>
          <w:szCs w:val="24"/>
          <w:highlight w:val="none"/>
        </w:rPr>
        <w:t>：</w:t>
      </w:r>
    </w:p>
    <w:p>
      <w:pPr>
        <w:overflowPunct w:val="0"/>
        <w:adjustRightInd w:val="0"/>
        <w:spacing w:line="420" w:lineRule="exact"/>
        <w:ind w:firstLine="660"/>
        <w:jc w:val="left"/>
        <w:textAlignment w:val="baseline"/>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本公司愿就由贵公司组织实施的</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的招标活动进行投标。本公司所提交的投标文件中所有关于投标资格的文件、证明和陈述均是真实的、准确的。若与真实情况不符，本公司愿意承担由此而产生的一切后果。</w:t>
      </w:r>
    </w:p>
    <w:p>
      <w:pPr>
        <w:overflowPunct w:val="0"/>
        <w:adjustRightInd w:val="0"/>
        <w:spacing w:line="420" w:lineRule="exact"/>
        <w:ind w:firstLine="420"/>
        <w:jc w:val="right"/>
        <w:textAlignment w:val="baseline"/>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（投标人）法定代表人或被委托受权人（签字或盖章）：</w:t>
      </w:r>
    </w:p>
    <w:p>
      <w:pPr>
        <w:overflowPunct w:val="0"/>
        <w:adjustRightInd w:val="0"/>
        <w:spacing w:line="420" w:lineRule="exact"/>
        <w:ind w:left="1700" w:firstLine="425"/>
        <w:jc w:val="left"/>
        <w:textAlignment w:val="baseline"/>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（投标人）公章：               </w:t>
      </w:r>
    </w:p>
    <w:p>
      <w:pPr>
        <w:wordWrap w:val="0"/>
        <w:overflowPunct w:val="0"/>
        <w:adjustRightInd w:val="0"/>
        <w:spacing w:line="420" w:lineRule="exact"/>
        <w:ind w:firstLine="425"/>
        <w:jc w:val="right"/>
        <w:textAlignment w:val="baseline"/>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rPr>
        <w:tab/>
      </w:r>
      <w:r>
        <w:rPr>
          <w:rFonts w:hint="eastAsia" w:asciiTheme="minorEastAsia" w:hAnsiTheme="minorEastAsia" w:eastAsiaTheme="minorEastAsia"/>
          <w:sz w:val="24"/>
          <w:szCs w:val="24"/>
          <w:highlight w:val="none"/>
        </w:rPr>
        <w:t xml:space="preserve"> </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月 </w:t>
      </w:r>
      <w:r>
        <w:rPr>
          <w:rFonts w:hint="eastAsia" w:asciiTheme="minorEastAsia" w:hAnsiTheme="minorEastAsia" w:eastAsiaTheme="minorEastAsia"/>
          <w:sz w:val="24"/>
          <w:szCs w:val="24"/>
          <w:highlight w:val="none"/>
        </w:rPr>
        <w:tab/>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日</w:t>
      </w:r>
    </w:p>
    <w:p>
      <w:pPr>
        <w:snapToGrid w:val="0"/>
        <w:spacing w:line="420" w:lineRule="exact"/>
        <w:jc w:val="center"/>
        <w:outlineLvl w:val="3"/>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4、投标人一般情况</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10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p>
        </w:tc>
        <w:tc>
          <w:tcPr>
            <w:tcW w:w="8646" w:type="dxa"/>
            <w:gridSpan w:val="2"/>
            <w:vAlign w:val="center"/>
          </w:tcPr>
          <w:p>
            <w:pPr>
              <w:tabs>
                <w:tab w:val="left" w:pos="993"/>
              </w:tabs>
              <w:spacing w:line="42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企业名称</w:t>
            </w:r>
            <w:r>
              <w:rPr>
                <w:rFonts w:hint="eastAsia" w:asciiTheme="minorEastAsia" w:hAnsiTheme="minorEastAsia" w:eastAsia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p>
        </w:tc>
        <w:tc>
          <w:tcPr>
            <w:tcW w:w="8646" w:type="dxa"/>
            <w:gridSpan w:val="2"/>
            <w:vAlign w:val="center"/>
          </w:tcPr>
          <w:p>
            <w:pPr>
              <w:tabs>
                <w:tab w:val="left" w:pos="993"/>
              </w:tabs>
              <w:spacing w:line="42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地址</w:t>
            </w:r>
            <w:r>
              <w:rPr>
                <w:rFonts w:hint="eastAsia" w:asciiTheme="minorEastAsia" w:hAnsiTheme="minorEastAsia" w:eastAsia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p>
        </w:tc>
        <w:tc>
          <w:tcPr>
            <w:tcW w:w="8646" w:type="dxa"/>
            <w:gridSpan w:val="2"/>
            <w:vAlign w:val="center"/>
          </w:tcPr>
          <w:p>
            <w:pPr>
              <w:tabs>
                <w:tab w:val="left" w:pos="993"/>
              </w:tabs>
              <w:spacing w:line="42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当地</w:t>
            </w:r>
            <w:r>
              <w:rPr>
                <w:rFonts w:hint="eastAsia" w:asciiTheme="minorEastAsia" w:hAnsiTheme="minorEastAsia" w:eastAsiaTheme="minorEastAsia"/>
                <w:sz w:val="24"/>
                <w:szCs w:val="24"/>
                <w:highlight w:val="none"/>
              </w:rPr>
              <w:t>分支机构</w:t>
            </w:r>
            <w:r>
              <w:rPr>
                <w:rFonts w:asciiTheme="minorEastAsia" w:hAnsiTheme="minorEastAsia" w:eastAsiaTheme="minorEastAsia"/>
                <w:sz w:val="24"/>
                <w:szCs w:val="24"/>
                <w:highlight w:val="none"/>
              </w:rPr>
              <w:t>地址</w:t>
            </w:r>
            <w:r>
              <w:rPr>
                <w:rFonts w:hint="eastAsia" w:asciiTheme="minorEastAsia" w:hAnsiTheme="minorEastAsia" w:eastAsiaTheme="minorEastAsia"/>
                <w:sz w:val="24"/>
                <w:szCs w:val="24"/>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4</w:t>
            </w:r>
          </w:p>
        </w:tc>
        <w:tc>
          <w:tcPr>
            <w:tcW w:w="5103" w:type="dxa"/>
            <w:vAlign w:val="center"/>
          </w:tcPr>
          <w:p>
            <w:pPr>
              <w:tabs>
                <w:tab w:val="left" w:pos="993"/>
              </w:tabs>
              <w:spacing w:line="42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电话</w:t>
            </w:r>
            <w:r>
              <w:rPr>
                <w:rFonts w:hint="eastAsia" w:asciiTheme="minorEastAsia" w:hAnsiTheme="minorEastAsia" w:eastAsiaTheme="minorEastAsia"/>
                <w:sz w:val="24"/>
                <w:szCs w:val="24"/>
                <w:highlight w:val="none"/>
              </w:rPr>
              <w:t>：</w:t>
            </w:r>
          </w:p>
        </w:tc>
        <w:tc>
          <w:tcPr>
            <w:tcW w:w="3543" w:type="dxa"/>
            <w:vAlign w:val="center"/>
          </w:tcPr>
          <w:p>
            <w:pPr>
              <w:tabs>
                <w:tab w:val="left" w:pos="993"/>
              </w:tabs>
              <w:spacing w:line="42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联系人</w:t>
            </w:r>
            <w:r>
              <w:rPr>
                <w:rFonts w:hint="eastAsia" w:asciiTheme="minorEastAsia" w:hAnsiTheme="minorEastAsia" w:eastAsia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5</w:t>
            </w:r>
          </w:p>
        </w:tc>
        <w:tc>
          <w:tcPr>
            <w:tcW w:w="5103" w:type="dxa"/>
            <w:vAlign w:val="center"/>
          </w:tcPr>
          <w:p>
            <w:pPr>
              <w:tabs>
                <w:tab w:val="left" w:pos="993"/>
              </w:tabs>
              <w:spacing w:line="42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传真</w:t>
            </w:r>
            <w:r>
              <w:rPr>
                <w:rFonts w:hint="eastAsia" w:asciiTheme="minorEastAsia" w:hAnsiTheme="minorEastAsia" w:eastAsiaTheme="minorEastAsia"/>
                <w:sz w:val="24"/>
                <w:szCs w:val="24"/>
                <w:highlight w:val="none"/>
              </w:rPr>
              <w:t>：</w:t>
            </w:r>
          </w:p>
        </w:tc>
        <w:tc>
          <w:tcPr>
            <w:tcW w:w="3543" w:type="dxa"/>
            <w:vAlign w:val="center"/>
          </w:tcPr>
          <w:p>
            <w:pPr>
              <w:tabs>
                <w:tab w:val="left" w:pos="993"/>
              </w:tabs>
              <w:spacing w:line="42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电子邮件</w:t>
            </w:r>
            <w:r>
              <w:rPr>
                <w:rFonts w:hint="eastAsia" w:asciiTheme="minorEastAsia" w:hAnsiTheme="minorEastAsia" w:eastAsia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6</w:t>
            </w:r>
          </w:p>
        </w:tc>
        <w:tc>
          <w:tcPr>
            <w:tcW w:w="5103" w:type="dxa"/>
            <w:vAlign w:val="center"/>
          </w:tcPr>
          <w:p>
            <w:pPr>
              <w:tabs>
                <w:tab w:val="left" w:pos="993"/>
              </w:tabs>
              <w:spacing w:line="42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注册地</w:t>
            </w:r>
            <w:r>
              <w:rPr>
                <w:rFonts w:hint="eastAsia" w:asciiTheme="minorEastAsia" w:hAnsiTheme="minorEastAsia" w:eastAsiaTheme="minorEastAsia"/>
                <w:sz w:val="24"/>
                <w:szCs w:val="24"/>
                <w:highlight w:val="none"/>
              </w:rPr>
              <w:t>：</w:t>
            </w:r>
          </w:p>
        </w:tc>
        <w:tc>
          <w:tcPr>
            <w:tcW w:w="3543" w:type="dxa"/>
            <w:vAlign w:val="center"/>
          </w:tcPr>
          <w:p>
            <w:pPr>
              <w:tabs>
                <w:tab w:val="left" w:pos="993"/>
              </w:tabs>
              <w:spacing w:line="42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注册年份</w:t>
            </w:r>
            <w:r>
              <w:rPr>
                <w:rFonts w:hint="eastAsia" w:asciiTheme="minorEastAsia" w:hAnsiTheme="minorEastAsia" w:eastAsia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7</w:t>
            </w:r>
          </w:p>
        </w:tc>
        <w:tc>
          <w:tcPr>
            <w:tcW w:w="8646" w:type="dxa"/>
            <w:gridSpan w:val="2"/>
            <w:vAlign w:val="center"/>
          </w:tcPr>
          <w:p>
            <w:pPr>
              <w:tabs>
                <w:tab w:val="left" w:pos="993"/>
              </w:tabs>
              <w:spacing w:line="42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公司资质等级证书号（请附有关证书的复印件）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8</w:t>
            </w:r>
          </w:p>
        </w:tc>
        <w:tc>
          <w:tcPr>
            <w:tcW w:w="8646" w:type="dxa"/>
            <w:gridSpan w:val="2"/>
            <w:vAlign w:val="center"/>
          </w:tcPr>
          <w:p>
            <w:pPr>
              <w:tabs>
                <w:tab w:val="left" w:pos="993"/>
              </w:tabs>
              <w:spacing w:line="42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公司</w:t>
            </w:r>
            <w:r>
              <w:rPr>
                <w:rFonts w:asciiTheme="minorEastAsia" w:hAnsiTheme="minorEastAsia" w:eastAsiaTheme="minorEastAsia"/>
                <w:sz w:val="24"/>
                <w:szCs w:val="24"/>
                <w:highlight w:val="none"/>
                <w:u w:val="single"/>
              </w:rPr>
              <w:t xml:space="preserve">   （是否通过，何种）   </w:t>
            </w:r>
            <w:r>
              <w:rPr>
                <w:rFonts w:asciiTheme="minorEastAsia" w:hAnsiTheme="minorEastAsia" w:eastAsiaTheme="minorEastAsia"/>
                <w:sz w:val="24"/>
                <w:szCs w:val="24"/>
                <w:highlight w:val="none"/>
              </w:rPr>
              <w:t>质量保证体系认证（如通过请附相关证书复印件）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9</w:t>
            </w:r>
          </w:p>
        </w:tc>
        <w:tc>
          <w:tcPr>
            <w:tcW w:w="8646" w:type="dxa"/>
            <w:gridSpan w:val="2"/>
            <w:vAlign w:val="center"/>
          </w:tcPr>
          <w:p>
            <w:pPr>
              <w:tabs>
                <w:tab w:val="left" w:pos="993"/>
              </w:tabs>
              <w:spacing w:line="42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经</w:t>
            </w:r>
            <w:r>
              <w:rPr>
                <w:rFonts w:asciiTheme="minorEastAsia" w:hAnsiTheme="minorEastAsia" w:eastAsiaTheme="minorEastAsia"/>
                <w:sz w:val="24"/>
                <w:szCs w:val="24"/>
                <w:highlight w:val="none"/>
              </w:rPr>
              <w:t>营范围</w:t>
            </w:r>
            <w:r>
              <w:rPr>
                <w:rFonts w:hint="eastAsia" w:asciiTheme="minorEastAsia" w:hAnsiTheme="minorEastAsia" w:eastAsiaTheme="minorEastAsia"/>
                <w:sz w:val="24"/>
                <w:szCs w:val="24"/>
                <w:highlight w:val="none"/>
              </w:rPr>
              <w:t>：</w:t>
            </w:r>
          </w:p>
          <w:p>
            <w:pPr>
              <w:tabs>
                <w:tab w:val="left" w:pos="993"/>
              </w:tabs>
              <w:spacing w:line="42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asciiTheme="minorEastAsia" w:hAnsiTheme="minorEastAsia" w:eastAsiaTheme="minorEastAsia"/>
                <w:sz w:val="24"/>
                <w:szCs w:val="24"/>
                <w:highlight w:val="none"/>
                <w:u w:val="single"/>
              </w:rPr>
              <w:t xml:space="preserve">             </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；2.</w:t>
            </w:r>
            <w:r>
              <w:rPr>
                <w:rFonts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10</w:t>
            </w:r>
          </w:p>
        </w:tc>
        <w:tc>
          <w:tcPr>
            <w:tcW w:w="5103" w:type="dxa"/>
            <w:vAlign w:val="center"/>
          </w:tcPr>
          <w:p>
            <w:pPr>
              <w:tabs>
                <w:tab w:val="left" w:pos="993"/>
              </w:tabs>
              <w:spacing w:line="42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投标人从事投标项目的</w:t>
            </w:r>
            <w:r>
              <w:rPr>
                <w:rFonts w:asciiTheme="minorEastAsia" w:hAnsiTheme="minorEastAsia" w:eastAsiaTheme="minorEastAsia"/>
                <w:sz w:val="24"/>
                <w:szCs w:val="24"/>
                <w:highlight w:val="none"/>
              </w:rPr>
              <w:t>年数</w:t>
            </w:r>
          </w:p>
        </w:tc>
        <w:tc>
          <w:tcPr>
            <w:tcW w:w="3543" w:type="dxa"/>
            <w:vAlign w:val="center"/>
          </w:tcPr>
          <w:p>
            <w:pPr>
              <w:tabs>
                <w:tab w:val="left" w:pos="993"/>
              </w:tabs>
              <w:spacing w:line="420" w:lineRule="exact"/>
              <w:rPr>
                <w:rFonts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1</w:t>
            </w:r>
          </w:p>
        </w:tc>
        <w:tc>
          <w:tcPr>
            <w:tcW w:w="8646" w:type="dxa"/>
            <w:gridSpan w:val="2"/>
            <w:vAlign w:val="center"/>
          </w:tcPr>
          <w:p>
            <w:pPr>
              <w:tabs>
                <w:tab w:val="left" w:pos="993"/>
              </w:tabs>
              <w:spacing w:line="42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其他需要说明的情况</w:t>
            </w:r>
            <w:r>
              <w:rPr>
                <w:rFonts w:hint="eastAsia" w:asciiTheme="minorEastAsia" w:hAnsiTheme="minorEastAsia" w:eastAsiaTheme="minorEastAsia"/>
                <w:sz w:val="24"/>
                <w:szCs w:val="24"/>
                <w:highlight w:val="none"/>
              </w:rPr>
              <w:t>，可自行添加</w:t>
            </w:r>
          </w:p>
        </w:tc>
      </w:tr>
    </w:tbl>
    <w:p>
      <w:pPr>
        <w:pStyle w:val="7"/>
        <w:overflowPunct w:val="0"/>
        <w:spacing w:line="420" w:lineRule="exact"/>
        <w:ind w:firstLine="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 xml:space="preserve">投标人：（盖章）             </w:t>
      </w:r>
    </w:p>
    <w:p>
      <w:pPr>
        <w:pStyle w:val="7"/>
        <w:overflowPunct w:val="0"/>
        <w:spacing w:line="420" w:lineRule="exact"/>
        <w:ind w:firstLine="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法定代表人或被委托受权人（签字）：</w:t>
      </w:r>
    </w:p>
    <w:p>
      <w:pPr>
        <w:pStyle w:val="7"/>
        <w:overflowPunct w:val="0"/>
        <w:spacing w:line="420" w:lineRule="exact"/>
        <w:ind w:firstLine="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日期：</w:t>
      </w:r>
    </w:p>
    <w:p>
      <w:pPr>
        <w:adjustRightInd w:val="0"/>
        <w:snapToGrid w:val="0"/>
        <w:spacing w:line="420" w:lineRule="exact"/>
        <w:ind w:left="1159" w:leftChars="1" w:hanging="1156" w:hangingChars="48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注：本表不是格式化表格，投标人可根据需要，自行添加删除。</w:t>
      </w:r>
    </w:p>
    <w:p>
      <w:pPr>
        <w:pStyle w:val="21"/>
        <w:rPr>
          <w:highlight w:val="none"/>
        </w:rPr>
      </w:pPr>
    </w:p>
    <w:p>
      <w:pPr>
        <w:pStyle w:val="22"/>
        <w:rPr>
          <w:highlight w:val="none"/>
        </w:rPr>
      </w:pPr>
    </w:p>
    <w:p>
      <w:pPr>
        <w:rPr>
          <w:highlight w:val="none"/>
        </w:rPr>
      </w:pPr>
    </w:p>
    <w:p>
      <w:pPr>
        <w:pStyle w:val="21"/>
        <w:rPr>
          <w:highlight w:val="none"/>
        </w:rPr>
      </w:pPr>
    </w:p>
    <w:p>
      <w:pPr>
        <w:snapToGrid w:val="0"/>
        <w:spacing w:line="420" w:lineRule="exact"/>
        <w:jc w:val="center"/>
        <w:outlineLvl w:val="3"/>
        <w:rPr>
          <w:rFonts w:hint="eastAsia"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5、现场勘察回执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pPr>
        <w:spacing w:line="48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兹证明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（投标单位名称）已派</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（委托人）（电话：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）到 </w:t>
      </w:r>
      <w:r>
        <w:rPr>
          <w:rFonts w:hint="eastAsia" w:asciiTheme="minorEastAsia" w:hAnsiTheme="minorEastAsia" w:eastAsiaTheme="minorEastAsia" w:cstheme="minorEastAsia"/>
          <w:color w:val="auto"/>
          <w:kern w:val="0"/>
          <w:sz w:val="24"/>
          <w:szCs w:val="24"/>
          <w:highlight w:val="none"/>
          <w:u w:val="single"/>
          <w:lang w:eastAsia="zh-CN"/>
        </w:rPr>
        <w:t>南通市保安服务有限公司</w:t>
      </w:r>
      <w:r>
        <w:rPr>
          <w:rFonts w:hint="eastAsia" w:asciiTheme="minorEastAsia" w:hAnsiTheme="minorEastAsia" w:eastAsiaTheme="minorEastAsia" w:cstheme="minorEastAsia"/>
          <w:color w:val="auto"/>
          <w:kern w:val="0"/>
          <w:sz w:val="24"/>
          <w:szCs w:val="24"/>
          <w:highlight w:val="none"/>
          <w:u w:val="single"/>
          <w:lang w:val="en-US" w:eastAsia="zh-CN"/>
        </w:rPr>
        <w:t>IG100钢瓶检测</w:t>
      </w:r>
      <w:r>
        <w:rPr>
          <w:rFonts w:hint="eastAsia" w:asciiTheme="minorEastAsia" w:hAnsiTheme="minorEastAsia" w:eastAsiaTheme="minorEastAsia" w:cstheme="minorEastAsia"/>
          <w:color w:val="auto"/>
          <w:kern w:val="0"/>
          <w:sz w:val="24"/>
          <w:szCs w:val="24"/>
          <w:highlight w:val="none"/>
        </w:rPr>
        <w:t>（项目名称）现场进行实地勘察。</w:t>
      </w:r>
    </w:p>
    <w:p>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经现场勘察，该</w:t>
      </w:r>
      <w:r>
        <w:rPr>
          <w:rFonts w:hint="eastAsia" w:asciiTheme="minorEastAsia" w:hAnsiTheme="minorEastAsia" w:eastAsiaTheme="minorEastAsia" w:cstheme="minorEastAsia"/>
          <w:color w:val="auto"/>
          <w:kern w:val="0"/>
          <w:sz w:val="24"/>
          <w:szCs w:val="24"/>
          <w:highlight w:val="none"/>
          <w:lang w:val="en-US" w:eastAsia="zh-CN"/>
        </w:rPr>
        <w:t>报价</w:t>
      </w:r>
      <w:r>
        <w:rPr>
          <w:rFonts w:hint="eastAsia" w:asciiTheme="minorEastAsia" w:hAnsiTheme="minorEastAsia" w:eastAsiaTheme="minorEastAsia" w:cstheme="minorEastAsia"/>
          <w:color w:val="auto"/>
          <w:kern w:val="0"/>
          <w:sz w:val="24"/>
          <w:szCs w:val="24"/>
          <w:highlight w:val="none"/>
        </w:rPr>
        <w:t>单位对本项目现场</w:t>
      </w:r>
      <w:r>
        <w:rPr>
          <w:rFonts w:hint="eastAsia" w:asciiTheme="minorEastAsia" w:hAnsiTheme="minorEastAsia" w:eastAsiaTheme="minorEastAsia" w:cstheme="minorEastAsia"/>
          <w:color w:val="auto"/>
          <w:kern w:val="0"/>
          <w:sz w:val="24"/>
          <w:szCs w:val="24"/>
          <w:highlight w:val="none"/>
          <w:u w:val="none"/>
          <w:lang w:val="en-US" w:eastAsia="zh-CN"/>
        </w:rPr>
        <w:t>IG100无缝钢瓶型号、</w:t>
      </w:r>
      <w:r>
        <w:rPr>
          <w:rFonts w:hint="eastAsia" w:asciiTheme="minorEastAsia" w:hAnsiTheme="minorEastAsia" w:eastAsiaTheme="minorEastAsia" w:cstheme="minorEastAsia"/>
          <w:color w:val="auto"/>
          <w:kern w:val="0"/>
          <w:sz w:val="24"/>
          <w:szCs w:val="24"/>
          <w:highlight w:val="none"/>
          <w:u w:val="none"/>
          <w:lang w:eastAsia="zh-CN"/>
        </w:rPr>
        <w:t>规格、</w:t>
      </w:r>
      <w:r>
        <w:rPr>
          <w:rFonts w:hint="eastAsia" w:asciiTheme="minorEastAsia" w:hAnsiTheme="minorEastAsia" w:eastAsiaTheme="minorEastAsia" w:cstheme="minorEastAsia"/>
          <w:color w:val="auto"/>
          <w:kern w:val="0"/>
          <w:sz w:val="24"/>
          <w:szCs w:val="24"/>
          <w:highlight w:val="none"/>
          <w:lang w:eastAsia="zh-CN"/>
        </w:rPr>
        <w:t>数量</w:t>
      </w:r>
      <w:r>
        <w:rPr>
          <w:rFonts w:hint="eastAsia" w:asciiTheme="minorEastAsia" w:hAnsiTheme="minorEastAsia" w:eastAsiaTheme="minorEastAsia" w:cstheme="minorEastAsia"/>
          <w:color w:val="auto"/>
          <w:kern w:val="0"/>
          <w:sz w:val="24"/>
          <w:szCs w:val="24"/>
          <w:highlight w:val="none"/>
        </w:rPr>
        <w:t>及周边相关环境己充分了解，并承诺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中</w:t>
      </w:r>
      <w:r>
        <w:rPr>
          <w:rFonts w:hint="eastAsia" w:asciiTheme="minorEastAsia" w:hAnsiTheme="minorEastAsia" w:eastAsiaTheme="minorEastAsia" w:cstheme="minorEastAsia"/>
          <w:color w:val="auto"/>
          <w:kern w:val="0"/>
          <w:sz w:val="24"/>
          <w:szCs w:val="24"/>
          <w:highlight w:val="none"/>
          <w:lang w:eastAsia="zh-CN"/>
        </w:rPr>
        <w:t>选</w:t>
      </w:r>
      <w:r>
        <w:rPr>
          <w:rFonts w:hint="eastAsia" w:asciiTheme="minorEastAsia" w:hAnsiTheme="minorEastAsia" w:eastAsiaTheme="minorEastAsia" w:cstheme="minorEastAsia"/>
          <w:color w:val="auto"/>
          <w:kern w:val="0"/>
          <w:sz w:val="24"/>
          <w:szCs w:val="24"/>
          <w:highlight w:val="none"/>
          <w:lang w:val="en-US" w:eastAsia="zh-CN"/>
        </w:rPr>
        <w:t>后</w:t>
      </w:r>
      <w:r>
        <w:rPr>
          <w:rFonts w:hint="eastAsia" w:asciiTheme="minorEastAsia" w:hAnsiTheme="minorEastAsia" w:eastAsiaTheme="minorEastAsia" w:cstheme="minorEastAsia"/>
          <w:color w:val="auto"/>
          <w:kern w:val="0"/>
          <w:sz w:val="24"/>
          <w:szCs w:val="24"/>
          <w:highlight w:val="none"/>
        </w:rPr>
        <w:t>不对现场</w:t>
      </w:r>
      <w:r>
        <w:rPr>
          <w:rFonts w:hint="eastAsia" w:asciiTheme="minorEastAsia" w:hAnsiTheme="minorEastAsia" w:eastAsiaTheme="minorEastAsia" w:cstheme="minorEastAsia"/>
          <w:color w:val="auto"/>
          <w:kern w:val="0"/>
          <w:sz w:val="24"/>
          <w:szCs w:val="24"/>
          <w:highlight w:val="none"/>
          <w:u w:val="none"/>
          <w:lang w:val="en-US" w:eastAsia="zh-CN"/>
        </w:rPr>
        <w:t>IG100无缝钢瓶型号、</w:t>
      </w:r>
      <w:r>
        <w:rPr>
          <w:rFonts w:hint="eastAsia" w:asciiTheme="minorEastAsia" w:hAnsiTheme="minorEastAsia" w:eastAsiaTheme="minorEastAsia" w:cstheme="minorEastAsia"/>
          <w:color w:val="auto"/>
          <w:kern w:val="0"/>
          <w:sz w:val="24"/>
          <w:szCs w:val="24"/>
          <w:highlight w:val="none"/>
          <w:u w:val="none"/>
          <w:lang w:eastAsia="zh-CN"/>
        </w:rPr>
        <w:t>规格、</w:t>
      </w:r>
      <w:r>
        <w:rPr>
          <w:rFonts w:hint="eastAsia" w:asciiTheme="minorEastAsia" w:hAnsiTheme="minorEastAsia" w:eastAsiaTheme="minorEastAsia" w:cstheme="minorEastAsia"/>
          <w:color w:val="auto"/>
          <w:kern w:val="0"/>
          <w:sz w:val="24"/>
          <w:szCs w:val="24"/>
          <w:highlight w:val="none"/>
          <w:lang w:eastAsia="zh-CN"/>
        </w:rPr>
        <w:t>数量、</w:t>
      </w:r>
      <w:r>
        <w:rPr>
          <w:rFonts w:hint="eastAsia" w:asciiTheme="minorEastAsia" w:hAnsiTheme="minorEastAsia" w:eastAsiaTheme="minorEastAsia" w:cstheme="minorEastAsia"/>
          <w:color w:val="auto"/>
          <w:kern w:val="0"/>
          <w:sz w:val="24"/>
          <w:szCs w:val="24"/>
          <w:highlight w:val="none"/>
          <w:u w:val="none"/>
          <w:lang w:eastAsia="zh-CN"/>
        </w:rPr>
        <w:t>消防联动控制连接方式</w:t>
      </w:r>
      <w:r>
        <w:rPr>
          <w:rFonts w:hint="eastAsia" w:asciiTheme="minorEastAsia" w:hAnsiTheme="minorEastAsia" w:eastAsiaTheme="minorEastAsia" w:cstheme="minorEastAsia"/>
          <w:color w:val="auto"/>
          <w:kern w:val="0"/>
          <w:sz w:val="24"/>
          <w:szCs w:val="24"/>
          <w:highlight w:val="none"/>
        </w:rPr>
        <w:t>及周边相关环境提出异议，并已</w:t>
      </w:r>
      <w:r>
        <w:rPr>
          <w:rFonts w:hint="eastAsia" w:asciiTheme="minorEastAsia" w:hAnsiTheme="minorEastAsia" w:eastAsiaTheme="minorEastAsia" w:cstheme="minorEastAsia"/>
          <w:color w:val="auto"/>
          <w:kern w:val="0"/>
          <w:sz w:val="24"/>
          <w:szCs w:val="24"/>
          <w:highlight w:val="none"/>
          <w:lang w:eastAsia="zh-CN"/>
        </w:rPr>
        <w:t>了解现场情况，</w:t>
      </w:r>
      <w:r>
        <w:rPr>
          <w:rFonts w:hint="eastAsia" w:asciiTheme="minorEastAsia" w:hAnsiTheme="minorEastAsia" w:eastAsiaTheme="minorEastAsia" w:cstheme="minorEastAsia"/>
          <w:color w:val="auto"/>
          <w:kern w:val="0"/>
          <w:sz w:val="24"/>
          <w:szCs w:val="24"/>
          <w:highlight w:val="none"/>
          <w:lang w:val="en-US" w:eastAsia="zh-CN"/>
        </w:rPr>
        <w:t>中选后不因不了解场地现状、IG100无缝钢瓶数量、型号规格等情况要求招标人增加任何费用</w:t>
      </w:r>
      <w:r>
        <w:rPr>
          <w:rFonts w:hint="eastAsia" w:asciiTheme="minorEastAsia" w:hAnsiTheme="minorEastAsia" w:eastAsiaTheme="minorEastAsia" w:cstheme="minorEastAsia"/>
          <w:color w:val="auto"/>
          <w:kern w:val="0"/>
          <w:sz w:val="24"/>
          <w:szCs w:val="24"/>
          <w:highlight w:val="none"/>
        </w:rPr>
        <w:t>为由拒绝签署项目合同书或履行所约定的各项义务</w:t>
      </w:r>
      <w:r>
        <w:rPr>
          <w:rFonts w:hint="eastAsia" w:asciiTheme="minorEastAsia" w:hAnsiTheme="minorEastAsia" w:eastAsiaTheme="minorEastAsia" w:cstheme="minorEastAsia"/>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投标单位</w:t>
      </w:r>
      <w:r>
        <w:rPr>
          <w:rFonts w:hint="eastAsia" w:asciiTheme="minorEastAsia" w:hAnsiTheme="minorEastAsia" w:eastAsiaTheme="minorEastAsia" w:cstheme="minorEastAsia"/>
          <w:color w:val="auto"/>
          <w:kern w:val="0"/>
          <w:sz w:val="24"/>
          <w:szCs w:val="24"/>
          <w:highlight w:val="none"/>
        </w:rPr>
        <w:t xml:space="preserve">全称：                      </w:t>
      </w:r>
      <w:r>
        <w:rPr>
          <w:rFonts w:hint="eastAsia" w:asciiTheme="minorEastAsia" w:hAnsiTheme="minorEastAsia" w:eastAsiaTheme="minorEastAsia" w:cstheme="minorEastAsia"/>
          <w:color w:val="auto"/>
          <w:kern w:val="0"/>
          <w:sz w:val="24"/>
          <w:szCs w:val="24"/>
          <w:highlight w:val="none"/>
          <w:lang w:val="en-US" w:eastAsia="zh-CN"/>
        </w:rPr>
        <w:t xml:space="preserve">  （盖章）</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投标单位书面授权人确认签字：          （签字）</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招标人</w:t>
      </w:r>
      <w:r>
        <w:rPr>
          <w:rFonts w:hint="eastAsia" w:asciiTheme="minorEastAsia" w:hAnsiTheme="minorEastAsia" w:eastAsiaTheme="minorEastAsia" w:cstheme="minorEastAsia"/>
          <w:color w:val="auto"/>
          <w:kern w:val="0"/>
          <w:sz w:val="24"/>
          <w:szCs w:val="24"/>
          <w:highlight w:val="none"/>
        </w:rPr>
        <w:t xml:space="preserve">全称：  南通市保安服务有限公司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招标</w:t>
      </w:r>
      <w:r>
        <w:rPr>
          <w:rFonts w:hint="eastAsia" w:asciiTheme="minorEastAsia" w:hAnsiTheme="minorEastAsia" w:eastAsiaTheme="minorEastAsia" w:cstheme="minorEastAsia"/>
          <w:color w:val="auto"/>
          <w:kern w:val="0"/>
          <w:sz w:val="24"/>
          <w:szCs w:val="24"/>
          <w:highlight w:val="none"/>
        </w:rPr>
        <w:t xml:space="preserve">项目负责人：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（签字）</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rPr>
        <w:t>2024</w:t>
      </w:r>
      <w:r>
        <w:rPr>
          <w:rFonts w:hint="eastAsia" w:asciiTheme="minorEastAsia" w:hAnsiTheme="minorEastAsia" w:eastAsiaTheme="minorEastAsia" w:cstheme="minorEastAsia"/>
          <w:color w:val="auto"/>
          <w:kern w:val="0"/>
          <w:sz w:val="24"/>
          <w:szCs w:val="24"/>
          <w:highlight w:val="none"/>
        </w:rPr>
        <w:t xml:space="preserve"> 年    月    日</w:t>
      </w:r>
    </w:p>
    <w:p>
      <w:pPr>
        <w:pStyle w:val="22"/>
        <w:rPr>
          <w:highlight w:val="none"/>
        </w:rPr>
      </w:pPr>
    </w:p>
    <w:p>
      <w:pPr>
        <w:rPr>
          <w:highlight w:val="none"/>
        </w:rPr>
      </w:pPr>
    </w:p>
    <w:p>
      <w:pPr>
        <w:snapToGrid w:val="0"/>
        <w:spacing w:line="420" w:lineRule="exact"/>
        <w:jc w:val="center"/>
        <w:outlineLvl w:val="3"/>
        <w:rPr>
          <w:rFonts w:asciiTheme="minorEastAsia" w:hAnsiTheme="minorEastAsia" w:eastAsiaTheme="minorEastAsia"/>
          <w:b/>
          <w:bCs/>
          <w:sz w:val="24"/>
          <w:szCs w:val="24"/>
          <w:highlight w:val="none"/>
        </w:rPr>
      </w:pPr>
    </w:p>
    <w:p>
      <w:pPr>
        <w:snapToGrid w:val="0"/>
        <w:spacing w:line="420" w:lineRule="exact"/>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B、价格标响应文件</w:t>
      </w:r>
    </w:p>
    <w:p>
      <w:pPr>
        <w:snapToGrid w:val="0"/>
        <w:spacing w:line="420" w:lineRule="exact"/>
        <w:jc w:val="center"/>
        <w:outlineLvl w:val="3"/>
        <w:rPr>
          <w:rFonts w:asciiTheme="minorEastAsia" w:hAnsiTheme="minorEastAsia" w:eastAsiaTheme="minorEastAsia"/>
          <w:b/>
          <w:sz w:val="24"/>
          <w:szCs w:val="24"/>
          <w:highlight w:val="none"/>
        </w:rPr>
      </w:pPr>
    </w:p>
    <w:p>
      <w:pPr>
        <w:snapToGrid w:val="0"/>
        <w:spacing w:line="420" w:lineRule="exact"/>
        <w:jc w:val="center"/>
        <w:outlineLvl w:val="3"/>
        <w:rPr>
          <w:rFonts w:asciiTheme="minorEastAsia" w:hAnsiTheme="minorEastAsia" w:eastAsiaTheme="minorEastAsia"/>
          <w:sz w:val="24"/>
          <w:szCs w:val="24"/>
          <w:highlight w:val="none"/>
        </w:rPr>
      </w:pPr>
      <w:r>
        <w:rPr>
          <w:rFonts w:asciiTheme="minorEastAsia" w:hAnsiTheme="minorEastAsia" w:eastAsiaTheme="minorEastAsia"/>
          <w:b/>
          <w:sz w:val="24"/>
          <w:szCs w:val="24"/>
          <w:highlight w:val="none"/>
        </w:rPr>
        <w:t>1</w:t>
      </w:r>
      <w:r>
        <w:rPr>
          <w:rFonts w:hint="eastAsia" w:asciiTheme="minorEastAsia" w:hAnsiTheme="minorEastAsia" w:eastAsiaTheme="minorEastAsia"/>
          <w:b/>
          <w:sz w:val="24"/>
          <w:szCs w:val="24"/>
          <w:highlight w:val="none"/>
        </w:rPr>
        <w:t>、投标响应报价总表</w:t>
      </w:r>
    </w:p>
    <w:tbl>
      <w:tblPr>
        <w:tblStyle w:val="58"/>
        <w:tblpPr w:leftFromText="180" w:rightFromText="180" w:vertAnchor="text" w:horzAnchor="page" w:tblpX="1752" w:tblpY="511"/>
        <w:tblOverlap w:val="never"/>
        <w:tblW w:w="9540" w:type="dxa"/>
        <w:tblInd w:w="0" w:type="dxa"/>
        <w:tblLayout w:type="fixed"/>
        <w:tblCellMar>
          <w:top w:w="0" w:type="dxa"/>
          <w:left w:w="108" w:type="dxa"/>
          <w:bottom w:w="0" w:type="dxa"/>
          <w:right w:w="108" w:type="dxa"/>
        </w:tblCellMar>
      </w:tblPr>
      <w:tblGrid>
        <w:gridCol w:w="416"/>
        <w:gridCol w:w="809"/>
        <w:gridCol w:w="1720"/>
        <w:gridCol w:w="475"/>
        <w:gridCol w:w="900"/>
        <w:gridCol w:w="1980"/>
        <w:gridCol w:w="1800"/>
        <w:gridCol w:w="1440"/>
      </w:tblGrid>
      <w:tr>
        <w:tblPrEx>
          <w:tblCellMar>
            <w:top w:w="0" w:type="dxa"/>
            <w:left w:w="108" w:type="dxa"/>
            <w:bottom w:w="0" w:type="dxa"/>
            <w:right w:w="108" w:type="dxa"/>
          </w:tblCellMar>
        </w:tblPrEx>
        <w:trPr>
          <w:trHeight w:val="312" w:hRule="atLeast"/>
        </w:trPr>
        <w:tc>
          <w:tcPr>
            <w:tcW w:w="4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序号</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产品名称</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105" w:firstLineChars="50"/>
              <w:jc w:val="left"/>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规格</w:t>
            </w:r>
          </w:p>
        </w:tc>
        <w:tc>
          <w:tcPr>
            <w:tcW w:w="4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105" w:firstLineChars="50"/>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数量</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质量标准</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eastAsia="zh-CN"/>
              </w:rPr>
              <w:t>单</w:t>
            </w:r>
            <w:r>
              <w:rPr>
                <w:rFonts w:hint="eastAsia" w:asciiTheme="minorEastAsia" w:hAnsiTheme="minorEastAsia" w:eastAsiaTheme="minorEastAsia" w:cstheme="minorEastAsia"/>
                <w:kern w:val="0"/>
                <w:sz w:val="21"/>
                <w:szCs w:val="21"/>
                <w:highlight w:val="none"/>
              </w:rPr>
              <w:t>价（元）</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rPr>
              <w:t>总额</w:t>
            </w:r>
            <w:r>
              <w:rPr>
                <w:rFonts w:hint="eastAsia" w:asciiTheme="minorEastAsia" w:hAnsiTheme="minorEastAsia" w:eastAsiaTheme="minorEastAsia" w:cstheme="minorEastAsia"/>
                <w:kern w:val="0"/>
                <w:sz w:val="21"/>
                <w:szCs w:val="21"/>
                <w:highlight w:val="none"/>
                <w:lang w:eastAsia="zh-CN"/>
              </w:rPr>
              <w:t>（元）</w:t>
            </w:r>
          </w:p>
        </w:tc>
      </w:tr>
      <w:tr>
        <w:tblPrEx>
          <w:tblCellMar>
            <w:top w:w="0" w:type="dxa"/>
            <w:left w:w="108" w:type="dxa"/>
            <w:bottom w:w="0" w:type="dxa"/>
            <w:right w:w="108" w:type="dxa"/>
          </w:tblCellMar>
        </w:tblPrEx>
        <w:trPr>
          <w:trHeight w:val="190" w:hRule="atLeast"/>
        </w:trPr>
        <w:tc>
          <w:tcPr>
            <w:tcW w:w="4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IG100无缝钢瓶</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en-US" w:eastAsia="zh-CN"/>
              </w:rPr>
              <w:t>单个瓶体容积82L、灭火剂18公斤、贮存压力20mpa@20°、工作压力23.2mpa</w:t>
            </w:r>
          </w:p>
        </w:tc>
        <w:tc>
          <w:tcPr>
            <w:tcW w:w="4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只</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436</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en-US" w:eastAsia="zh-CN"/>
              </w:rPr>
              <w:t>出具国家固定灭火系统和耐火部件机构质量监督检验中心出具的IG-100惰性气体灭火剂检测报告</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kern w:val="0"/>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      </w:t>
            </w:r>
          </w:p>
        </w:tc>
      </w:tr>
      <w:tr>
        <w:tblPrEx>
          <w:tblCellMar>
            <w:top w:w="0" w:type="dxa"/>
            <w:left w:w="108" w:type="dxa"/>
            <w:bottom w:w="0" w:type="dxa"/>
            <w:right w:w="108" w:type="dxa"/>
          </w:tblCellMar>
        </w:tblPrEx>
        <w:trPr>
          <w:trHeight w:val="1344" w:hRule="atLeast"/>
        </w:trPr>
        <w:tc>
          <w:tcPr>
            <w:tcW w:w="954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val="0"/>
                <w:bCs w:val="0"/>
                <w:sz w:val="24"/>
                <w:szCs w:val="24"/>
                <w:highlight w:val="none"/>
                <w:lang w:val="en-US" w:eastAsia="zh-CN"/>
              </w:rPr>
              <w:t>备注：报价含一切必须的人工费用、运输费用、材料费用、人身和设备安全费用、检测费用、税率等</w:t>
            </w:r>
          </w:p>
        </w:tc>
      </w:tr>
    </w:tbl>
    <w:p>
      <w:pPr>
        <w:snapToGrid w:val="0"/>
        <w:spacing w:line="420" w:lineRule="exact"/>
        <w:ind w:left="1133" w:hanging="1132" w:hangingChars="47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投标人：（盖章）             </w:t>
      </w:r>
    </w:p>
    <w:p>
      <w:pPr>
        <w:snapToGrid w:val="0"/>
        <w:spacing w:line="420" w:lineRule="exact"/>
        <w:ind w:left="1133" w:hanging="1132" w:hangingChars="47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法定代表人或被委托受权人（签字）：</w:t>
      </w:r>
    </w:p>
    <w:p>
      <w:pPr>
        <w:snapToGrid w:val="0"/>
        <w:spacing w:line="420" w:lineRule="exact"/>
        <w:ind w:left="1133" w:hanging="1132" w:hangingChars="47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日期：</w:t>
      </w:r>
    </w:p>
    <w:p>
      <w:pPr>
        <w:snapToGrid w:val="0"/>
        <w:spacing w:line="420" w:lineRule="exact"/>
        <w:ind w:firstLine="566" w:firstLineChars="23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w:t>
      </w:r>
    </w:p>
    <w:p>
      <w:pPr>
        <w:pStyle w:val="202"/>
        <w:numPr>
          <w:ilvl w:val="0"/>
          <w:numId w:val="3"/>
        </w:numPr>
        <w:snapToGrid w:val="0"/>
        <w:spacing w:line="420" w:lineRule="exact"/>
        <w:ind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本表为格式表，不得自行改动，必须提供，否则视为未实质性响应招标文件。</w:t>
      </w:r>
    </w:p>
    <w:p>
      <w:pPr>
        <w:snapToGrid w:val="0"/>
        <w:spacing w:line="420" w:lineRule="exact"/>
        <w:ind w:firstLine="240" w:firstLineChars="1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（2）说明：各投标人的报价不得</w:t>
      </w:r>
      <w:r>
        <w:rPr>
          <w:rFonts w:hint="eastAsia" w:ascii="宋体" w:hAnsi="宋体" w:eastAsia="宋体"/>
          <w:kern w:val="0"/>
          <w:sz w:val="24"/>
          <w:highlight w:val="none"/>
        </w:rPr>
        <w:t>高于或等于</w:t>
      </w:r>
      <w:r>
        <w:rPr>
          <w:rFonts w:hint="eastAsia" w:asciiTheme="minorEastAsia" w:hAnsiTheme="minorEastAsia" w:eastAsiaTheme="minorEastAsia"/>
          <w:sz w:val="24"/>
          <w:szCs w:val="24"/>
          <w:highlight w:val="none"/>
        </w:rPr>
        <w:t>最高限价，</w:t>
      </w:r>
      <w:r>
        <w:rPr>
          <w:rFonts w:hint="eastAsia" w:ascii="宋体" w:hAnsi="宋体" w:eastAsia="宋体"/>
          <w:kern w:val="0"/>
          <w:sz w:val="24"/>
          <w:highlight w:val="none"/>
        </w:rPr>
        <w:t>高于或等于</w:t>
      </w:r>
      <w:r>
        <w:rPr>
          <w:rFonts w:hint="eastAsia" w:asciiTheme="minorEastAsia" w:hAnsiTheme="minorEastAsia" w:eastAsiaTheme="minorEastAsia"/>
          <w:sz w:val="24"/>
          <w:szCs w:val="24"/>
          <w:highlight w:val="none"/>
        </w:rPr>
        <w:t>最高限价的，均作无效投标处理。</w:t>
      </w:r>
    </w:p>
    <w:p>
      <w:pPr>
        <w:snapToGrid w:val="0"/>
        <w:spacing w:line="420" w:lineRule="exact"/>
        <w:jc w:val="center"/>
        <w:outlineLvl w:val="3"/>
        <w:rPr>
          <w:rFonts w:asciiTheme="minorEastAsia" w:hAnsiTheme="minorEastAsia" w:eastAsiaTheme="minorEastAsia"/>
          <w:b/>
          <w:sz w:val="24"/>
          <w:szCs w:val="24"/>
          <w:highlight w:val="none"/>
        </w:rPr>
      </w:pPr>
    </w:p>
    <w:p>
      <w:pPr>
        <w:spacing w:line="400" w:lineRule="exact"/>
        <w:ind w:firstLine="480" w:firstLineChars="200"/>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……全文结束……</w:t>
      </w:r>
    </w:p>
    <w:p>
      <w:pPr>
        <w:pStyle w:val="21"/>
        <w:rPr>
          <w:highlight w:val="none"/>
        </w:rPr>
      </w:pPr>
    </w:p>
    <w:sectPr>
      <w:footerReference r:id="rId10" w:type="first"/>
      <w:footerReference r:id="rId9" w:type="default"/>
      <w:pgSz w:w="11906" w:h="16838"/>
      <w:pgMar w:top="1239" w:right="851" w:bottom="851" w:left="1418" w:header="851" w:footer="522" w:gutter="0"/>
      <w:pgNumType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Menlo">
    <w:altName w:val="微软雅黑"/>
    <w:panose1 w:val="00000000000000000000"/>
    <w:charset w:val="00"/>
    <w:family w:val="auto"/>
    <w:pitch w:val="default"/>
    <w:sig w:usb0="00000000" w:usb1="00000000" w:usb2="00000000" w:usb3="00000000" w:csb0="00040001" w:csb1="00000000"/>
  </w:font>
  <w:font w:name="Univers">
    <w:altName w:val="Segoe Print"/>
    <w:panose1 w:val="020B060302020203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宋体">
    <w:panose1 w:val="02010600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4"/>
      <w:rPr>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180"/>
      <w:jc w:val="center"/>
      <w:rPr>
        <w:kern w:val="0"/>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ind w:right="180"/>
                            <w:jc w:val="both"/>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34"/>
                      <w:ind w:right="180"/>
                      <w:jc w:val="both"/>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4"/>
      <w:rPr>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180"/>
      <w:jc w:val="center"/>
      <w:rPr>
        <w:kern w:val="0"/>
        <w:szCs w:val="1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ind w:right="180"/>
                            <w:jc w:val="both"/>
                          </w:pP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34"/>
                      <w:ind w:right="180"/>
                      <w:jc w:val="both"/>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16"/>
        <w:tab w:val="clear" w:pos="4153"/>
        <w:tab w:val="clear" w:pos="8306"/>
      </w:tabs>
      <w:ind w:right="4"/>
      <w:rPr>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180"/>
      <w:jc w:val="center"/>
      <w:rPr>
        <w:kern w:val="0"/>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ind w:right="180"/>
                            <w:jc w:val="both"/>
                          </w:pP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lg8sBAACc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dia/PcF/gP+4hN5N5ShQF2LIxDy+zGBUtb8fCesy4/1f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YQJYPLAQAAnAMAAA4AAAAAAAAAAQAgAAAAHgEAAGRycy9lMm9E&#10;b2MueG1sUEsFBgAAAAAGAAYAWQEAAFsFAAAAAA==&#10;">
              <v:fill on="f" focussize="0,0"/>
              <v:stroke on="f"/>
              <v:imagedata o:title=""/>
              <o:lock v:ext="edit" aspectratio="f"/>
              <v:textbox inset="0mm,0mm,0mm,0mm" style="mso-fit-shape-to-text:t;">
                <w:txbxContent>
                  <w:p>
                    <w:pPr>
                      <w:pStyle w:val="34"/>
                      <w:ind w:right="180"/>
                      <w:jc w:val="both"/>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szCs w:val="18"/>
      </w:rPr>
    </w:pPr>
    <w:r>
      <w:rPr>
        <w:rFonts w:hint="eastAsia"/>
        <w:szCs w:val="18"/>
        <w:lang w:eastAsia="zh-CN"/>
      </w:rPr>
      <w:t>南通市保安服务有限公司IG100钢瓶检测项目</w:t>
    </w:r>
    <w:r>
      <w:rPr>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szCs w:val="18"/>
      </w:rPr>
    </w:pPr>
    <w:r>
      <w:rPr>
        <w:rFonts w:hint="eastAsia"/>
        <w:szCs w:val="18"/>
        <w:lang w:eastAsia="zh-CN"/>
      </w:rPr>
      <w:t>南通市保安服务有限公司IG100钢瓶检测项目</w:t>
    </w:r>
    <w:r>
      <w:rPr>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228F0"/>
    <w:multiLevelType w:val="multilevel"/>
    <w:tmpl w:val="0A4228F0"/>
    <w:lvl w:ilvl="0" w:tentative="0">
      <w:start w:val="1"/>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
    <w:nsid w:val="19E93177"/>
    <w:multiLevelType w:val="multilevel"/>
    <w:tmpl w:val="19E93177"/>
    <w:lvl w:ilvl="0" w:tentative="0">
      <w:start w:val="1"/>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2E5E01F1"/>
    <w:multiLevelType w:val="multilevel"/>
    <w:tmpl w:val="2E5E01F1"/>
    <w:lvl w:ilvl="0" w:tentative="0">
      <w:start w:val="4"/>
      <w:numFmt w:val="japaneseCounting"/>
      <w:lvlText w:val="%1、"/>
      <w:lvlJc w:val="left"/>
      <w:pPr>
        <w:ind w:left="934" w:hanging="51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attachedTemplate r:id="rId1"/>
  <w:documentProtection w:enforcement="0"/>
  <w:defaultTabStop w:val="425"/>
  <w:drawingGridHorizontalSpacing w:val="0"/>
  <w:drawingGridVerticalSpacing w:val="190"/>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OTZiZTA5NGE2N2ZiZTY0YjVkMWYyZGIzNGU0MGIifQ=="/>
  </w:docVars>
  <w:rsids>
    <w:rsidRoot w:val="00172A27"/>
    <w:rsid w:val="000023C2"/>
    <w:rsid w:val="00004177"/>
    <w:rsid w:val="000165F2"/>
    <w:rsid w:val="000167D9"/>
    <w:rsid w:val="0002194C"/>
    <w:rsid w:val="000223F7"/>
    <w:rsid w:val="00024488"/>
    <w:rsid w:val="0002499A"/>
    <w:rsid w:val="0002729A"/>
    <w:rsid w:val="00030745"/>
    <w:rsid w:val="000353EA"/>
    <w:rsid w:val="000374D2"/>
    <w:rsid w:val="00040B44"/>
    <w:rsid w:val="0004377F"/>
    <w:rsid w:val="00045B1D"/>
    <w:rsid w:val="00052F18"/>
    <w:rsid w:val="00054574"/>
    <w:rsid w:val="00054F1E"/>
    <w:rsid w:val="00055762"/>
    <w:rsid w:val="00055E9B"/>
    <w:rsid w:val="00055EAE"/>
    <w:rsid w:val="00057B9A"/>
    <w:rsid w:val="00067E7E"/>
    <w:rsid w:val="00071298"/>
    <w:rsid w:val="0007268B"/>
    <w:rsid w:val="00072AF9"/>
    <w:rsid w:val="000743DB"/>
    <w:rsid w:val="00081E88"/>
    <w:rsid w:val="00083EF3"/>
    <w:rsid w:val="00084DEA"/>
    <w:rsid w:val="0009184C"/>
    <w:rsid w:val="00091B9B"/>
    <w:rsid w:val="00092319"/>
    <w:rsid w:val="00093177"/>
    <w:rsid w:val="000962E6"/>
    <w:rsid w:val="00097DC7"/>
    <w:rsid w:val="000A14F5"/>
    <w:rsid w:val="000A77BD"/>
    <w:rsid w:val="000B360A"/>
    <w:rsid w:val="000B50DC"/>
    <w:rsid w:val="000B5364"/>
    <w:rsid w:val="000B5BC9"/>
    <w:rsid w:val="000C44D4"/>
    <w:rsid w:val="000C6DD6"/>
    <w:rsid w:val="000D422E"/>
    <w:rsid w:val="000D6F04"/>
    <w:rsid w:val="000E0355"/>
    <w:rsid w:val="000E7035"/>
    <w:rsid w:val="000E784B"/>
    <w:rsid w:val="000F106E"/>
    <w:rsid w:val="000F2A02"/>
    <w:rsid w:val="000F5026"/>
    <w:rsid w:val="000F60F3"/>
    <w:rsid w:val="00102613"/>
    <w:rsid w:val="0010360A"/>
    <w:rsid w:val="001037BE"/>
    <w:rsid w:val="001043CD"/>
    <w:rsid w:val="00105021"/>
    <w:rsid w:val="001058D4"/>
    <w:rsid w:val="001075DA"/>
    <w:rsid w:val="00111BDD"/>
    <w:rsid w:val="001165C0"/>
    <w:rsid w:val="00117CDB"/>
    <w:rsid w:val="0012163E"/>
    <w:rsid w:val="001315C1"/>
    <w:rsid w:val="00132F1B"/>
    <w:rsid w:val="00136758"/>
    <w:rsid w:val="001431C1"/>
    <w:rsid w:val="00144017"/>
    <w:rsid w:val="001525E8"/>
    <w:rsid w:val="00156E70"/>
    <w:rsid w:val="001608DD"/>
    <w:rsid w:val="001643AE"/>
    <w:rsid w:val="001652D1"/>
    <w:rsid w:val="00172A27"/>
    <w:rsid w:val="00182FA5"/>
    <w:rsid w:val="0018334C"/>
    <w:rsid w:val="00186674"/>
    <w:rsid w:val="001914CF"/>
    <w:rsid w:val="0019184B"/>
    <w:rsid w:val="001965AE"/>
    <w:rsid w:val="001A141D"/>
    <w:rsid w:val="001A241E"/>
    <w:rsid w:val="001A324E"/>
    <w:rsid w:val="001A4E52"/>
    <w:rsid w:val="001A6253"/>
    <w:rsid w:val="001A69B6"/>
    <w:rsid w:val="001B0B46"/>
    <w:rsid w:val="001B776F"/>
    <w:rsid w:val="001D09C1"/>
    <w:rsid w:val="001D0ED8"/>
    <w:rsid w:val="001D24A8"/>
    <w:rsid w:val="001D38BC"/>
    <w:rsid w:val="001D3D4E"/>
    <w:rsid w:val="001D7596"/>
    <w:rsid w:val="001E33FA"/>
    <w:rsid w:val="001E37AB"/>
    <w:rsid w:val="001E64FE"/>
    <w:rsid w:val="001E7111"/>
    <w:rsid w:val="001E7EDB"/>
    <w:rsid w:val="001F0E41"/>
    <w:rsid w:val="001F46CC"/>
    <w:rsid w:val="00203C97"/>
    <w:rsid w:val="00205CAD"/>
    <w:rsid w:val="00206FA3"/>
    <w:rsid w:val="00210D3F"/>
    <w:rsid w:val="00213B68"/>
    <w:rsid w:val="00221244"/>
    <w:rsid w:val="00227BEF"/>
    <w:rsid w:val="002312C3"/>
    <w:rsid w:val="00232600"/>
    <w:rsid w:val="0023768B"/>
    <w:rsid w:val="00240452"/>
    <w:rsid w:val="0024123F"/>
    <w:rsid w:val="00241F40"/>
    <w:rsid w:val="002466F2"/>
    <w:rsid w:val="002508AF"/>
    <w:rsid w:val="00252CB3"/>
    <w:rsid w:val="00252CDD"/>
    <w:rsid w:val="0025403A"/>
    <w:rsid w:val="0025782C"/>
    <w:rsid w:val="00261064"/>
    <w:rsid w:val="0026630D"/>
    <w:rsid w:val="002675A1"/>
    <w:rsid w:val="0028301F"/>
    <w:rsid w:val="00284F8E"/>
    <w:rsid w:val="00290056"/>
    <w:rsid w:val="00290B56"/>
    <w:rsid w:val="00292D3A"/>
    <w:rsid w:val="002A12C8"/>
    <w:rsid w:val="002A1FD2"/>
    <w:rsid w:val="002A7AF3"/>
    <w:rsid w:val="002B2BA5"/>
    <w:rsid w:val="002B2EF8"/>
    <w:rsid w:val="002B70FD"/>
    <w:rsid w:val="002B77B8"/>
    <w:rsid w:val="002C52C7"/>
    <w:rsid w:val="002D003A"/>
    <w:rsid w:val="002D4115"/>
    <w:rsid w:val="002E3E90"/>
    <w:rsid w:val="002E440F"/>
    <w:rsid w:val="002F181A"/>
    <w:rsid w:val="002F3923"/>
    <w:rsid w:val="002F392B"/>
    <w:rsid w:val="002F3A4F"/>
    <w:rsid w:val="002F48DF"/>
    <w:rsid w:val="002F4A91"/>
    <w:rsid w:val="002F5A23"/>
    <w:rsid w:val="002F6E69"/>
    <w:rsid w:val="002F7463"/>
    <w:rsid w:val="002F7716"/>
    <w:rsid w:val="003006B4"/>
    <w:rsid w:val="003010BE"/>
    <w:rsid w:val="00301FA9"/>
    <w:rsid w:val="00303CD6"/>
    <w:rsid w:val="003041E1"/>
    <w:rsid w:val="00310A61"/>
    <w:rsid w:val="00312DA9"/>
    <w:rsid w:val="00314F92"/>
    <w:rsid w:val="00315AFC"/>
    <w:rsid w:val="00317BDB"/>
    <w:rsid w:val="003211E3"/>
    <w:rsid w:val="00323C3A"/>
    <w:rsid w:val="00324B6E"/>
    <w:rsid w:val="00327DFE"/>
    <w:rsid w:val="0033769F"/>
    <w:rsid w:val="0034142B"/>
    <w:rsid w:val="0034439F"/>
    <w:rsid w:val="00347699"/>
    <w:rsid w:val="00347907"/>
    <w:rsid w:val="0035144C"/>
    <w:rsid w:val="00351C38"/>
    <w:rsid w:val="00352A1A"/>
    <w:rsid w:val="00352B9C"/>
    <w:rsid w:val="003536CC"/>
    <w:rsid w:val="00353AC5"/>
    <w:rsid w:val="00353D59"/>
    <w:rsid w:val="00357A5B"/>
    <w:rsid w:val="00362A3A"/>
    <w:rsid w:val="0036491A"/>
    <w:rsid w:val="00365A6D"/>
    <w:rsid w:val="00365A71"/>
    <w:rsid w:val="00370FBD"/>
    <w:rsid w:val="003757EB"/>
    <w:rsid w:val="00380D2E"/>
    <w:rsid w:val="00384455"/>
    <w:rsid w:val="0038506E"/>
    <w:rsid w:val="00386D2E"/>
    <w:rsid w:val="00387636"/>
    <w:rsid w:val="00390658"/>
    <w:rsid w:val="003948C6"/>
    <w:rsid w:val="003A0BDF"/>
    <w:rsid w:val="003A0E40"/>
    <w:rsid w:val="003A2920"/>
    <w:rsid w:val="003A34AC"/>
    <w:rsid w:val="003A3B0E"/>
    <w:rsid w:val="003A5977"/>
    <w:rsid w:val="003A601C"/>
    <w:rsid w:val="003A69BD"/>
    <w:rsid w:val="003A6F91"/>
    <w:rsid w:val="003B3A31"/>
    <w:rsid w:val="003B7355"/>
    <w:rsid w:val="003C040F"/>
    <w:rsid w:val="003C0D1A"/>
    <w:rsid w:val="003C781A"/>
    <w:rsid w:val="003D1FA1"/>
    <w:rsid w:val="003D25DE"/>
    <w:rsid w:val="003E01F5"/>
    <w:rsid w:val="003E0890"/>
    <w:rsid w:val="003E11A0"/>
    <w:rsid w:val="003E11AE"/>
    <w:rsid w:val="003E2522"/>
    <w:rsid w:val="003E25FF"/>
    <w:rsid w:val="003E2638"/>
    <w:rsid w:val="003E5AC2"/>
    <w:rsid w:val="003E5E1B"/>
    <w:rsid w:val="003E7310"/>
    <w:rsid w:val="003F1939"/>
    <w:rsid w:val="003F1BB6"/>
    <w:rsid w:val="003F2052"/>
    <w:rsid w:val="003F215A"/>
    <w:rsid w:val="003F2199"/>
    <w:rsid w:val="003F21FB"/>
    <w:rsid w:val="003F3B5E"/>
    <w:rsid w:val="00401527"/>
    <w:rsid w:val="004042FA"/>
    <w:rsid w:val="004051EC"/>
    <w:rsid w:val="00406A24"/>
    <w:rsid w:val="0041070D"/>
    <w:rsid w:val="00411FDD"/>
    <w:rsid w:val="0041260F"/>
    <w:rsid w:val="00413C1E"/>
    <w:rsid w:val="004174D8"/>
    <w:rsid w:val="00417FB8"/>
    <w:rsid w:val="00433083"/>
    <w:rsid w:val="0043328A"/>
    <w:rsid w:val="00433AD3"/>
    <w:rsid w:val="0043580F"/>
    <w:rsid w:val="00446350"/>
    <w:rsid w:val="0044779B"/>
    <w:rsid w:val="00451E84"/>
    <w:rsid w:val="00452260"/>
    <w:rsid w:val="004536DF"/>
    <w:rsid w:val="004550AB"/>
    <w:rsid w:val="0046048F"/>
    <w:rsid w:val="00460888"/>
    <w:rsid w:val="004643BB"/>
    <w:rsid w:val="00465C3A"/>
    <w:rsid w:val="00465EB3"/>
    <w:rsid w:val="00467378"/>
    <w:rsid w:val="00470038"/>
    <w:rsid w:val="00471499"/>
    <w:rsid w:val="00471E9A"/>
    <w:rsid w:val="0047296A"/>
    <w:rsid w:val="00472B6E"/>
    <w:rsid w:val="004731CC"/>
    <w:rsid w:val="004749B5"/>
    <w:rsid w:val="00476F31"/>
    <w:rsid w:val="00477980"/>
    <w:rsid w:val="00481DBC"/>
    <w:rsid w:val="00482FE8"/>
    <w:rsid w:val="00484CB4"/>
    <w:rsid w:val="0048508F"/>
    <w:rsid w:val="00494BCA"/>
    <w:rsid w:val="004A18E6"/>
    <w:rsid w:val="004A2674"/>
    <w:rsid w:val="004A30AD"/>
    <w:rsid w:val="004A3651"/>
    <w:rsid w:val="004A3F5B"/>
    <w:rsid w:val="004A6877"/>
    <w:rsid w:val="004A7D48"/>
    <w:rsid w:val="004B01E8"/>
    <w:rsid w:val="004B5E33"/>
    <w:rsid w:val="004B73B9"/>
    <w:rsid w:val="004B7E1F"/>
    <w:rsid w:val="004C0167"/>
    <w:rsid w:val="004C3526"/>
    <w:rsid w:val="004C4B35"/>
    <w:rsid w:val="004C753D"/>
    <w:rsid w:val="004D520F"/>
    <w:rsid w:val="004D5AA7"/>
    <w:rsid w:val="004D5C11"/>
    <w:rsid w:val="004E0791"/>
    <w:rsid w:val="004E29AE"/>
    <w:rsid w:val="004E4B61"/>
    <w:rsid w:val="004E7A3A"/>
    <w:rsid w:val="004F011C"/>
    <w:rsid w:val="004F07CD"/>
    <w:rsid w:val="004F0AEA"/>
    <w:rsid w:val="004F0C65"/>
    <w:rsid w:val="004F31CA"/>
    <w:rsid w:val="004F4DE1"/>
    <w:rsid w:val="004F7C54"/>
    <w:rsid w:val="00502169"/>
    <w:rsid w:val="00506895"/>
    <w:rsid w:val="005113FB"/>
    <w:rsid w:val="00512392"/>
    <w:rsid w:val="00514515"/>
    <w:rsid w:val="0051539A"/>
    <w:rsid w:val="00515CE9"/>
    <w:rsid w:val="00517C56"/>
    <w:rsid w:val="00523B1D"/>
    <w:rsid w:val="005242D3"/>
    <w:rsid w:val="005251DB"/>
    <w:rsid w:val="005257FE"/>
    <w:rsid w:val="0053257A"/>
    <w:rsid w:val="005326FB"/>
    <w:rsid w:val="00541A4E"/>
    <w:rsid w:val="00543741"/>
    <w:rsid w:val="005440AB"/>
    <w:rsid w:val="00546EF0"/>
    <w:rsid w:val="00550E36"/>
    <w:rsid w:val="00551B8F"/>
    <w:rsid w:val="00552B8C"/>
    <w:rsid w:val="005562E4"/>
    <w:rsid w:val="005659DF"/>
    <w:rsid w:val="00567176"/>
    <w:rsid w:val="0057277D"/>
    <w:rsid w:val="00575064"/>
    <w:rsid w:val="00575901"/>
    <w:rsid w:val="00575BCB"/>
    <w:rsid w:val="00575E95"/>
    <w:rsid w:val="00576309"/>
    <w:rsid w:val="00581A92"/>
    <w:rsid w:val="0058442C"/>
    <w:rsid w:val="00592949"/>
    <w:rsid w:val="005938F1"/>
    <w:rsid w:val="00594D81"/>
    <w:rsid w:val="00595CEC"/>
    <w:rsid w:val="0059710C"/>
    <w:rsid w:val="005A0DFC"/>
    <w:rsid w:val="005A5FDD"/>
    <w:rsid w:val="005A60B1"/>
    <w:rsid w:val="005A7DDD"/>
    <w:rsid w:val="005B005D"/>
    <w:rsid w:val="005B07E2"/>
    <w:rsid w:val="005B23AC"/>
    <w:rsid w:val="005B336C"/>
    <w:rsid w:val="005B3755"/>
    <w:rsid w:val="005B40D3"/>
    <w:rsid w:val="005B67A0"/>
    <w:rsid w:val="005C4811"/>
    <w:rsid w:val="005D091A"/>
    <w:rsid w:val="005D226A"/>
    <w:rsid w:val="005D3603"/>
    <w:rsid w:val="005D4022"/>
    <w:rsid w:val="005D4ADC"/>
    <w:rsid w:val="005D598A"/>
    <w:rsid w:val="005E318D"/>
    <w:rsid w:val="005E4468"/>
    <w:rsid w:val="005E70D7"/>
    <w:rsid w:val="005F2DBE"/>
    <w:rsid w:val="005F3218"/>
    <w:rsid w:val="005F3F2A"/>
    <w:rsid w:val="00601336"/>
    <w:rsid w:val="00602680"/>
    <w:rsid w:val="00613840"/>
    <w:rsid w:val="00620B2E"/>
    <w:rsid w:val="00621983"/>
    <w:rsid w:val="006267F1"/>
    <w:rsid w:val="00627CFD"/>
    <w:rsid w:val="006319CF"/>
    <w:rsid w:val="00634FCA"/>
    <w:rsid w:val="00636029"/>
    <w:rsid w:val="006362F2"/>
    <w:rsid w:val="00637CA7"/>
    <w:rsid w:val="00637FD0"/>
    <w:rsid w:val="006403B0"/>
    <w:rsid w:val="006420F4"/>
    <w:rsid w:val="0064333C"/>
    <w:rsid w:val="00645BE9"/>
    <w:rsid w:val="00652D24"/>
    <w:rsid w:val="00654239"/>
    <w:rsid w:val="006563A8"/>
    <w:rsid w:val="0066228F"/>
    <w:rsid w:val="0067376E"/>
    <w:rsid w:val="00677FDE"/>
    <w:rsid w:val="00681636"/>
    <w:rsid w:val="006849D0"/>
    <w:rsid w:val="00685ECC"/>
    <w:rsid w:val="00686377"/>
    <w:rsid w:val="00686E7D"/>
    <w:rsid w:val="00687482"/>
    <w:rsid w:val="00687814"/>
    <w:rsid w:val="00687F62"/>
    <w:rsid w:val="00693DFF"/>
    <w:rsid w:val="00694A7B"/>
    <w:rsid w:val="00695231"/>
    <w:rsid w:val="00695362"/>
    <w:rsid w:val="00697095"/>
    <w:rsid w:val="006A3B84"/>
    <w:rsid w:val="006A4D61"/>
    <w:rsid w:val="006A4F73"/>
    <w:rsid w:val="006B6114"/>
    <w:rsid w:val="006C0A5D"/>
    <w:rsid w:val="006C0EF8"/>
    <w:rsid w:val="006C35F2"/>
    <w:rsid w:val="006C54B5"/>
    <w:rsid w:val="006C5BD5"/>
    <w:rsid w:val="006C6B70"/>
    <w:rsid w:val="006D05F7"/>
    <w:rsid w:val="006D47F0"/>
    <w:rsid w:val="006D4808"/>
    <w:rsid w:val="006E039E"/>
    <w:rsid w:val="006E0AC4"/>
    <w:rsid w:val="006E0D06"/>
    <w:rsid w:val="006E5D40"/>
    <w:rsid w:val="006F28C3"/>
    <w:rsid w:val="006F53A3"/>
    <w:rsid w:val="007011BA"/>
    <w:rsid w:val="007025F7"/>
    <w:rsid w:val="007051F7"/>
    <w:rsid w:val="007052AB"/>
    <w:rsid w:val="00706A4D"/>
    <w:rsid w:val="007101C2"/>
    <w:rsid w:val="0071020F"/>
    <w:rsid w:val="0071061F"/>
    <w:rsid w:val="00712E34"/>
    <w:rsid w:val="00715511"/>
    <w:rsid w:val="00724326"/>
    <w:rsid w:val="00734FB2"/>
    <w:rsid w:val="00737113"/>
    <w:rsid w:val="00740941"/>
    <w:rsid w:val="007430D0"/>
    <w:rsid w:val="0074497B"/>
    <w:rsid w:val="00745378"/>
    <w:rsid w:val="00745E40"/>
    <w:rsid w:val="00745F1C"/>
    <w:rsid w:val="00747A74"/>
    <w:rsid w:val="007510D1"/>
    <w:rsid w:val="007513E4"/>
    <w:rsid w:val="00751E13"/>
    <w:rsid w:val="00752BF1"/>
    <w:rsid w:val="00754B2E"/>
    <w:rsid w:val="007614B4"/>
    <w:rsid w:val="00764FAE"/>
    <w:rsid w:val="0076583D"/>
    <w:rsid w:val="00771B86"/>
    <w:rsid w:val="007740FA"/>
    <w:rsid w:val="007747B1"/>
    <w:rsid w:val="00774B85"/>
    <w:rsid w:val="0077609C"/>
    <w:rsid w:val="0079094C"/>
    <w:rsid w:val="007925DB"/>
    <w:rsid w:val="00794CC6"/>
    <w:rsid w:val="0079516F"/>
    <w:rsid w:val="0079662B"/>
    <w:rsid w:val="00796DAC"/>
    <w:rsid w:val="007974F6"/>
    <w:rsid w:val="007A140B"/>
    <w:rsid w:val="007A1BA2"/>
    <w:rsid w:val="007B064C"/>
    <w:rsid w:val="007B324E"/>
    <w:rsid w:val="007B5F5E"/>
    <w:rsid w:val="007C17DC"/>
    <w:rsid w:val="007C6F19"/>
    <w:rsid w:val="007C7425"/>
    <w:rsid w:val="007D16FC"/>
    <w:rsid w:val="007D1DD2"/>
    <w:rsid w:val="007F1719"/>
    <w:rsid w:val="007F3BB2"/>
    <w:rsid w:val="007F3FEE"/>
    <w:rsid w:val="007F66E5"/>
    <w:rsid w:val="007F69DC"/>
    <w:rsid w:val="00800D75"/>
    <w:rsid w:val="00805A91"/>
    <w:rsid w:val="00810FBF"/>
    <w:rsid w:val="00813551"/>
    <w:rsid w:val="00816D93"/>
    <w:rsid w:val="00820EF7"/>
    <w:rsid w:val="008216F9"/>
    <w:rsid w:val="00821756"/>
    <w:rsid w:val="008227E8"/>
    <w:rsid w:val="008232AE"/>
    <w:rsid w:val="00823C24"/>
    <w:rsid w:val="00825B46"/>
    <w:rsid w:val="008306E2"/>
    <w:rsid w:val="0083532D"/>
    <w:rsid w:val="008448F7"/>
    <w:rsid w:val="00845C08"/>
    <w:rsid w:val="00846989"/>
    <w:rsid w:val="00847CAE"/>
    <w:rsid w:val="00847F42"/>
    <w:rsid w:val="00850035"/>
    <w:rsid w:val="00850E9C"/>
    <w:rsid w:val="008526F8"/>
    <w:rsid w:val="00852E62"/>
    <w:rsid w:val="0085498C"/>
    <w:rsid w:val="0085783B"/>
    <w:rsid w:val="00860580"/>
    <w:rsid w:val="008605FA"/>
    <w:rsid w:val="008607D0"/>
    <w:rsid w:val="0086242B"/>
    <w:rsid w:val="00866AE3"/>
    <w:rsid w:val="00867C97"/>
    <w:rsid w:val="008729B5"/>
    <w:rsid w:val="00877A8A"/>
    <w:rsid w:val="00877CC6"/>
    <w:rsid w:val="008812AA"/>
    <w:rsid w:val="008823BC"/>
    <w:rsid w:val="00882F64"/>
    <w:rsid w:val="00885C76"/>
    <w:rsid w:val="00886D08"/>
    <w:rsid w:val="008A1D0F"/>
    <w:rsid w:val="008A4F4C"/>
    <w:rsid w:val="008A645A"/>
    <w:rsid w:val="008B1FF6"/>
    <w:rsid w:val="008B3220"/>
    <w:rsid w:val="008B3560"/>
    <w:rsid w:val="008C5652"/>
    <w:rsid w:val="008C7FF9"/>
    <w:rsid w:val="008D624A"/>
    <w:rsid w:val="008D6AA9"/>
    <w:rsid w:val="008D7EE2"/>
    <w:rsid w:val="008E0196"/>
    <w:rsid w:val="008E11CD"/>
    <w:rsid w:val="008E16C5"/>
    <w:rsid w:val="008E44CB"/>
    <w:rsid w:val="008E4556"/>
    <w:rsid w:val="008F2A9A"/>
    <w:rsid w:val="008F4C41"/>
    <w:rsid w:val="008F7DB8"/>
    <w:rsid w:val="00900A1F"/>
    <w:rsid w:val="009016E9"/>
    <w:rsid w:val="009071BA"/>
    <w:rsid w:val="009103E9"/>
    <w:rsid w:val="00911312"/>
    <w:rsid w:val="00911C56"/>
    <w:rsid w:val="00914732"/>
    <w:rsid w:val="0091799A"/>
    <w:rsid w:val="00922AAE"/>
    <w:rsid w:val="00927076"/>
    <w:rsid w:val="0093070E"/>
    <w:rsid w:val="009311A2"/>
    <w:rsid w:val="00933363"/>
    <w:rsid w:val="00934904"/>
    <w:rsid w:val="00935157"/>
    <w:rsid w:val="00936983"/>
    <w:rsid w:val="0094238C"/>
    <w:rsid w:val="00945160"/>
    <w:rsid w:val="00945E71"/>
    <w:rsid w:val="0095102F"/>
    <w:rsid w:val="00951DBA"/>
    <w:rsid w:val="009522BF"/>
    <w:rsid w:val="00952772"/>
    <w:rsid w:val="009535EA"/>
    <w:rsid w:val="009555AE"/>
    <w:rsid w:val="009562B4"/>
    <w:rsid w:val="00960A6D"/>
    <w:rsid w:val="00960D5D"/>
    <w:rsid w:val="00962EF8"/>
    <w:rsid w:val="00963CF4"/>
    <w:rsid w:val="00966313"/>
    <w:rsid w:val="00973C8D"/>
    <w:rsid w:val="00973ED2"/>
    <w:rsid w:val="0097502E"/>
    <w:rsid w:val="00976BE9"/>
    <w:rsid w:val="00981B76"/>
    <w:rsid w:val="0098318A"/>
    <w:rsid w:val="00986C08"/>
    <w:rsid w:val="0099405D"/>
    <w:rsid w:val="00996E87"/>
    <w:rsid w:val="009977FE"/>
    <w:rsid w:val="009A184C"/>
    <w:rsid w:val="009A277E"/>
    <w:rsid w:val="009A35B4"/>
    <w:rsid w:val="009A4E0B"/>
    <w:rsid w:val="009A7DB1"/>
    <w:rsid w:val="009B05D0"/>
    <w:rsid w:val="009B073A"/>
    <w:rsid w:val="009B3501"/>
    <w:rsid w:val="009C33CE"/>
    <w:rsid w:val="009C34ED"/>
    <w:rsid w:val="009C5446"/>
    <w:rsid w:val="009C5E9F"/>
    <w:rsid w:val="009C7BE8"/>
    <w:rsid w:val="009D1D57"/>
    <w:rsid w:val="009D2205"/>
    <w:rsid w:val="009D2DBD"/>
    <w:rsid w:val="009E1883"/>
    <w:rsid w:val="009E2DEF"/>
    <w:rsid w:val="009E3941"/>
    <w:rsid w:val="009E4019"/>
    <w:rsid w:val="009E5539"/>
    <w:rsid w:val="009E7E4A"/>
    <w:rsid w:val="009F177D"/>
    <w:rsid w:val="009F4845"/>
    <w:rsid w:val="009F5C0D"/>
    <w:rsid w:val="009F7543"/>
    <w:rsid w:val="00A01ADD"/>
    <w:rsid w:val="00A0285C"/>
    <w:rsid w:val="00A0675F"/>
    <w:rsid w:val="00A07F4B"/>
    <w:rsid w:val="00A12188"/>
    <w:rsid w:val="00A125F4"/>
    <w:rsid w:val="00A13CD3"/>
    <w:rsid w:val="00A14414"/>
    <w:rsid w:val="00A166F7"/>
    <w:rsid w:val="00A263B8"/>
    <w:rsid w:val="00A3392F"/>
    <w:rsid w:val="00A347E5"/>
    <w:rsid w:val="00A368FF"/>
    <w:rsid w:val="00A401BC"/>
    <w:rsid w:val="00A41B80"/>
    <w:rsid w:val="00A4224D"/>
    <w:rsid w:val="00A42D60"/>
    <w:rsid w:val="00A4301D"/>
    <w:rsid w:val="00A4327D"/>
    <w:rsid w:val="00A507E9"/>
    <w:rsid w:val="00A545CC"/>
    <w:rsid w:val="00A54FD6"/>
    <w:rsid w:val="00A60E82"/>
    <w:rsid w:val="00A64AC4"/>
    <w:rsid w:val="00A67F9C"/>
    <w:rsid w:val="00A725D7"/>
    <w:rsid w:val="00A74A99"/>
    <w:rsid w:val="00A76738"/>
    <w:rsid w:val="00A8119C"/>
    <w:rsid w:val="00A81C81"/>
    <w:rsid w:val="00AA29D3"/>
    <w:rsid w:val="00AA5C9B"/>
    <w:rsid w:val="00AA6495"/>
    <w:rsid w:val="00AB2B18"/>
    <w:rsid w:val="00AB3237"/>
    <w:rsid w:val="00AB3672"/>
    <w:rsid w:val="00AB56A3"/>
    <w:rsid w:val="00AC60C5"/>
    <w:rsid w:val="00AD104E"/>
    <w:rsid w:val="00AD1E76"/>
    <w:rsid w:val="00AD2464"/>
    <w:rsid w:val="00AD262A"/>
    <w:rsid w:val="00AD72A9"/>
    <w:rsid w:val="00AE1463"/>
    <w:rsid w:val="00AE33D8"/>
    <w:rsid w:val="00AE5828"/>
    <w:rsid w:val="00AE6415"/>
    <w:rsid w:val="00AF07B4"/>
    <w:rsid w:val="00AF5235"/>
    <w:rsid w:val="00AF7210"/>
    <w:rsid w:val="00B016F6"/>
    <w:rsid w:val="00B0226F"/>
    <w:rsid w:val="00B02A75"/>
    <w:rsid w:val="00B02F8C"/>
    <w:rsid w:val="00B0389E"/>
    <w:rsid w:val="00B04D96"/>
    <w:rsid w:val="00B06FC6"/>
    <w:rsid w:val="00B104A1"/>
    <w:rsid w:val="00B11C08"/>
    <w:rsid w:val="00B13D5B"/>
    <w:rsid w:val="00B16A3F"/>
    <w:rsid w:val="00B17282"/>
    <w:rsid w:val="00B232E8"/>
    <w:rsid w:val="00B250BF"/>
    <w:rsid w:val="00B259AB"/>
    <w:rsid w:val="00B27FF3"/>
    <w:rsid w:val="00B3017A"/>
    <w:rsid w:val="00B309F4"/>
    <w:rsid w:val="00B356CD"/>
    <w:rsid w:val="00B37F55"/>
    <w:rsid w:val="00B40A2F"/>
    <w:rsid w:val="00B4623B"/>
    <w:rsid w:val="00B463D0"/>
    <w:rsid w:val="00B4714E"/>
    <w:rsid w:val="00B50B18"/>
    <w:rsid w:val="00B51AD3"/>
    <w:rsid w:val="00B537F1"/>
    <w:rsid w:val="00B56153"/>
    <w:rsid w:val="00B572B7"/>
    <w:rsid w:val="00B632C2"/>
    <w:rsid w:val="00B638CE"/>
    <w:rsid w:val="00B6414E"/>
    <w:rsid w:val="00B65FF7"/>
    <w:rsid w:val="00B67CDC"/>
    <w:rsid w:val="00B7057E"/>
    <w:rsid w:val="00B72E65"/>
    <w:rsid w:val="00B7478F"/>
    <w:rsid w:val="00B74DE2"/>
    <w:rsid w:val="00B82BC3"/>
    <w:rsid w:val="00B84A77"/>
    <w:rsid w:val="00B86C33"/>
    <w:rsid w:val="00B87367"/>
    <w:rsid w:val="00B96097"/>
    <w:rsid w:val="00B97410"/>
    <w:rsid w:val="00BA004A"/>
    <w:rsid w:val="00BA43B0"/>
    <w:rsid w:val="00BA4932"/>
    <w:rsid w:val="00BA7939"/>
    <w:rsid w:val="00BB0346"/>
    <w:rsid w:val="00BB56C9"/>
    <w:rsid w:val="00BB74DD"/>
    <w:rsid w:val="00BB7DBA"/>
    <w:rsid w:val="00BC2FAA"/>
    <w:rsid w:val="00BC44F9"/>
    <w:rsid w:val="00BD2602"/>
    <w:rsid w:val="00BD58F6"/>
    <w:rsid w:val="00BD69B7"/>
    <w:rsid w:val="00BE2286"/>
    <w:rsid w:val="00BE27EB"/>
    <w:rsid w:val="00BE5DF9"/>
    <w:rsid w:val="00BE63D7"/>
    <w:rsid w:val="00BE6885"/>
    <w:rsid w:val="00BE6EE0"/>
    <w:rsid w:val="00BF098C"/>
    <w:rsid w:val="00BF0EDA"/>
    <w:rsid w:val="00BF4AF0"/>
    <w:rsid w:val="00BF4C3F"/>
    <w:rsid w:val="00BF5CFF"/>
    <w:rsid w:val="00BF6DF6"/>
    <w:rsid w:val="00BF78DF"/>
    <w:rsid w:val="00C0003E"/>
    <w:rsid w:val="00C06C17"/>
    <w:rsid w:val="00C104DA"/>
    <w:rsid w:val="00C12A68"/>
    <w:rsid w:val="00C14C7D"/>
    <w:rsid w:val="00C15740"/>
    <w:rsid w:val="00C1665A"/>
    <w:rsid w:val="00C17C09"/>
    <w:rsid w:val="00C237A4"/>
    <w:rsid w:val="00C24276"/>
    <w:rsid w:val="00C25029"/>
    <w:rsid w:val="00C3292E"/>
    <w:rsid w:val="00C370F6"/>
    <w:rsid w:val="00C435BA"/>
    <w:rsid w:val="00C44A31"/>
    <w:rsid w:val="00C4767F"/>
    <w:rsid w:val="00C51004"/>
    <w:rsid w:val="00C54C57"/>
    <w:rsid w:val="00C66AF2"/>
    <w:rsid w:val="00C67D00"/>
    <w:rsid w:val="00C71165"/>
    <w:rsid w:val="00C71F7C"/>
    <w:rsid w:val="00C76CEB"/>
    <w:rsid w:val="00C80A16"/>
    <w:rsid w:val="00C821DC"/>
    <w:rsid w:val="00C84180"/>
    <w:rsid w:val="00C900FB"/>
    <w:rsid w:val="00CA17CD"/>
    <w:rsid w:val="00CB0113"/>
    <w:rsid w:val="00CB1751"/>
    <w:rsid w:val="00CB41BF"/>
    <w:rsid w:val="00CB5641"/>
    <w:rsid w:val="00CB610C"/>
    <w:rsid w:val="00CC11D3"/>
    <w:rsid w:val="00CC2DE2"/>
    <w:rsid w:val="00CC31DA"/>
    <w:rsid w:val="00CC5FC4"/>
    <w:rsid w:val="00CD048F"/>
    <w:rsid w:val="00CD15DF"/>
    <w:rsid w:val="00CD3720"/>
    <w:rsid w:val="00CE04BB"/>
    <w:rsid w:val="00CE0C66"/>
    <w:rsid w:val="00CE263A"/>
    <w:rsid w:val="00CE5693"/>
    <w:rsid w:val="00CF0BE6"/>
    <w:rsid w:val="00CF1275"/>
    <w:rsid w:val="00CF141E"/>
    <w:rsid w:val="00CF3004"/>
    <w:rsid w:val="00CF7447"/>
    <w:rsid w:val="00CF758C"/>
    <w:rsid w:val="00D1359E"/>
    <w:rsid w:val="00D14464"/>
    <w:rsid w:val="00D2005A"/>
    <w:rsid w:val="00D24F9E"/>
    <w:rsid w:val="00D2549B"/>
    <w:rsid w:val="00D27930"/>
    <w:rsid w:val="00D33378"/>
    <w:rsid w:val="00D35C88"/>
    <w:rsid w:val="00D37763"/>
    <w:rsid w:val="00D406F8"/>
    <w:rsid w:val="00D43671"/>
    <w:rsid w:val="00D460FC"/>
    <w:rsid w:val="00D46C2B"/>
    <w:rsid w:val="00D47465"/>
    <w:rsid w:val="00D47EB9"/>
    <w:rsid w:val="00D50533"/>
    <w:rsid w:val="00D51326"/>
    <w:rsid w:val="00D545F7"/>
    <w:rsid w:val="00D54B28"/>
    <w:rsid w:val="00D555A4"/>
    <w:rsid w:val="00D60717"/>
    <w:rsid w:val="00D60736"/>
    <w:rsid w:val="00D617BE"/>
    <w:rsid w:val="00D6433C"/>
    <w:rsid w:val="00D64867"/>
    <w:rsid w:val="00D64B4E"/>
    <w:rsid w:val="00D64F44"/>
    <w:rsid w:val="00D67448"/>
    <w:rsid w:val="00D71C9C"/>
    <w:rsid w:val="00D767FA"/>
    <w:rsid w:val="00D77C77"/>
    <w:rsid w:val="00D80087"/>
    <w:rsid w:val="00D82EF9"/>
    <w:rsid w:val="00D832D2"/>
    <w:rsid w:val="00D8493A"/>
    <w:rsid w:val="00D84E72"/>
    <w:rsid w:val="00D860E4"/>
    <w:rsid w:val="00D94D5D"/>
    <w:rsid w:val="00D95749"/>
    <w:rsid w:val="00D97F29"/>
    <w:rsid w:val="00DA0F81"/>
    <w:rsid w:val="00DA2A57"/>
    <w:rsid w:val="00DA3338"/>
    <w:rsid w:val="00DA63B1"/>
    <w:rsid w:val="00DB7DC3"/>
    <w:rsid w:val="00DC2177"/>
    <w:rsid w:val="00DC3C81"/>
    <w:rsid w:val="00DC3F17"/>
    <w:rsid w:val="00DD22CA"/>
    <w:rsid w:val="00DD2ACC"/>
    <w:rsid w:val="00DD3683"/>
    <w:rsid w:val="00DD59F0"/>
    <w:rsid w:val="00DD7746"/>
    <w:rsid w:val="00DD7B4E"/>
    <w:rsid w:val="00DD7DE0"/>
    <w:rsid w:val="00DE44D5"/>
    <w:rsid w:val="00DE74E9"/>
    <w:rsid w:val="00DF2D23"/>
    <w:rsid w:val="00DF5C19"/>
    <w:rsid w:val="00DF7A9A"/>
    <w:rsid w:val="00E00B8A"/>
    <w:rsid w:val="00E0213F"/>
    <w:rsid w:val="00E06549"/>
    <w:rsid w:val="00E1107F"/>
    <w:rsid w:val="00E11BAD"/>
    <w:rsid w:val="00E13700"/>
    <w:rsid w:val="00E16170"/>
    <w:rsid w:val="00E222F3"/>
    <w:rsid w:val="00E23028"/>
    <w:rsid w:val="00E231BE"/>
    <w:rsid w:val="00E248B7"/>
    <w:rsid w:val="00E24F4C"/>
    <w:rsid w:val="00E25859"/>
    <w:rsid w:val="00E316CD"/>
    <w:rsid w:val="00E330CF"/>
    <w:rsid w:val="00E354E1"/>
    <w:rsid w:val="00E3700F"/>
    <w:rsid w:val="00E408B6"/>
    <w:rsid w:val="00E42029"/>
    <w:rsid w:val="00E42884"/>
    <w:rsid w:val="00E43CE8"/>
    <w:rsid w:val="00E44ECD"/>
    <w:rsid w:val="00E462D9"/>
    <w:rsid w:val="00E511BE"/>
    <w:rsid w:val="00E5607A"/>
    <w:rsid w:val="00E60089"/>
    <w:rsid w:val="00E60E0F"/>
    <w:rsid w:val="00E62831"/>
    <w:rsid w:val="00E62EC0"/>
    <w:rsid w:val="00E631EF"/>
    <w:rsid w:val="00E65BAC"/>
    <w:rsid w:val="00E73762"/>
    <w:rsid w:val="00E75B92"/>
    <w:rsid w:val="00E80B7C"/>
    <w:rsid w:val="00E91043"/>
    <w:rsid w:val="00E92B54"/>
    <w:rsid w:val="00E9320E"/>
    <w:rsid w:val="00E93400"/>
    <w:rsid w:val="00E93E98"/>
    <w:rsid w:val="00E94BB5"/>
    <w:rsid w:val="00EA2583"/>
    <w:rsid w:val="00EA4831"/>
    <w:rsid w:val="00EB0C9D"/>
    <w:rsid w:val="00EB0E9B"/>
    <w:rsid w:val="00EB7D09"/>
    <w:rsid w:val="00EC2092"/>
    <w:rsid w:val="00EC7633"/>
    <w:rsid w:val="00EC770A"/>
    <w:rsid w:val="00EC7C06"/>
    <w:rsid w:val="00ED0E65"/>
    <w:rsid w:val="00EE08B5"/>
    <w:rsid w:val="00EE13A2"/>
    <w:rsid w:val="00EE418C"/>
    <w:rsid w:val="00EF0CAE"/>
    <w:rsid w:val="00EF385C"/>
    <w:rsid w:val="00EF540A"/>
    <w:rsid w:val="00EF682E"/>
    <w:rsid w:val="00F00267"/>
    <w:rsid w:val="00F009FD"/>
    <w:rsid w:val="00F019A0"/>
    <w:rsid w:val="00F0289A"/>
    <w:rsid w:val="00F10701"/>
    <w:rsid w:val="00F11FB9"/>
    <w:rsid w:val="00F12CD4"/>
    <w:rsid w:val="00F13001"/>
    <w:rsid w:val="00F20285"/>
    <w:rsid w:val="00F204A1"/>
    <w:rsid w:val="00F237C0"/>
    <w:rsid w:val="00F24A9C"/>
    <w:rsid w:val="00F2527D"/>
    <w:rsid w:val="00F25628"/>
    <w:rsid w:val="00F261D5"/>
    <w:rsid w:val="00F26EDA"/>
    <w:rsid w:val="00F2712F"/>
    <w:rsid w:val="00F3083E"/>
    <w:rsid w:val="00F323F0"/>
    <w:rsid w:val="00F37E12"/>
    <w:rsid w:val="00F41CF5"/>
    <w:rsid w:val="00F44CA4"/>
    <w:rsid w:val="00F47801"/>
    <w:rsid w:val="00F53281"/>
    <w:rsid w:val="00F57350"/>
    <w:rsid w:val="00F60B50"/>
    <w:rsid w:val="00F638D3"/>
    <w:rsid w:val="00F650A9"/>
    <w:rsid w:val="00F669E1"/>
    <w:rsid w:val="00F7075F"/>
    <w:rsid w:val="00F70F7D"/>
    <w:rsid w:val="00F75922"/>
    <w:rsid w:val="00F763C8"/>
    <w:rsid w:val="00F77329"/>
    <w:rsid w:val="00F8024B"/>
    <w:rsid w:val="00F83E50"/>
    <w:rsid w:val="00F84CFC"/>
    <w:rsid w:val="00F85BE1"/>
    <w:rsid w:val="00FA5ABD"/>
    <w:rsid w:val="00FB30FF"/>
    <w:rsid w:val="00FB7686"/>
    <w:rsid w:val="00FC1EFA"/>
    <w:rsid w:val="00FC2D0E"/>
    <w:rsid w:val="00FC3E11"/>
    <w:rsid w:val="00FC3FC8"/>
    <w:rsid w:val="00FC6930"/>
    <w:rsid w:val="00FD4694"/>
    <w:rsid w:val="00FD7BF4"/>
    <w:rsid w:val="00FE2F66"/>
    <w:rsid w:val="00FF0F2F"/>
    <w:rsid w:val="00FF391A"/>
    <w:rsid w:val="00FF6BCE"/>
    <w:rsid w:val="015B4FE6"/>
    <w:rsid w:val="01A7608C"/>
    <w:rsid w:val="01DD1DDB"/>
    <w:rsid w:val="027104FC"/>
    <w:rsid w:val="029A187E"/>
    <w:rsid w:val="02C91CFB"/>
    <w:rsid w:val="02DC5CB3"/>
    <w:rsid w:val="02F23BAF"/>
    <w:rsid w:val="03520AC3"/>
    <w:rsid w:val="03BA1B83"/>
    <w:rsid w:val="03C76312"/>
    <w:rsid w:val="03D175E8"/>
    <w:rsid w:val="04907368"/>
    <w:rsid w:val="04DB23B5"/>
    <w:rsid w:val="04E30E8E"/>
    <w:rsid w:val="0536626E"/>
    <w:rsid w:val="058C7450"/>
    <w:rsid w:val="05934DF8"/>
    <w:rsid w:val="05FC4841"/>
    <w:rsid w:val="06006C4E"/>
    <w:rsid w:val="075C3970"/>
    <w:rsid w:val="07BF5A55"/>
    <w:rsid w:val="080A045C"/>
    <w:rsid w:val="086F1AAE"/>
    <w:rsid w:val="097E2834"/>
    <w:rsid w:val="09AA5D69"/>
    <w:rsid w:val="09B27556"/>
    <w:rsid w:val="0BDA49B3"/>
    <w:rsid w:val="0CAA523C"/>
    <w:rsid w:val="0CCE2319"/>
    <w:rsid w:val="0D1F37D1"/>
    <w:rsid w:val="0D3719D3"/>
    <w:rsid w:val="0DB56265"/>
    <w:rsid w:val="0DE639A6"/>
    <w:rsid w:val="0DF878E7"/>
    <w:rsid w:val="0DFD4A91"/>
    <w:rsid w:val="0E0632C6"/>
    <w:rsid w:val="0E2237CA"/>
    <w:rsid w:val="0E4D5B60"/>
    <w:rsid w:val="0E645DF2"/>
    <w:rsid w:val="0E9A7ED4"/>
    <w:rsid w:val="0EC95C85"/>
    <w:rsid w:val="0F3F5AE1"/>
    <w:rsid w:val="0F975E1D"/>
    <w:rsid w:val="0FCB68ED"/>
    <w:rsid w:val="0FE47E65"/>
    <w:rsid w:val="10A44C78"/>
    <w:rsid w:val="10D96841"/>
    <w:rsid w:val="11075522"/>
    <w:rsid w:val="122F2B53"/>
    <w:rsid w:val="12847191"/>
    <w:rsid w:val="12904491"/>
    <w:rsid w:val="12BA07A5"/>
    <w:rsid w:val="12C86830"/>
    <w:rsid w:val="12CB7703"/>
    <w:rsid w:val="12DC3AAD"/>
    <w:rsid w:val="131830AA"/>
    <w:rsid w:val="14086DC9"/>
    <w:rsid w:val="14D062CA"/>
    <w:rsid w:val="15512484"/>
    <w:rsid w:val="155618F4"/>
    <w:rsid w:val="15CC2D06"/>
    <w:rsid w:val="15D942D4"/>
    <w:rsid w:val="15E73501"/>
    <w:rsid w:val="16296478"/>
    <w:rsid w:val="1647192B"/>
    <w:rsid w:val="16AF4443"/>
    <w:rsid w:val="17F92C9E"/>
    <w:rsid w:val="181E7944"/>
    <w:rsid w:val="18866EF8"/>
    <w:rsid w:val="188A7B2C"/>
    <w:rsid w:val="189F437D"/>
    <w:rsid w:val="18A65C13"/>
    <w:rsid w:val="18F8172D"/>
    <w:rsid w:val="19205A29"/>
    <w:rsid w:val="199E2E6B"/>
    <w:rsid w:val="19B05DCE"/>
    <w:rsid w:val="1A0A4941"/>
    <w:rsid w:val="1A336D9D"/>
    <w:rsid w:val="1A7717A5"/>
    <w:rsid w:val="1A9A20ED"/>
    <w:rsid w:val="1ABA48F9"/>
    <w:rsid w:val="1B100058"/>
    <w:rsid w:val="1B485C4E"/>
    <w:rsid w:val="1BD45342"/>
    <w:rsid w:val="1BEC6C02"/>
    <w:rsid w:val="1C1D5C5C"/>
    <w:rsid w:val="1CB0280E"/>
    <w:rsid w:val="1CE76BDE"/>
    <w:rsid w:val="1D6F2958"/>
    <w:rsid w:val="1E2E4982"/>
    <w:rsid w:val="1E2F20D9"/>
    <w:rsid w:val="1E405EF4"/>
    <w:rsid w:val="1E7C34AE"/>
    <w:rsid w:val="1E8342C6"/>
    <w:rsid w:val="1EC93D1A"/>
    <w:rsid w:val="1ED6378A"/>
    <w:rsid w:val="1F247A0C"/>
    <w:rsid w:val="1F844CA8"/>
    <w:rsid w:val="201257DF"/>
    <w:rsid w:val="20A978A1"/>
    <w:rsid w:val="20E71F5A"/>
    <w:rsid w:val="21760A05"/>
    <w:rsid w:val="218167D4"/>
    <w:rsid w:val="222136D6"/>
    <w:rsid w:val="224B7D46"/>
    <w:rsid w:val="227F69AC"/>
    <w:rsid w:val="22810BCB"/>
    <w:rsid w:val="22E519BC"/>
    <w:rsid w:val="23613054"/>
    <w:rsid w:val="237226DF"/>
    <w:rsid w:val="23A075BC"/>
    <w:rsid w:val="246C7D08"/>
    <w:rsid w:val="24796027"/>
    <w:rsid w:val="24827C8A"/>
    <w:rsid w:val="24D93B00"/>
    <w:rsid w:val="25571204"/>
    <w:rsid w:val="258E6CA7"/>
    <w:rsid w:val="26172493"/>
    <w:rsid w:val="26A62D06"/>
    <w:rsid w:val="26B1178E"/>
    <w:rsid w:val="26D51193"/>
    <w:rsid w:val="279940DA"/>
    <w:rsid w:val="27C20D3D"/>
    <w:rsid w:val="28143BCE"/>
    <w:rsid w:val="28166395"/>
    <w:rsid w:val="283A3F0F"/>
    <w:rsid w:val="288F29DA"/>
    <w:rsid w:val="28B67DBD"/>
    <w:rsid w:val="291D1213"/>
    <w:rsid w:val="2939686F"/>
    <w:rsid w:val="299054D8"/>
    <w:rsid w:val="29C1586F"/>
    <w:rsid w:val="29C46BAD"/>
    <w:rsid w:val="2A7523C5"/>
    <w:rsid w:val="2A7714A4"/>
    <w:rsid w:val="2BA05CBC"/>
    <w:rsid w:val="2BAC4216"/>
    <w:rsid w:val="2C1913EC"/>
    <w:rsid w:val="2CE4523D"/>
    <w:rsid w:val="2D12256D"/>
    <w:rsid w:val="2D63497D"/>
    <w:rsid w:val="2DD163DE"/>
    <w:rsid w:val="2DE95910"/>
    <w:rsid w:val="2E260344"/>
    <w:rsid w:val="2E734141"/>
    <w:rsid w:val="2EF1278B"/>
    <w:rsid w:val="2F2663C7"/>
    <w:rsid w:val="30A26D42"/>
    <w:rsid w:val="30E715E8"/>
    <w:rsid w:val="30FB6020"/>
    <w:rsid w:val="326E7E4D"/>
    <w:rsid w:val="32B833AF"/>
    <w:rsid w:val="32DE33FD"/>
    <w:rsid w:val="338E62A6"/>
    <w:rsid w:val="33923E41"/>
    <w:rsid w:val="34125D68"/>
    <w:rsid w:val="34496377"/>
    <w:rsid w:val="3473097F"/>
    <w:rsid w:val="34750DEC"/>
    <w:rsid w:val="35A13572"/>
    <w:rsid w:val="35BC5AD7"/>
    <w:rsid w:val="35DE058B"/>
    <w:rsid w:val="35EA64FD"/>
    <w:rsid w:val="35FA36E0"/>
    <w:rsid w:val="361F1D5C"/>
    <w:rsid w:val="36626E2C"/>
    <w:rsid w:val="367F03EF"/>
    <w:rsid w:val="369013EA"/>
    <w:rsid w:val="37573E39"/>
    <w:rsid w:val="3758743B"/>
    <w:rsid w:val="38636111"/>
    <w:rsid w:val="38700706"/>
    <w:rsid w:val="387C3025"/>
    <w:rsid w:val="38FA1379"/>
    <w:rsid w:val="397F563B"/>
    <w:rsid w:val="39816359"/>
    <w:rsid w:val="39967482"/>
    <w:rsid w:val="39A41D45"/>
    <w:rsid w:val="39CB3D25"/>
    <w:rsid w:val="3A1C6673"/>
    <w:rsid w:val="3A2F1849"/>
    <w:rsid w:val="3A6B32AC"/>
    <w:rsid w:val="3AA550E6"/>
    <w:rsid w:val="3B800F73"/>
    <w:rsid w:val="3B9E18B6"/>
    <w:rsid w:val="3BB30288"/>
    <w:rsid w:val="3BF17FB0"/>
    <w:rsid w:val="3C21415B"/>
    <w:rsid w:val="3CFF5069"/>
    <w:rsid w:val="3D1236AB"/>
    <w:rsid w:val="3D3100CF"/>
    <w:rsid w:val="3D723DD7"/>
    <w:rsid w:val="3D8D0464"/>
    <w:rsid w:val="3DA731A6"/>
    <w:rsid w:val="3DAD4E3F"/>
    <w:rsid w:val="3DC215AF"/>
    <w:rsid w:val="3E0C6502"/>
    <w:rsid w:val="3E832165"/>
    <w:rsid w:val="3E943839"/>
    <w:rsid w:val="3EB43064"/>
    <w:rsid w:val="3EC50D1B"/>
    <w:rsid w:val="3EFF350C"/>
    <w:rsid w:val="3F40766C"/>
    <w:rsid w:val="3F4567E1"/>
    <w:rsid w:val="3F676E4D"/>
    <w:rsid w:val="3F6F71A7"/>
    <w:rsid w:val="3FD062CE"/>
    <w:rsid w:val="3FDB27D6"/>
    <w:rsid w:val="40931EAC"/>
    <w:rsid w:val="40E62E7D"/>
    <w:rsid w:val="40F52DC0"/>
    <w:rsid w:val="41123315"/>
    <w:rsid w:val="414132D9"/>
    <w:rsid w:val="41753925"/>
    <w:rsid w:val="419E6D60"/>
    <w:rsid w:val="41B958AF"/>
    <w:rsid w:val="42280C1F"/>
    <w:rsid w:val="427F7C80"/>
    <w:rsid w:val="429A1417"/>
    <w:rsid w:val="42AB228D"/>
    <w:rsid w:val="42D13EC8"/>
    <w:rsid w:val="435F435D"/>
    <w:rsid w:val="43F13BDE"/>
    <w:rsid w:val="4436057F"/>
    <w:rsid w:val="443A40BF"/>
    <w:rsid w:val="44653991"/>
    <w:rsid w:val="45782CDC"/>
    <w:rsid w:val="45D65FB6"/>
    <w:rsid w:val="464C6EE7"/>
    <w:rsid w:val="46615AF6"/>
    <w:rsid w:val="46A61BF8"/>
    <w:rsid w:val="46CB6236"/>
    <w:rsid w:val="47942B0E"/>
    <w:rsid w:val="48763A80"/>
    <w:rsid w:val="48FC406E"/>
    <w:rsid w:val="48FD37D9"/>
    <w:rsid w:val="49712F86"/>
    <w:rsid w:val="49A157B7"/>
    <w:rsid w:val="49B26655"/>
    <w:rsid w:val="4A031027"/>
    <w:rsid w:val="4A5E47CC"/>
    <w:rsid w:val="4A6445B2"/>
    <w:rsid w:val="4AC27642"/>
    <w:rsid w:val="4ADB14EE"/>
    <w:rsid w:val="4B3B75DC"/>
    <w:rsid w:val="4B794E1D"/>
    <w:rsid w:val="4BE975CE"/>
    <w:rsid w:val="4C0E0657"/>
    <w:rsid w:val="4C1C1D77"/>
    <w:rsid w:val="4CE47FBF"/>
    <w:rsid w:val="4CF8661D"/>
    <w:rsid w:val="4CFD78A8"/>
    <w:rsid w:val="4D80208C"/>
    <w:rsid w:val="4D9228ED"/>
    <w:rsid w:val="4DE23569"/>
    <w:rsid w:val="4E3F2E89"/>
    <w:rsid w:val="4E5D3762"/>
    <w:rsid w:val="4EA873F9"/>
    <w:rsid w:val="4F2C68C1"/>
    <w:rsid w:val="4F6145D5"/>
    <w:rsid w:val="4F7C0AD1"/>
    <w:rsid w:val="4F9111A0"/>
    <w:rsid w:val="4FD179D6"/>
    <w:rsid w:val="500357BB"/>
    <w:rsid w:val="500C7DFB"/>
    <w:rsid w:val="504F73BD"/>
    <w:rsid w:val="50840A87"/>
    <w:rsid w:val="50973D4D"/>
    <w:rsid w:val="50F005E4"/>
    <w:rsid w:val="518D168B"/>
    <w:rsid w:val="51F43356"/>
    <w:rsid w:val="5255784E"/>
    <w:rsid w:val="52A665A4"/>
    <w:rsid w:val="52AF2B69"/>
    <w:rsid w:val="533450D6"/>
    <w:rsid w:val="53FE6F40"/>
    <w:rsid w:val="54254490"/>
    <w:rsid w:val="54273965"/>
    <w:rsid w:val="54980746"/>
    <w:rsid w:val="54A16BF8"/>
    <w:rsid w:val="54BB6C88"/>
    <w:rsid w:val="54EB066E"/>
    <w:rsid w:val="55575F45"/>
    <w:rsid w:val="55F4043A"/>
    <w:rsid w:val="564B015C"/>
    <w:rsid w:val="56571DA5"/>
    <w:rsid w:val="56CA7081"/>
    <w:rsid w:val="56DA5B8B"/>
    <w:rsid w:val="56F7053C"/>
    <w:rsid w:val="5706099C"/>
    <w:rsid w:val="57240366"/>
    <w:rsid w:val="575A72CB"/>
    <w:rsid w:val="58DB7D3D"/>
    <w:rsid w:val="59116D72"/>
    <w:rsid w:val="594B3864"/>
    <w:rsid w:val="5A531560"/>
    <w:rsid w:val="5C210A58"/>
    <w:rsid w:val="5C4A5809"/>
    <w:rsid w:val="5C4E28F2"/>
    <w:rsid w:val="5C6B5784"/>
    <w:rsid w:val="5CAE3F45"/>
    <w:rsid w:val="5CC57632"/>
    <w:rsid w:val="5DDC2AF8"/>
    <w:rsid w:val="5DF24353"/>
    <w:rsid w:val="5E5D3327"/>
    <w:rsid w:val="5EA4508A"/>
    <w:rsid w:val="60076895"/>
    <w:rsid w:val="60135770"/>
    <w:rsid w:val="607F3749"/>
    <w:rsid w:val="61C80381"/>
    <w:rsid w:val="61DE0274"/>
    <w:rsid w:val="61E408FB"/>
    <w:rsid w:val="62D37937"/>
    <w:rsid w:val="63137914"/>
    <w:rsid w:val="6318036C"/>
    <w:rsid w:val="63A06CDC"/>
    <w:rsid w:val="63F900D0"/>
    <w:rsid w:val="63FF642B"/>
    <w:rsid w:val="647E3DD7"/>
    <w:rsid w:val="648B01E9"/>
    <w:rsid w:val="64FE5CD8"/>
    <w:rsid w:val="652206E1"/>
    <w:rsid w:val="658918D7"/>
    <w:rsid w:val="65C332FC"/>
    <w:rsid w:val="66082841"/>
    <w:rsid w:val="66A21C90"/>
    <w:rsid w:val="66D73CFB"/>
    <w:rsid w:val="66EF68DC"/>
    <w:rsid w:val="67202F15"/>
    <w:rsid w:val="673F5C02"/>
    <w:rsid w:val="67CD7CFB"/>
    <w:rsid w:val="67E67E83"/>
    <w:rsid w:val="68D51218"/>
    <w:rsid w:val="69942A14"/>
    <w:rsid w:val="69A131E4"/>
    <w:rsid w:val="69E97A77"/>
    <w:rsid w:val="6A05091A"/>
    <w:rsid w:val="6A08010A"/>
    <w:rsid w:val="6A43285E"/>
    <w:rsid w:val="6B720F44"/>
    <w:rsid w:val="6BCF723C"/>
    <w:rsid w:val="6BDF76D7"/>
    <w:rsid w:val="6C705CA9"/>
    <w:rsid w:val="6CCA178D"/>
    <w:rsid w:val="6D067FDA"/>
    <w:rsid w:val="6D0A4613"/>
    <w:rsid w:val="6D34028B"/>
    <w:rsid w:val="6DFB0A52"/>
    <w:rsid w:val="6DFC09A5"/>
    <w:rsid w:val="6EBB4C82"/>
    <w:rsid w:val="6F2D7C26"/>
    <w:rsid w:val="6FAC723E"/>
    <w:rsid w:val="705C654C"/>
    <w:rsid w:val="706F6D2B"/>
    <w:rsid w:val="70CB2626"/>
    <w:rsid w:val="715268C4"/>
    <w:rsid w:val="71D36B74"/>
    <w:rsid w:val="724518E0"/>
    <w:rsid w:val="724800A2"/>
    <w:rsid w:val="72551EFE"/>
    <w:rsid w:val="727E23B0"/>
    <w:rsid w:val="738E1C0C"/>
    <w:rsid w:val="73FA33A1"/>
    <w:rsid w:val="74281F5B"/>
    <w:rsid w:val="74AE2A93"/>
    <w:rsid w:val="74D74B23"/>
    <w:rsid w:val="7590766D"/>
    <w:rsid w:val="759768DC"/>
    <w:rsid w:val="75A90DE2"/>
    <w:rsid w:val="75B12021"/>
    <w:rsid w:val="75B54BB8"/>
    <w:rsid w:val="76245AB2"/>
    <w:rsid w:val="766548EB"/>
    <w:rsid w:val="778B383B"/>
    <w:rsid w:val="77A83B40"/>
    <w:rsid w:val="77FD6317"/>
    <w:rsid w:val="78EA4451"/>
    <w:rsid w:val="79464FE0"/>
    <w:rsid w:val="79D000BA"/>
    <w:rsid w:val="79F31C00"/>
    <w:rsid w:val="7A555D0A"/>
    <w:rsid w:val="7AC97A44"/>
    <w:rsid w:val="7AF26AF3"/>
    <w:rsid w:val="7AFE6A2D"/>
    <w:rsid w:val="7B00752B"/>
    <w:rsid w:val="7B3F255A"/>
    <w:rsid w:val="7B6C04A4"/>
    <w:rsid w:val="7B946962"/>
    <w:rsid w:val="7BF80878"/>
    <w:rsid w:val="7CE24302"/>
    <w:rsid w:val="7D5C45F2"/>
    <w:rsid w:val="7D876AD5"/>
    <w:rsid w:val="7DA77C5D"/>
    <w:rsid w:val="7DFF14C6"/>
    <w:rsid w:val="7E042C41"/>
    <w:rsid w:val="7E171ACD"/>
    <w:rsid w:val="7E585053"/>
    <w:rsid w:val="7EAB6839"/>
    <w:rsid w:val="7EC63F15"/>
    <w:rsid w:val="7ED67840"/>
    <w:rsid w:val="7EDD76E2"/>
    <w:rsid w:val="7F57693D"/>
    <w:rsid w:val="7F7B72DA"/>
    <w:rsid w:val="7FC1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_GB2312" w:cs="Times New Roman"/>
      <w:kern w:val="2"/>
      <w:sz w:val="26"/>
      <w:lang w:val="en-US" w:eastAsia="zh-CN" w:bidi="ar-SA"/>
    </w:rPr>
  </w:style>
  <w:style w:type="paragraph" w:styleId="2">
    <w:name w:val="heading 1"/>
    <w:basedOn w:val="1"/>
    <w:next w:val="1"/>
    <w:link w:val="78"/>
    <w:qFormat/>
    <w:uiPriority w:val="0"/>
    <w:pPr>
      <w:keepNext/>
      <w:keepLines/>
      <w:spacing w:before="340" w:after="330" w:line="578" w:lineRule="auto"/>
      <w:outlineLvl w:val="0"/>
    </w:pPr>
    <w:rPr>
      <w:rFonts w:ascii="Times New Roman" w:hAnsi="Times New Roman"/>
      <w:b/>
      <w:kern w:val="44"/>
      <w:sz w:val="44"/>
    </w:rPr>
  </w:style>
  <w:style w:type="paragraph" w:styleId="3">
    <w:name w:val="heading 2"/>
    <w:basedOn w:val="1"/>
    <w:next w:val="1"/>
    <w:link w:val="79"/>
    <w:autoRedefine/>
    <w:qFormat/>
    <w:uiPriority w:val="0"/>
    <w:pPr>
      <w:keepNext/>
      <w:keepLines/>
      <w:overflowPunct w:val="0"/>
      <w:adjustRightInd w:val="0"/>
      <w:jc w:val="left"/>
      <w:textAlignment w:val="baseline"/>
      <w:outlineLvl w:val="1"/>
    </w:pPr>
    <w:rPr>
      <w:rFonts w:ascii="宋体" w:hAnsi="宋体"/>
      <w:b/>
    </w:rPr>
  </w:style>
  <w:style w:type="paragraph" w:styleId="4">
    <w:name w:val="heading 3"/>
    <w:basedOn w:val="1"/>
    <w:next w:val="1"/>
    <w:link w:val="80"/>
    <w:autoRedefine/>
    <w:qFormat/>
    <w:uiPriority w:val="0"/>
    <w:pPr>
      <w:keepNext/>
      <w:keepLines/>
      <w:adjustRightInd w:val="0"/>
      <w:jc w:val="left"/>
      <w:textAlignment w:val="baseline"/>
      <w:outlineLvl w:val="2"/>
    </w:pPr>
    <w:rPr>
      <w:rFonts w:ascii="Times New Roman" w:hAnsi="Times New Roman"/>
      <w:b/>
    </w:rPr>
  </w:style>
  <w:style w:type="paragraph" w:styleId="5">
    <w:name w:val="heading 4"/>
    <w:basedOn w:val="1"/>
    <w:next w:val="1"/>
    <w:link w:val="8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3"/>
    <w:qFormat/>
    <w:uiPriority w:val="0"/>
    <w:pPr>
      <w:keepNext/>
      <w:keepLines/>
      <w:tabs>
        <w:tab w:val="left" w:pos="1008"/>
      </w:tabs>
      <w:spacing w:before="280" w:after="290" w:line="376" w:lineRule="auto"/>
      <w:ind w:left="1008" w:hanging="1008"/>
      <w:outlineLvl w:val="4"/>
    </w:pPr>
    <w:rPr>
      <w:rFonts w:ascii="宋体" w:hAnsi="Times New Roman" w:eastAsia="宋体"/>
      <w:b/>
      <w:spacing w:val="-2"/>
      <w:position w:val="-6"/>
      <w:sz w:val="28"/>
    </w:rPr>
  </w:style>
  <w:style w:type="paragraph" w:styleId="8">
    <w:name w:val="heading 6"/>
    <w:basedOn w:val="1"/>
    <w:next w:val="7"/>
    <w:link w:val="84"/>
    <w:autoRedefine/>
    <w:qFormat/>
    <w:uiPriority w:val="0"/>
    <w:pPr>
      <w:keepNext/>
      <w:keepLines/>
      <w:tabs>
        <w:tab w:val="left" w:pos="1152"/>
      </w:tabs>
      <w:spacing w:before="240" w:after="64" w:line="320" w:lineRule="auto"/>
      <w:ind w:left="1152" w:hanging="1152"/>
      <w:outlineLvl w:val="5"/>
    </w:pPr>
    <w:rPr>
      <w:rFonts w:ascii="Arial" w:hAnsi="Arial" w:eastAsia="黑体"/>
      <w:b/>
      <w:spacing w:val="-2"/>
      <w:position w:val="-6"/>
      <w:sz w:val="24"/>
    </w:rPr>
  </w:style>
  <w:style w:type="paragraph" w:styleId="9">
    <w:name w:val="heading 7"/>
    <w:basedOn w:val="1"/>
    <w:next w:val="7"/>
    <w:link w:val="85"/>
    <w:qFormat/>
    <w:uiPriority w:val="0"/>
    <w:pPr>
      <w:keepNext/>
      <w:keepLines/>
      <w:tabs>
        <w:tab w:val="left" w:pos="1296"/>
      </w:tabs>
      <w:spacing w:before="240" w:after="64" w:line="320" w:lineRule="auto"/>
      <w:ind w:left="1296" w:hanging="1296"/>
      <w:outlineLvl w:val="6"/>
    </w:pPr>
    <w:rPr>
      <w:rFonts w:ascii="宋体" w:hAnsi="Times New Roman" w:eastAsia="宋体"/>
      <w:b/>
      <w:spacing w:val="-2"/>
      <w:position w:val="-6"/>
      <w:sz w:val="24"/>
    </w:rPr>
  </w:style>
  <w:style w:type="paragraph" w:styleId="10">
    <w:name w:val="heading 8"/>
    <w:basedOn w:val="1"/>
    <w:next w:val="7"/>
    <w:link w:val="86"/>
    <w:autoRedefine/>
    <w:qFormat/>
    <w:uiPriority w:val="0"/>
    <w:pPr>
      <w:keepNext/>
      <w:keepLines/>
      <w:tabs>
        <w:tab w:val="left" w:pos="1440"/>
      </w:tabs>
      <w:spacing w:before="240" w:after="64" w:line="320" w:lineRule="auto"/>
      <w:ind w:left="1440" w:hanging="1440"/>
      <w:outlineLvl w:val="7"/>
    </w:pPr>
    <w:rPr>
      <w:rFonts w:ascii="Arial" w:hAnsi="Arial" w:eastAsia="黑体"/>
      <w:spacing w:val="-2"/>
      <w:position w:val="-6"/>
      <w:sz w:val="24"/>
    </w:rPr>
  </w:style>
  <w:style w:type="paragraph" w:styleId="11">
    <w:name w:val="heading 9"/>
    <w:basedOn w:val="1"/>
    <w:next w:val="7"/>
    <w:link w:val="87"/>
    <w:qFormat/>
    <w:uiPriority w:val="0"/>
    <w:pPr>
      <w:keepNext/>
      <w:keepLines/>
      <w:tabs>
        <w:tab w:val="left" w:pos="1584"/>
      </w:tabs>
      <w:spacing w:before="240" w:after="64" w:line="320" w:lineRule="auto"/>
      <w:ind w:left="1584" w:hanging="1584"/>
      <w:outlineLvl w:val="8"/>
    </w:pPr>
    <w:rPr>
      <w:rFonts w:ascii="Arial" w:hAnsi="Arial" w:eastAsia="黑体"/>
      <w:spacing w:val="-2"/>
      <w:position w:val="-6"/>
      <w:sz w:val="28"/>
    </w:rPr>
  </w:style>
  <w:style w:type="character" w:default="1" w:styleId="60">
    <w:name w:val="Default Paragraph Font"/>
    <w:autoRedefine/>
    <w:semiHidden/>
    <w:unhideWhenUsed/>
    <w:qFormat/>
    <w:uiPriority w:val="1"/>
  </w:style>
  <w:style w:type="table" w:default="1" w:styleId="58">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82"/>
    <w:autoRedefine/>
    <w:qFormat/>
    <w:uiPriority w:val="0"/>
    <w:pPr>
      <w:adjustRightInd w:val="0"/>
      <w:ind w:firstLine="420"/>
      <w:jc w:val="left"/>
      <w:textAlignment w:val="baseline"/>
    </w:pPr>
    <w:rPr>
      <w:rFonts w:ascii="Times New Roman" w:hAnsi="Times New Roman"/>
      <w:sz w:val="24"/>
    </w:rPr>
  </w:style>
  <w:style w:type="paragraph" w:styleId="12">
    <w:name w:val="toc 7"/>
    <w:basedOn w:val="1"/>
    <w:next w:val="1"/>
    <w:autoRedefine/>
    <w:qFormat/>
    <w:uiPriority w:val="0"/>
    <w:pPr>
      <w:ind w:left="2520"/>
    </w:pPr>
    <w:rPr>
      <w:rFonts w:ascii="Times New Roman" w:hAnsi="Times New Roman" w:eastAsia="宋体"/>
    </w:rPr>
  </w:style>
  <w:style w:type="paragraph" w:styleId="13">
    <w:name w:val="index 8"/>
    <w:basedOn w:val="1"/>
    <w:next w:val="1"/>
    <w:autoRedefine/>
    <w:qFormat/>
    <w:uiPriority w:val="0"/>
    <w:pPr>
      <w:ind w:left="2940"/>
    </w:pPr>
    <w:rPr>
      <w:rFonts w:ascii="Times New Roman" w:hAnsi="Times New Roman" w:eastAsia="宋体"/>
    </w:rPr>
  </w:style>
  <w:style w:type="paragraph" w:styleId="14">
    <w:name w:val="List Number"/>
    <w:basedOn w:val="1"/>
    <w:autoRedefine/>
    <w:qFormat/>
    <w:uiPriority w:val="0"/>
    <w:pPr>
      <w:tabs>
        <w:tab w:val="left" w:pos="0"/>
      </w:tabs>
      <w:ind w:left="704" w:hanging="420"/>
    </w:pPr>
    <w:rPr>
      <w:rFonts w:eastAsia="宋体"/>
      <w:sz w:val="21"/>
      <w:szCs w:val="24"/>
    </w:rPr>
  </w:style>
  <w:style w:type="paragraph" w:styleId="15">
    <w:name w:val="index 5"/>
    <w:basedOn w:val="1"/>
    <w:next w:val="1"/>
    <w:autoRedefine/>
    <w:qFormat/>
    <w:uiPriority w:val="0"/>
    <w:pPr>
      <w:ind w:left="1680"/>
    </w:pPr>
    <w:rPr>
      <w:rFonts w:ascii="Times New Roman" w:hAnsi="Times New Roman" w:eastAsia="宋体"/>
    </w:rPr>
  </w:style>
  <w:style w:type="paragraph" w:styleId="16">
    <w:name w:val="Document Map"/>
    <w:basedOn w:val="1"/>
    <w:link w:val="102"/>
    <w:autoRedefine/>
    <w:qFormat/>
    <w:uiPriority w:val="99"/>
    <w:pPr>
      <w:shd w:val="clear" w:color="auto" w:fill="000080"/>
    </w:pPr>
    <w:rPr>
      <w:rFonts w:eastAsia="宋体"/>
      <w:shd w:val="clear" w:color="auto" w:fill="000080"/>
    </w:rPr>
  </w:style>
  <w:style w:type="paragraph" w:styleId="17">
    <w:name w:val="toa heading"/>
    <w:basedOn w:val="1"/>
    <w:next w:val="1"/>
    <w:autoRedefine/>
    <w:qFormat/>
    <w:uiPriority w:val="0"/>
    <w:pPr>
      <w:adjustRightInd w:val="0"/>
      <w:spacing w:before="200" w:line="360" w:lineRule="atLeast"/>
      <w:jc w:val="center"/>
      <w:textAlignment w:val="baseline"/>
    </w:pPr>
    <w:rPr>
      <w:rFonts w:ascii="Arial" w:hAnsi="Arial" w:eastAsia="黑体"/>
      <w:kern w:val="0"/>
      <w:sz w:val="44"/>
    </w:rPr>
  </w:style>
  <w:style w:type="paragraph" w:styleId="18">
    <w:name w:val="annotation text"/>
    <w:basedOn w:val="1"/>
    <w:link w:val="92"/>
    <w:autoRedefine/>
    <w:qFormat/>
    <w:uiPriority w:val="0"/>
    <w:pPr>
      <w:jc w:val="left"/>
    </w:pPr>
    <w:rPr>
      <w:rFonts w:ascii="Times New Roman" w:hAnsi="Times New Roman"/>
    </w:rPr>
  </w:style>
  <w:style w:type="paragraph" w:styleId="19">
    <w:name w:val="index 6"/>
    <w:basedOn w:val="1"/>
    <w:next w:val="1"/>
    <w:autoRedefine/>
    <w:qFormat/>
    <w:uiPriority w:val="0"/>
    <w:pPr>
      <w:ind w:left="2100"/>
    </w:pPr>
    <w:rPr>
      <w:rFonts w:ascii="Times New Roman" w:hAnsi="Times New Roman" w:eastAsia="宋体"/>
    </w:rPr>
  </w:style>
  <w:style w:type="paragraph" w:styleId="20">
    <w:name w:val="Body Text 3"/>
    <w:basedOn w:val="1"/>
    <w:link w:val="344"/>
    <w:autoRedefine/>
    <w:qFormat/>
    <w:uiPriority w:val="0"/>
    <w:rPr>
      <w:rFonts w:ascii="宋体" w:eastAsia="宋体"/>
      <w:kern w:val="0"/>
      <w:sz w:val="24"/>
    </w:rPr>
  </w:style>
  <w:style w:type="paragraph" w:styleId="21">
    <w:name w:val="Body Text"/>
    <w:basedOn w:val="1"/>
    <w:next w:val="22"/>
    <w:link w:val="77"/>
    <w:autoRedefine/>
    <w:qFormat/>
    <w:uiPriority w:val="0"/>
    <w:pPr>
      <w:spacing w:line="400" w:lineRule="exact"/>
    </w:pPr>
    <w:rPr>
      <w:rFonts w:ascii="楷体_GB2312" w:hAnsi="Times New Roman" w:eastAsia="宋体"/>
      <w:sz w:val="28"/>
    </w:rPr>
  </w:style>
  <w:style w:type="paragraph" w:customStyle="1" w:styleId="22">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23">
    <w:name w:val="Body Text Indent"/>
    <w:basedOn w:val="1"/>
    <w:next w:val="1"/>
    <w:link w:val="95"/>
    <w:autoRedefine/>
    <w:qFormat/>
    <w:uiPriority w:val="0"/>
    <w:pPr>
      <w:spacing w:line="520" w:lineRule="exact"/>
      <w:ind w:left="570"/>
    </w:pPr>
    <w:rPr>
      <w:rFonts w:ascii="方正仿宋简体" w:hAnsi="创艺简仿宋" w:eastAsia="方正仿宋简体"/>
      <w:sz w:val="24"/>
    </w:rPr>
  </w:style>
  <w:style w:type="paragraph" w:styleId="24">
    <w:name w:val="List 2"/>
    <w:basedOn w:val="1"/>
    <w:autoRedefine/>
    <w:qFormat/>
    <w:uiPriority w:val="0"/>
    <w:pPr>
      <w:ind w:left="840" w:hanging="420"/>
    </w:pPr>
    <w:rPr>
      <w:rFonts w:ascii="宋体" w:hAnsi="Times New Roman" w:eastAsia="宋体"/>
      <w:color w:val="000000"/>
      <w:sz w:val="22"/>
    </w:rPr>
  </w:style>
  <w:style w:type="paragraph" w:styleId="25">
    <w:name w:val="index 4"/>
    <w:basedOn w:val="1"/>
    <w:next w:val="1"/>
    <w:autoRedefine/>
    <w:qFormat/>
    <w:uiPriority w:val="0"/>
    <w:pPr>
      <w:ind w:left="1260"/>
    </w:pPr>
    <w:rPr>
      <w:rFonts w:ascii="Times New Roman" w:hAnsi="Times New Roman" w:eastAsia="宋体"/>
    </w:rPr>
  </w:style>
  <w:style w:type="paragraph" w:styleId="26">
    <w:name w:val="toc 5"/>
    <w:basedOn w:val="1"/>
    <w:next w:val="1"/>
    <w:autoRedefine/>
    <w:qFormat/>
    <w:uiPriority w:val="0"/>
    <w:pPr>
      <w:ind w:left="1680"/>
    </w:pPr>
    <w:rPr>
      <w:rFonts w:ascii="Times New Roman" w:hAnsi="Times New Roman" w:eastAsia="宋体"/>
    </w:rPr>
  </w:style>
  <w:style w:type="paragraph" w:styleId="27">
    <w:name w:val="toc 3"/>
    <w:basedOn w:val="1"/>
    <w:next w:val="1"/>
    <w:autoRedefine/>
    <w:qFormat/>
    <w:uiPriority w:val="39"/>
    <w:pPr>
      <w:ind w:left="840"/>
    </w:pPr>
    <w:rPr>
      <w:rFonts w:ascii="Times New Roman" w:hAnsi="Times New Roman" w:eastAsia="宋体"/>
    </w:rPr>
  </w:style>
  <w:style w:type="paragraph" w:styleId="28">
    <w:name w:val="Plain Text"/>
    <w:basedOn w:val="1"/>
    <w:link w:val="126"/>
    <w:autoRedefine/>
    <w:qFormat/>
    <w:uiPriority w:val="0"/>
    <w:rPr>
      <w:rFonts w:ascii="宋体" w:hAnsi="Courier New"/>
    </w:rPr>
  </w:style>
  <w:style w:type="paragraph" w:styleId="29">
    <w:name w:val="toc 8"/>
    <w:basedOn w:val="1"/>
    <w:next w:val="1"/>
    <w:autoRedefine/>
    <w:qFormat/>
    <w:uiPriority w:val="0"/>
    <w:pPr>
      <w:ind w:left="2940"/>
    </w:pPr>
    <w:rPr>
      <w:rFonts w:ascii="Times New Roman" w:hAnsi="Times New Roman" w:eastAsia="宋体"/>
    </w:rPr>
  </w:style>
  <w:style w:type="paragraph" w:styleId="30">
    <w:name w:val="index 3"/>
    <w:basedOn w:val="1"/>
    <w:next w:val="1"/>
    <w:autoRedefine/>
    <w:qFormat/>
    <w:uiPriority w:val="0"/>
    <w:pPr>
      <w:ind w:left="840"/>
    </w:pPr>
    <w:rPr>
      <w:rFonts w:ascii="Times New Roman" w:hAnsi="Times New Roman" w:eastAsia="宋体"/>
    </w:rPr>
  </w:style>
  <w:style w:type="paragraph" w:styleId="31">
    <w:name w:val="Date"/>
    <w:basedOn w:val="1"/>
    <w:next w:val="1"/>
    <w:link w:val="137"/>
    <w:autoRedefine/>
    <w:qFormat/>
    <w:uiPriority w:val="0"/>
    <w:rPr>
      <w:rFonts w:ascii="宋体" w:hAnsi="宋体" w:eastAsia="宋体"/>
      <w:sz w:val="24"/>
    </w:rPr>
  </w:style>
  <w:style w:type="paragraph" w:styleId="32">
    <w:name w:val="Body Text Indent 2"/>
    <w:basedOn w:val="1"/>
    <w:link w:val="97"/>
    <w:autoRedefine/>
    <w:qFormat/>
    <w:uiPriority w:val="0"/>
    <w:pPr>
      <w:tabs>
        <w:tab w:val="left" w:pos="0"/>
      </w:tabs>
      <w:spacing w:line="360" w:lineRule="auto"/>
      <w:ind w:firstLine="502" w:firstLineChars="209"/>
    </w:pPr>
    <w:rPr>
      <w:rFonts w:ascii="宋体" w:eastAsia="宋体"/>
      <w:b/>
      <w:bCs/>
      <w:sz w:val="24"/>
    </w:rPr>
  </w:style>
  <w:style w:type="paragraph" w:styleId="33">
    <w:name w:val="Balloon Text"/>
    <w:basedOn w:val="1"/>
    <w:link w:val="167"/>
    <w:autoRedefine/>
    <w:qFormat/>
    <w:uiPriority w:val="0"/>
    <w:rPr>
      <w:rFonts w:ascii="Times New Roman" w:hAnsi="Times New Roman" w:eastAsia="宋体"/>
      <w:sz w:val="18"/>
      <w:szCs w:val="18"/>
    </w:rPr>
  </w:style>
  <w:style w:type="paragraph" w:styleId="34">
    <w:name w:val="footer"/>
    <w:basedOn w:val="1"/>
    <w:link w:val="104"/>
    <w:autoRedefine/>
    <w:qFormat/>
    <w:uiPriority w:val="99"/>
    <w:pPr>
      <w:tabs>
        <w:tab w:val="center" w:pos="4153"/>
        <w:tab w:val="right" w:pos="8306"/>
      </w:tabs>
      <w:snapToGrid w:val="0"/>
      <w:jc w:val="left"/>
    </w:pPr>
    <w:rPr>
      <w:rFonts w:ascii="Times New Roman" w:hAnsi="Times New Roman"/>
      <w:sz w:val="18"/>
    </w:rPr>
  </w:style>
  <w:style w:type="paragraph" w:styleId="35">
    <w:name w:val="envelope return"/>
    <w:basedOn w:val="1"/>
    <w:autoRedefine/>
    <w:unhideWhenUsed/>
    <w:qFormat/>
    <w:uiPriority w:val="99"/>
    <w:pPr>
      <w:snapToGrid w:val="0"/>
    </w:pPr>
    <w:rPr>
      <w:rFonts w:ascii="Arial" w:hAnsi="Arial"/>
    </w:rPr>
  </w:style>
  <w:style w:type="paragraph" w:styleId="36">
    <w:name w:val="header"/>
    <w:basedOn w:val="1"/>
    <w:link w:val="89"/>
    <w:autoRedefine/>
    <w:qFormat/>
    <w:uiPriority w:val="99"/>
    <w:pPr>
      <w:pBdr>
        <w:bottom w:val="single" w:color="auto" w:sz="6" w:space="1"/>
      </w:pBdr>
      <w:tabs>
        <w:tab w:val="center" w:pos="4153"/>
        <w:tab w:val="right" w:pos="8306"/>
      </w:tabs>
      <w:snapToGrid w:val="0"/>
      <w:jc w:val="center"/>
    </w:pPr>
    <w:rPr>
      <w:rFonts w:ascii="Times New Roman" w:hAnsi="Times New Roman"/>
      <w:sz w:val="18"/>
    </w:rPr>
  </w:style>
  <w:style w:type="paragraph" w:styleId="37">
    <w:name w:val="toc 1"/>
    <w:basedOn w:val="1"/>
    <w:next w:val="1"/>
    <w:autoRedefine/>
    <w:qFormat/>
    <w:uiPriority w:val="0"/>
    <w:pPr>
      <w:adjustRightInd w:val="0"/>
      <w:jc w:val="left"/>
      <w:textAlignment w:val="baseline"/>
    </w:pPr>
    <w:rPr>
      <w:rFonts w:ascii="Times New Roman" w:hAnsi="Times New Roman" w:eastAsia="宋体"/>
      <w:sz w:val="24"/>
    </w:rPr>
  </w:style>
  <w:style w:type="paragraph" w:styleId="38">
    <w:name w:val="toc 4"/>
    <w:basedOn w:val="1"/>
    <w:next w:val="1"/>
    <w:autoRedefine/>
    <w:qFormat/>
    <w:uiPriority w:val="0"/>
    <w:pPr>
      <w:ind w:left="1260"/>
    </w:pPr>
    <w:rPr>
      <w:rFonts w:ascii="Times New Roman" w:hAnsi="Times New Roman" w:eastAsia="宋体"/>
    </w:rPr>
  </w:style>
  <w:style w:type="paragraph" w:styleId="39">
    <w:name w:val="index heading"/>
    <w:basedOn w:val="1"/>
    <w:next w:val="40"/>
    <w:autoRedefine/>
    <w:qFormat/>
    <w:uiPriority w:val="0"/>
    <w:rPr>
      <w:rFonts w:ascii="Times New Roman" w:hAnsi="Times New Roman" w:eastAsia="宋体"/>
    </w:rPr>
  </w:style>
  <w:style w:type="paragraph" w:styleId="40">
    <w:name w:val="index 1"/>
    <w:basedOn w:val="1"/>
    <w:next w:val="1"/>
    <w:autoRedefine/>
    <w:qFormat/>
    <w:uiPriority w:val="0"/>
    <w:rPr>
      <w:rFonts w:ascii="Times New Roman" w:hAnsi="Times New Roman" w:eastAsia="宋体"/>
    </w:rPr>
  </w:style>
  <w:style w:type="paragraph" w:styleId="41">
    <w:name w:val="Subtitle"/>
    <w:basedOn w:val="1"/>
    <w:next w:val="1"/>
    <w:link w:val="343"/>
    <w:autoRedefine/>
    <w:qFormat/>
    <w:uiPriority w:val="0"/>
    <w:pPr>
      <w:spacing w:before="240" w:after="60" w:line="312" w:lineRule="auto"/>
      <w:jc w:val="center"/>
      <w:outlineLvl w:val="1"/>
    </w:pPr>
    <w:rPr>
      <w:rFonts w:ascii="Cambria" w:hAnsi="Cambria" w:eastAsia="宋体"/>
      <w:b/>
      <w:bCs/>
      <w:kern w:val="28"/>
      <w:sz w:val="32"/>
      <w:szCs w:val="32"/>
    </w:rPr>
  </w:style>
  <w:style w:type="paragraph" w:styleId="42">
    <w:name w:val="List"/>
    <w:basedOn w:val="1"/>
    <w:autoRedefine/>
    <w:qFormat/>
    <w:uiPriority w:val="0"/>
    <w:pPr>
      <w:spacing w:before="120" w:after="120"/>
      <w:ind w:left="420" w:hanging="420"/>
    </w:pPr>
    <w:rPr>
      <w:rFonts w:eastAsia="宋体"/>
      <w:sz w:val="24"/>
    </w:rPr>
  </w:style>
  <w:style w:type="paragraph" w:styleId="43">
    <w:name w:val="footnote text"/>
    <w:basedOn w:val="1"/>
    <w:link w:val="160"/>
    <w:autoRedefine/>
    <w:qFormat/>
    <w:uiPriority w:val="0"/>
    <w:pPr>
      <w:snapToGrid w:val="0"/>
      <w:jc w:val="left"/>
    </w:pPr>
    <w:rPr>
      <w:rFonts w:ascii="Times New Roman" w:hAnsi="Times New Roman" w:eastAsia="宋体"/>
      <w:sz w:val="18"/>
    </w:rPr>
  </w:style>
  <w:style w:type="paragraph" w:styleId="44">
    <w:name w:val="toc 6"/>
    <w:basedOn w:val="1"/>
    <w:next w:val="1"/>
    <w:autoRedefine/>
    <w:qFormat/>
    <w:uiPriority w:val="0"/>
    <w:pPr>
      <w:ind w:left="2100"/>
    </w:pPr>
    <w:rPr>
      <w:rFonts w:ascii="Times New Roman" w:hAnsi="Times New Roman" w:eastAsia="宋体"/>
    </w:rPr>
  </w:style>
  <w:style w:type="paragraph" w:styleId="45">
    <w:name w:val="Body Text Indent 3"/>
    <w:basedOn w:val="1"/>
    <w:link w:val="192"/>
    <w:autoRedefine/>
    <w:qFormat/>
    <w:uiPriority w:val="0"/>
    <w:pPr>
      <w:spacing w:line="360" w:lineRule="auto"/>
      <w:ind w:firstLine="617" w:firstLineChars="257"/>
    </w:pPr>
    <w:rPr>
      <w:rFonts w:ascii="Times New Roman" w:hAnsi="Times New Roman" w:eastAsia="宋体"/>
      <w:sz w:val="24"/>
      <w:szCs w:val="24"/>
    </w:rPr>
  </w:style>
  <w:style w:type="paragraph" w:styleId="46">
    <w:name w:val="index 7"/>
    <w:basedOn w:val="1"/>
    <w:next w:val="1"/>
    <w:autoRedefine/>
    <w:qFormat/>
    <w:uiPriority w:val="0"/>
    <w:pPr>
      <w:ind w:left="2520"/>
    </w:pPr>
    <w:rPr>
      <w:rFonts w:ascii="Times New Roman" w:hAnsi="Times New Roman" w:eastAsia="宋体"/>
    </w:rPr>
  </w:style>
  <w:style w:type="paragraph" w:styleId="47">
    <w:name w:val="index 9"/>
    <w:basedOn w:val="1"/>
    <w:next w:val="1"/>
    <w:autoRedefine/>
    <w:qFormat/>
    <w:uiPriority w:val="0"/>
    <w:pPr>
      <w:ind w:left="3360"/>
    </w:pPr>
    <w:rPr>
      <w:rFonts w:ascii="Times New Roman" w:hAnsi="Times New Roman" w:eastAsia="宋体"/>
    </w:rPr>
  </w:style>
  <w:style w:type="paragraph" w:styleId="48">
    <w:name w:val="table of figures"/>
    <w:basedOn w:val="1"/>
    <w:next w:val="1"/>
    <w:autoRedefine/>
    <w:qFormat/>
    <w:uiPriority w:val="0"/>
    <w:pPr>
      <w:adjustRightInd w:val="0"/>
      <w:ind w:left="420" w:hanging="420"/>
      <w:jc w:val="left"/>
      <w:textAlignment w:val="baseline"/>
    </w:pPr>
    <w:rPr>
      <w:rFonts w:ascii="Times New Roman" w:hAnsi="Times New Roman" w:eastAsia="宋体"/>
      <w:smallCaps/>
      <w:sz w:val="24"/>
    </w:rPr>
  </w:style>
  <w:style w:type="paragraph" w:styleId="49">
    <w:name w:val="toc 2"/>
    <w:basedOn w:val="1"/>
    <w:next w:val="1"/>
    <w:autoRedefine/>
    <w:qFormat/>
    <w:uiPriority w:val="0"/>
    <w:pPr>
      <w:ind w:left="420"/>
    </w:pPr>
    <w:rPr>
      <w:rFonts w:ascii="Times New Roman" w:hAnsi="Times New Roman" w:eastAsia="宋体"/>
    </w:rPr>
  </w:style>
  <w:style w:type="paragraph" w:styleId="50">
    <w:name w:val="toc 9"/>
    <w:basedOn w:val="1"/>
    <w:next w:val="1"/>
    <w:autoRedefine/>
    <w:qFormat/>
    <w:uiPriority w:val="0"/>
    <w:pPr>
      <w:ind w:left="3360"/>
    </w:pPr>
    <w:rPr>
      <w:rFonts w:ascii="Times New Roman" w:hAnsi="Times New Roman" w:eastAsia="宋体"/>
    </w:rPr>
  </w:style>
  <w:style w:type="paragraph" w:styleId="51">
    <w:name w:val="List Continue 2"/>
    <w:basedOn w:val="1"/>
    <w:autoRedefine/>
    <w:qFormat/>
    <w:uiPriority w:val="0"/>
    <w:pPr>
      <w:spacing w:after="120"/>
      <w:ind w:left="840"/>
    </w:pPr>
    <w:rPr>
      <w:rFonts w:ascii="Times New Roman" w:hAnsi="Times New Roman" w:eastAsia="宋体"/>
      <w:sz w:val="21"/>
      <w:szCs w:val="24"/>
    </w:rPr>
  </w:style>
  <w:style w:type="paragraph" w:styleId="5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53">
    <w:name w:val="Normal (Web)"/>
    <w:basedOn w:val="1"/>
    <w:link w:val="121"/>
    <w:autoRedefine/>
    <w:qFormat/>
    <w:uiPriority w:val="0"/>
    <w:pPr>
      <w:widowControl/>
      <w:spacing w:before="100" w:beforeAutospacing="1" w:after="100" w:afterAutospacing="1"/>
      <w:jc w:val="left"/>
    </w:pPr>
    <w:rPr>
      <w:rFonts w:eastAsia="宋体"/>
      <w:kern w:val="0"/>
      <w:sz w:val="24"/>
      <w:szCs w:val="24"/>
    </w:rPr>
  </w:style>
  <w:style w:type="paragraph" w:styleId="54">
    <w:name w:val="index 2"/>
    <w:basedOn w:val="1"/>
    <w:next w:val="1"/>
    <w:autoRedefine/>
    <w:qFormat/>
    <w:uiPriority w:val="0"/>
    <w:pPr>
      <w:ind w:left="420"/>
    </w:pPr>
    <w:rPr>
      <w:rFonts w:ascii="Times New Roman" w:hAnsi="Times New Roman" w:eastAsia="宋体"/>
    </w:rPr>
  </w:style>
  <w:style w:type="paragraph" w:styleId="55">
    <w:name w:val="Title"/>
    <w:basedOn w:val="1"/>
    <w:next w:val="1"/>
    <w:link w:val="103"/>
    <w:autoRedefine/>
    <w:qFormat/>
    <w:uiPriority w:val="0"/>
    <w:pPr>
      <w:spacing w:before="240" w:after="60"/>
      <w:jc w:val="center"/>
      <w:outlineLvl w:val="0"/>
    </w:pPr>
    <w:rPr>
      <w:rFonts w:ascii="Cambria" w:hAnsi="Cambria" w:eastAsia="宋体"/>
      <w:b/>
      <w:bCs/>
      <w:sz w:val="32"/>
      <w:szCs w:val="32"/>
    </w:rPr>
  </w:style>
  <w:style w:type="paragraph" w:styleId="56">
    <w:name w:val="annotation subject"/>
    <w:basedOn w:val="18"/>
    <w:next w:val="18"/>
    <w:link w:val="91"/>
    <w:autoRedefine/>
    <w:qFormat/>
    <w:uiPriority w:val="0"/>
    <w:rPr>
      <w:rFonts w:ascii="Calibri" w:hAnsi="Calibri" w:eastAsia="宋体"/>
      <w:b/>
      <w:bCs/>
    </w:rPr>
  </w:style>
  <w:style w:type="paragraph" w:styleId="57">
    <w:name w:val="Body Text First Indent 2"/>
    <w:basedOn w:val="23"/>
    <w:autoRedefine/>
    <w:unhideWhenUsed/>
    <w:qFormat/>
    <w:uiPriority w:val="99"/>
    <w:pPr>
      <w:ind w:firstLine="420" w:firstLineChars="200"/>
    </w:pPr>
  </w:style>
  <w:style w:type="table" w:styleId="59">
    <w:name w:val="Table Grid"/>
    <w:basedOn w:val="5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basedOn w:val="60"/>
    <w:autoRedefine/>
    <w:qFormat/>
    <w:uiPriority w:val="0"/>
    <w:rPr>
      <w:rFonts w:ascii="Times New Roman" w:hAnsi="Times New Roman" w:eastAsia="宋体" w:cs="Times New Roman"/>
      <w:b/>
    </w:rPr>
  </w:style>
  <w:style w:type="character" w:styleId="62">
    <w:name w:val="page number"/>
    <w:autoRedefine/>
    <w:qFormat/>
    <w:uiPriority w:val="0"/>
    <w:rPr>
      <w:rFonts w:ascii="Times New Roman" w:hAnsi="Times New Roman" w:eastAsia="宋体" w:cs="Times New Roman"/>
    </w:rPr>
  </w:style>
  <w:style w:type="character" w:styleId="63">
    <w:name w:val="FollowedHyperlink"/>
    <w:autoRedefine/>
    <w:qFormat/>
    <w:uiPriority w:val="0"/>
    <w:rPr>
      <w:rFonts w:ascii="Times New Roman" w:hAnsi="Times New Roman" w:eastAsia="宋体" w:cs="Times New Roman"/>
      <w:color w:val="954F72"/>
      <w:u w:val="single"/>
    </w:rPr>
  </w:style>
  <w:style w:type="character" w:styleId="64">
    <w:name w:val="Emphasis"/>
    <w:autoRedefine/>
    <w:qFormat/>
    <w:uiPriority w:val="0"/>
    <w:rPr>
      <w:rFonts w:ascii="Times New Roman" w:hAnsi="Times New Roman" w:eastAsia="宋体" w:cs="Times New Roman"/>
      <w:i/>
      <w:iCs/>
    </w:rPr>
  </w:style>
  <w:style w:type="character" w:styleId="65">
    <w:name w:val="line number"/>
    <w:autoRedefine/>
    <w:qFormat/>
    <w:uiPriority w:val="0"/>
    <w:rPr>
      <w:rFonts w:ascii="Times New Roman" w:hAnsi="Times New Roman" w:eastAsia="宋体" w:cs="Times New Roman"/>
    </w:rPr>
  </w:style>
  <w:style w:type="character" w:styleId="66">
    <w:name w:val="HTML Definition"/>
    <w:autoRedefine/>
    <w:qFormat/>
    <w:uiPriority w:val="0"/>
    <w:rPr>
      <w:rFonts w:ascii="Times New Roman" w:hAnsi="Times New Roman" w:eastAsia="宋体" w:cs="Times New Roman"/>
      <w:i/>
    </w:rPr>
  </w:style>
  <w:style w:type="character" w:styleId="67">
    <w:name w:val="HTML Typewriter"/>
    <w:basedOn w:val="60"/>
    <w:autoRedefine/>
    <w:semiHidden/>
    <w:unhideWhenUsed/>
    <w:qFormat/>
    <w:uiPriority w:val="99"/>
    <w:rPr>
      <w:rFonts w:hint="default" w:ascii="monospace" w:hAnsi="monospace" w:eastAsia="monospace" w:cs="monospace"/>
      <w:sz w:val="20"/>
    </w:rPr>
  </w:style>
  <w:style w:type="character" w:styleId="68">
    <w:name w:val="HTML Acronym"/>
    <w:basedOn w:val="60"/>
    <w:autoRedefine/>
    <w:semiHidden/>
    <w:unhideWhenUsed/>
    <w:qFormat/>
    <w:uiPriority w:val="99"/>
  </w:style>
  <w:style w:type="character" w:styleId="69">
    <w:name w:val="HTML Variable"/>
    <w:basedOn w:val="60"/>
    <w:autoRedefine/>
    <w:semiHidden/>
    <w:unhideWhenUsed/>
    <w:qFormat/>
    <w:uiPriority w:val="99"/>
  </w:style>
  <w:style w:type="character" w:styleId="70">
    <w:name w:val="Hyperlink"/>
    <w:autoRedefine/>
    <w:qFormat/>
    <w:uiPriority w:val="0"/>
    <w:rPr>
      <w:rFonts w:ascii="Times New Roman" w:hAnsi="Times New Roman" w:eastAsia="宋体" w:cs="Times New Roman"/>
      <w:color w:val="0000FF"/>
      <w:u w:val="single"/>
    </w:rPr>
  </w:style>
  <w:style w:type="character" w:styleId="71">
    <w:name w:val="HTML Code"/>
    <w:autoRedefine/>
    <w:qFormat/>
    <w:uiPriority w:val="0"/>
    <w:rPr>
      <w:rFonts w:hint="default" w:ascii="Menlo" w:hAnsi="Menlo" w:eastAsia="Menlo" w:cs="Menlo"/>
      <w:color w:val="C7254E"/>
      <w:sz w:val="21"/>
      <w:szCs w:val="21"/>
      <w:shd w:val="clear" w:color="auto" w:fill="F9F2F4"/>
    </w:rPr>
  </w:style>
  <w:style w:type="character" w:styleId="72">
    <w:name w:val="annotation reference"/>
    <w:autoRedefine/>
    <w:qFormat/>
    <w:uiPriority w:val="0"/>
    <w:rPr>
      <w:rFonts w:ascii="Times New Roman" w:hAnsi="Times New Roman" w:eastAsia="宋体" w:cs="Times New Roman"/>
      <w:sz w:val="21"/>
      <w:szCs w:val="21"/>
    </w:rPr>
  </w:style>
  <w:style w:type="character" w:styleId="73">
    <w:name w:val="HTML Cite"/>
    <w:autoRedefine/>
    <w:qFormat/>
    <w:uiPriority w:val="0"/>
    <w:rPr>
      <w:rFonts w:ascii="Times New Roman" w:hAnsi="Times New Roman" w:eastAsia="宋体" w:cs="Times New Roman"/>
    </w:rPr>
  </w:style>
  <w:style w:type="character" w:styleId="74">
    <w:name w:val="footnote reference"/>
    <w:autoRedefine/>
    <w:qFormat/>
    <w:uiPriority w:val="0"/>
    <w:rPr>
      <w:rFonts w:ascii="Times New Roman" w:hAnsi="Times New Roman" w:eastAsia="宋体" w:cs="Times New Roman"/>
      <w:vertAlign w:val="superscript"/>
    </w:rPr>
  </w:style>
  <w:style w:type="character" w:styleId="75">
    <w:name w:val="HTML Keyboard"/>
    <w:autoRedefine/>
    <w:qFormat/>
    <w:uiPriority w:val="0"/>
    <w:rPr>
      <w:rFonts w:hint="default" w:ascii="Menlo" w:hAnsi="Menlo" w:eastAsia="Menlo" w:cs="Menlo"/>
      <w:sz w:val="21"/>
      <w:szCs w:val="21"/>
    </w:rPr>
  </w:style>
  <w:style w:type="character" w:styleId="76">
    <w:name w:val="HTML Sample"/>
    <w:autoRedefine/>
    <w:qFormat/>
    <w:uiPriority w:val="0"/>
    <w:rPr>
      <w:rFonts w:ascii="Menlo" w:hAnsi="Menlo" w:eastAsia="Menlo" w:cs="Menlo"/>
      <w:sz w:val="21"/>
      <w:szCs w:val="21"/>
    </w:rPr>
  </w:style>
  <w:style w:type="character" w:customStyle="1" w:styleId="77">
    <w:name w:val="正文文本 字符"/>
    <w:link w:val="21"/>
    <w:autoRedefine/>
    <w:qFormat/>
    <w:uiPriority w:val="0"/>
    <w:rPr>
      <w:rFonts w:ascii="楷体_GB2312" w:hAnsi="Times New Roman"/>
      <w:kern w:val="2"/>
      <w:sz w:val="28"/>
    </w:rPr>
  </w:style>
  <w:style w:type="character" w:customStyle="1" w:styleId="78">
    <w:name w:val="标题 1 字符"/>
    <w:link w:val="2"/>
    <w:autoRedefine/>
    <w:qFormat/>
    <w:uiPriority w:val="0"/>
    <w:rPr>
      <w:rFonts w:ascii="Times New Roman" w:hAnsi="Times New Roman" w:eastAsia="楷体_GB2312" w:cs="Times New Roman"/>
      <w:b/>
      <w:kern w:val="44"/>
      <w:sz w:val="44"/>
    </w:rPr>
  </w:style>
  <w:style w:type="character" w:customStyle="1" w:styleId="79">
    <w:name w:val="标题 2 字符"/>
    <w:link w:val="3"/>
    <w:autoRedefine/>
    <w:qFormat/>
    <w:uiPriority w:val="0"/>
    <w:rPr>
      <w:rFonts w:ascii="宋体" w:hAnsi="宋体" w:eastAsia="楷体_GB2312" w:cs="Times New Roman"/>
      <w:b/>
      <w:kern w:val="2"/>
      <w:sz w:val="26"/>
      <w:lang w:val="en-US" w:eastAsia="zh-CN" w:bidi="ar-SA"/>
    </w:rPr>
  </w:style>
  <w:style w:type="character" w:customStyle="1" w:styleId="80">
    <w:name w:val="标题 3 字符"/>
    <w:link w:val="4"/>
    <w:autoRedefine/>
    <w:qFormat/>
    <w:uiPriority w:val="0"/>
    <w:rPr>
      <w:rFonts w:ascii="Times New Roman" w:hAnsi="Times New Roman" w:eastAsia="楷体_GB2312" w:cs="Times New Roman"/>
      <w:b/>
      <w:kern w:val="2"/>
      <w:sz w:val="26"/>
    </w:rPr>
  </w:style>
  <w:style w:type="character" w:customStyle="1" w:styleId="81">
    <w:name w:val="标题 4 字符"/>
    <w:link w:val="5"/>
    <w:autoRedefine/>
    <w:qFormat/>
    <w:uiPriority w:val="0"/>
    <w:rPr>
      <w:rFonts w:ascii="Arial" w:hAnsi="Arial" w:eastAsia="黑体" w:cs="Times New Roman"/>
      <w:b/>
      <w:bCs/>
      <w:kern w:val="2"/>
      <w:sz w:val="28"/>
      <w:szCs w:val="28"/>
    </w:rPr>
  </w:style>
  <w:style w:type="character" w:customStyle="1" w:styleId="82">
    <w:name w:val="正文缩进 字符"/>
    <w:link w:val="7"/>
    <w:autoRedefine/>
    <w:qFormat/>
    <w:uiPriority w:val="0"/>
    <w:rPr>
      <w:rFonts w:ascii="Times New Roman" w:hAnsi="Times New Roman" w:eastAsia="楷体_GB2312" w:cs="Times New Roman"/>
      <w:kern w:val="2"/>
      <w:sz w:val="24"/>
      <w:lang w:val="en-US" w:eastAsia="zh-CN" w:bidi="ar-SA"/>
    </w:rPr>
  </w:style>
  <w:style w:type="character" w:customStyle="1" w:styleId="83">
    <w:name w:val="标题 5 字符"/>
    <w:link w:val="6"/>
    <w:autoRedefine/>
    <w:qFormat/>
    <w:uiPriority w:val="0"/>
    <w:rPr>
      <w:rFonts w:ascii="宋体" w:hAnsi="Times New Roman"/>
      <w:b/>
      <w:spacing w:val="-2"/>
      <w:kern w:val="2"/>
      <w:position w:val="-6"/>
      <w:sz w:val="28"/>
    </w:rPr>
  </w:style>
  <w:style w:type="character" w:customStyle="1" w:styleId="84">
    <w:name w:val="标题 6 字符"/>
    <w:link w:val="8"/>
    <w:autoRedefine/>
    <w:qFormat/>
    <w:uiPriority w:val="0"/>
    <w:rPr>
      <w:rFonts w:ascii="Arial" w:hAnsi="Arial" w:eastAsia="黑体"/>
      <w:b/>
      <w:spacing w:val="-2"/>
      <w:kern w:val="2"/>
      <w:position w:val="-6"/>
      <w:sz w:val="24"/>
    </w:rPr>
  </w:style>
  <w:style w:type="character" w:customStyle="1" w:styleId="85">
    <w:name w:val="标题 7 字符"/>
    <w:link w:val="9"/>
    <w:autoRedefine/>
    <w:qFormat/>
    <w:uiPriority w:val="0"/>
    <w:rPr>
      <w:rFonts w:ascii="宋体" w:hAnsi="Times New Roman"/>
      <w:b/>
      <w:spacing w:val="-2"/>
      <w:kern w:val="2"/>
      <w:position w:val="-6"/>
      <w:sz w:val="24"/>
    </w:rPr>
  </w:style>
  <w:style w:type="character" w:customStyle="1" w:styleId="86">
    <w:name w:val="标题 8 字符"/>
    <w:link w:val="10"/>
    <w:autoRedefine/>
    <w:qFormat/>
    <w:uiPriority w:val="0"/>
    <w:rPr>
      <w:rFonts w:ascii="Arial" w:hAnsi="Arial" w:eastAsia="黑体"/>
      <w:spacing w:val="-2"/>
      <w:kern w:val="2"/>
      <w:position w:val="-6"/>
      <w:sz w:val="24"/>
    </w:rPr>
  </w:style>
  <w:style w:type="character" w:customStyle="1" w:styleId="87">
    <w:name w:val="标题 9 字符"/>
    <w:link w:val="11"/>
    <w:autoRedefine/>
    <w:qFormat/>
    <w:uiPriority w:val="0"/>
    <w:rPr>
      <w:rFonts w:ascii="Arial" w:hAnsi="Arial" w:eastAsia="黑体"/>
      <w:spacing w:val="-2"/>
      <w:kern w:val="2"/>
      <w:position w:val="-6"/>
      <w:sz w:val="28"/>
    </w:rPr>
  </w:style>
  <w:style w:type="character" w:customStyle="1" w:styleId="88">
    <w:name w:val="hilite6"/>
    <w:autoRedefine/>
    <w:qFormat/>
    <w:uiPriority w:val="0"/>
    <w:rPr>
      <w:rFonts w:ascii="Times New Roman" w:hAnsi="Times New Roman" w:eastAsia="宋体" w:cs="Times New Roman"/>
      <w:color w:val="FFFFFF"/>
      <w:shd w:val="clear" w:color="auto" w:fill="776666"/>
    </w:rPr>
  </w:style>
  <w:style w:type="character" w:customStyle="1" w:styleId="89">
    <w:name w:val="页眉 字符"/>
    <w:link w:val="36"/>
    <w:autoRedefine/>
    <w:qFormat/>
    <w:uiPriority w:val="99"/>
    <w:rPr>
      <w:rFonts w:ascii="Times New Roman" w:hAnsi="Times New Roman" w:eastAsia="楷体_GB2312" w:cs="Times New Roman"/>
      <w:kern w:val="2"/>
      <w:sz w:val="18"/>
    </w:rPr>
  </w:style>
  <w:style w:type="character" w:customStyle="1" w:styleId="90">
    <w:name w:val="hilite"/>
    <w:autoRedefine/>
    <w:qFormat/>
    <w:uiPriority w:val="0"/>
    <w:rPr>
      <w:rFonts w:ascii="Times New Roman" w:hAnsi="Times New Roman" w:eastAsia="宋体" w:cs="Times New Roman"/>
      <w:color w:val="FFFFFF"/>
      <w:shd w:val="clear" w:color="auto" w:fill="776666"/>
    </w:rPr>
  </w:style>
  <w:style w:type="character" w:customStyle="1" w:styleId="91">
    <w:name w:val="批注主题 字符"/>
    <w:link w:val="56"/>
    <w:autoRedefine/>
    <w:qFormat/>
    <w:uiPriority w:val="0"/>
    <w:rPr>
      <w:b/>
      <w:bCs/>
      <w:kern w:val="2"/>
      <w:sz w:val="26"/>
    </w:rPr>
  </w:style>
  <w:style w:type="character" w:customStyle="1" w:styleId="92">
    <w:name w:val="批注文字 字符"/>
    <w:link w:val="18"/>
    <w:autoRedefine/>
    <w:qFormat/>
    <w:uiPriority w:val="0"/>
    <w:rPr>
      <w:rFonts w:ascii="Times New Roman" w:hAnsi="Times New Roman" w:eastAsia="楷体_GB2312" w:cs="Times New Roman"/>
      <w:kern w:val="2"/>
      <w:sz w:val="26"/>
    </w:rPr>
  </w:style>
  <w:style w:type="character" w:customStyle="1" w:styleId="93">
    <w:name w:val="state"/>
    <w:autoRedefine/>
    <w:qFormat/>
    <w:uiPriority w:val="0"/>
    <w:rPr>
      <w:rFonts w:ascii="Times New Roman" w:hAnsi="Times New Roman" w:eastAsia="宋体" w:cs="Times New Roman"/>
      <w:b/>
      <w:color w:val="FFFFFF"/>
      <w:sz w:val="19"/>
      <w:szCs w:val="19"/>
    </w:rPr>
  </w:style>
  <w:style w:type="character" w:customStyle="1" w:styleId="94">
    <w:name w:val="bds_more5"/>
    <w:autoRedefine/>
    <w:qFormat/>
    <w:uiPriority w:val="0"/>
    <w:rPr>
      <w:rFonts w:ascii="Times New Roman" w:hAnsi="Times New Roman" w:eastAsia="宋体" w:cs="Times New Roman"/>
    </w:rPr>
  </w:style>
  <w:style w:type="character" w:customStyle="1" w:styleId="95">
    <w:name w:val="正文文本缩进 字符"/>
    <w:link w:val="23"/>
    <w:autoRedefine/>
    <w:qFormat/>
    <w:uiPriority w:val="0"/>
    <w:rPr>
      <w:rFonts w:ascii="方正仿宋简体" w:hAnsi="创艺简仿宋" w:eastAsia="方正仿宋简体" w:cs="Times New Roman"/>
      <w:kern w:val="2"/>
      <w:sz w:val="24"/>
      <w:lang w:val="en-US" w:eastAsia="zh-CN" w:bidi="ar-SA"/>
    </w:rPr>
  </w:style>
  <w:style w:type="character" w:customStyle="1" w:styleId="96">
    <w:name w:val="bigfont"/>
    <w:autoRedefine/>
    <w:qFormat/>
    <w:uiPriority w:val="0"/>
  </w:style>
  <w:style w:type="character" w:customStyle="1" w:styleId="97">
    <w:name w:val="正文文本缩进 2 字符"/>
    <w:link w:val="32"/>
    <w:autoRedefine/>
    <w:qFormat/>
    <w:uiPriority w:val="0"/>
    <w:rPr>
      <w:rFonts w:ascii="宋体"/>
      <w:b/>
      <w:bCs/>
      <w:kern w:val="2"/>
      <w:sz w:val="24"/>
    </w:rPr>
  </w:style>
  <w:style w:type="character" w:customStyle="1" w:styleId="98">
    <w:name w:val="bds_more6"/>
    <w:autoRedefine/>
    <w:qFormat/>
    <w:uiPriority w:val="0"/>
    <w:rPr>
      <w:rFonts w:ascii="Times New Roman" w:hAnsi="Times New Roman" w:eastAsia="宋体" w:cs="Times New Roman"/>
    </w:rPr>
  </w:style>
  <w:style w:type="character" w:customStyle="1" w:styleId="99">
    <w:name w:val="noused"/>
    <w:autoRedefine/>
    <w:qFormat/>
    <w:uiPriority w:val="0"/>
    <w:rPr>
      <w:rFonts w:ascii="Times New Roman" w:hAnsi="Times New Roman" w:eastAsia="宋体" w:cs="Times New Roman"/>
      <w:b/>
      <w:color w:val="FFFFFF"/>
      <w:sz w:val="21"/>
      <w:szCs w:val="21"/>
    </w:rPr>
  </w:style>
  <w:style w:type="character" w:customStyle="1" w:styleId="100">
    <w:name w:val="Char Char2"/>
    <w:autoRedefine/>
    <w:qFormat/>
    <w:uiPriority w:val="0"/>
    <w:rPr>
      <w:rFonts w:ascii="宋体" w:hAnsi="宋体" w:eastAsia="楷体_GB2312" w:cs="Times New Roman"/>
      <w:b/>
      <w:kern w:val="2"/>
      <w:sz w:val="26"/>
      <w:lang w:val="en-US" w:eastAsia="zh-CN" w:bidi="ar-SA"/>
    </w:rPr>
  </w:style>
  <w:style w:type="character" w:customStyle="1" w:styleId="101">
    <w:name w:val="bds_more7"/>
    <w:autoRedefine/>
    <w:qFormat/>
    <w:uiPriority w:val="0"/>
    <w:rPr>
      <w:rFonts w:ascii="Times New Roman" w:hAnsi="Times New Roman" w:eastAsia="宋体" w:cs="Times New Roman"/>
    </w:rPr>
  </w:style>
  <w:style w:type="character" w:customStyle="1" w:styleId="102">
    <w:name w:val="文档结构图 字符"/>
    <w:link w:val="16"/>
    <w:autoRedefine/>
    <w:qFormat/>
    <w:uiPriority w:val="99"/>
    <w:rPr>
      <w:kern w:val="2"/>
      <w:sz w:val="26"/>
      <w:shd w:val="clear" w:color="auto" w:fill="000080"/>
    </w:rPr>
  </w:style>
  <w:style w:type="character" w:customStyle="1" w:styleId="103">
    <w:name w:val="标题 字符"/>
    <w:link w:val="55"/>
    <w:autoRedefine/>
    <w:qFormat/>
    <w:uiPriority w:val="0"/>
    <w:rPr>
      <w:rFonts w:ascii="Cambria" w:hAnsi="Cambria" w:eastAsia="宋体" w:cs="Times New Roman"/>
      <w:b/>
      <w:bCs/>
      <w:kern w:val="2"/>
      <w:sz w:val="32"/>
      <w:szCs w:val="32"/>
    </w:rPr>
  </w:style>
  <w:style w:type="character" w:customStyle="1" w:styleId="104">
    <w:name w:val="页脚 字符"/>
    <w:link w:val="34"/>
    <w:autoRedefine/>
    <w:qFormat/>
    <w:uiPriority w:val="99"/>
    <w:rPr>
      <w:rFonts w:ascii="Times New Roman" w:hAnsi="Times New Roman" w:eastAsia="楷体_GB2312" w:cs="Times New Roman"/>
      <w:kern w:val="2"/>
      <w:sz w:val="18"/>
    </w:rPr>
  </w:style>
  <w:style w:type="character" w:customStyle="1" w:styleId="105">
    <w:name w:val="Body Char Char"/>
    <w:link w:val="106"/>
    <w:autoRedefine/>
    <w:qFormat/>
    <w:uiPriority w:val="0"/>
    <w:rPr>
      <w:sz w:val="21"/>
      <w:szCs w:val="21"/>
      <w:lang w:eastAsia="en-US"/>
    </w:rPr>
  </w:style>
  <w:style w:type="paragraph" w:customStyle="1" w:styleId="106">
    <w:name w:val="Body"/>
    <w:basedOn w:val="1"/>
    <w:link w:val="105"/>
    <w:autoRedefine/>
    <w:qFormat/>
    <w:uiPriority w:val="0"/>
    <w:pPr>
      <w:widowControl/>
      <w:tabs>
        <w:tab w:val="left" w:pos="9356"/>
      </w:tabs>
      <w:spacing w:before="80" w:after="80" w:line="360" w:lineRule="auto"/>
      <w:ind w:firstLine="480" w:firstLineChars="200"/>
    </w:pPr>
    <w:rPr>
      <w:rFonts w:eastAsia="宋体"/>
      <w:kern w:val="0"/>
      <w:sz w:val="21"/>
      <w:szCs w:val="21"/>
      <w:lang w:eastAsia="en-US"/>
    </w:rPr>
  </w:style>
  <w:style w:type="character" w:customStyle="1" w:styleId="107">
    <w:name w:val="bds_more4"/>
    <w:autoRedefine/>
    <w:qFormat/>
    <w:uiPriority w:val="0"/>
    <w:rPr>
      <w:rFonts w:hint="eastAsia" w:ascii="宋体" w:hAnsi="宋体" w:eastAsia="宋体" w:cs="宋体"/>
    </w:rPr>
  </w:style>
  <w:style w:type="character" w:customStyle="1" w:styleId="108">
    <w:name w:val="other"/>
    <w:autoRedefine/>
    <w:qFormat/>
    <w:uiPriority w:val="0"/>
    <w:rPr>
      <w:rFonts w:ascii="Times New Roman" w:hAnsi="Times New Roman" w:eastAsia="宋体" w:cs="Times New Roman"/>
    </w:rPr>
  </w:style>
  <w:style w:type="character" w:customStyle="1" w:styleId="109">
    <w:name w:val="active"/>
    <w:autoRedefine/>
    <w:qFormat/>
    <w:uiPriority w:val="0"/>
    <w:rPr>
      <w:rFonts w:ascii="Times New Roman" w:hAnsi="Times New Roman" w:eastAsia="宋体" w:cs="Times New Roman"/>
      <w:color w:val="00FF00"/>
      <w:shd w:val="clear" w:color="auto" w:fill="000000"/>
    </w:rPr>
  </w:style>
  <w:style w:type="character" w:customStyle="1" w:styleId="110">
    <w:name w:val="bds_more8"/>
    <w:autoRedefine/>
    <w:qFormat/>
    <w:uiPriority w:val="0"/>
    <w:rPr>
      <w:rFonts w:hint="eastAsia" w:ascii="宋体" w:hAnsi="宋体" w:eastAsia="宋体" w:cs="宋体"/>
    </w:rPr>
  </w:style>
  <w:style w:type="character" w:customStyle="1" w:styleId="111">
    <w:name w:val="标书正文格式 Char Char"/>
    <w:link w:val="112"/>
    <w:autoRedefine/>
    <w:qFormat/>
    <w:uiPriority w:val="0"/>
    <w:rPr>
      <w:rFonts w:eastAsia="楷体_GB2312"/>
      <w:kern w:val="2"/>
      <w:sz w:val="24"/>
      <w:szCs w:val="24"/>
      <w:lang w:val="en-US" w:eastAsia="zh-CN" w:bidi="ar-SA"/>
    </w:rPr>
  </w:style>
  <w:style w:type="paragraph" w:customStyle="1" w:styleId="112">
    <w:name w:val="标书正文格式"/>
    <w:link w:val="111"/>
    <w:autoRedefine/>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character" w:customStyle="1" w:styleId="113">
    <w:name w:val="bds_nopic"/>
    <w:autoRedefine/>
    <w:qFormat/>
    <w:uiPriority w:val="0"/>
    <w:rPr>
      <w:rFonts w:ascii="Times New Roman" w:hAnsi="Times New Roman" w:eastAsia="宋体" w:cs="Times New Roman"/>
    </w:rPr>
  </w:style>
  <w:style w:type="character" w:customStyle="1" w:styleId="114">
    <w:name w:val="dg2"/>
    <w:autoRedefine/>
    <w:qFormat/>
    <w:uiPriority w:val="0"/>
  </w:style>
  <w:style w:type="character" w:customStyle="1" w:styleId="115">
    <w:name w:val="hover61"/>
    <w:autoRedefine/>
    <w:qFormat/>
    <w:uiPriority w:val="0"/>
    <w:rPr>
      <w:rFonts w:ascii="Times New Roman" w:hAnsi="Times New Roman" w:eastAsia="宋体" w:cs="Times New Roman"/>
      <w:shd w:val="clear" w:color="auto" w:fill="FF0000"/>
    </w:rPr>
  </w:style>
  <w:style w:type="character" w:customStyle="1" w:styleId="116">
    <w:name w:val="grid2"/>
    <w:autoRedefine/>
    <w:qFormat/>
    <w:uiPriority w:val="0"/>
    <w:rPr>
      <w:rFonts w:ascii="Times New Roman" w:hAnsi="Times New Roman" w:eastAsia="宋体" w:cs="Times New Roman"/>
    </w:rPr>
  </w:style>
  <w:style w:type="character" w:customStyle="1" w:styleId="117">
    <w:name w:val="正文要点 Char Char"/>
    <w:link w:val="118"/>
    <w:autoRedefine/>
    <w:qFormat/>
    <w:uiPriority w:val="0"/>
    <w:rPr>
      <w:rFonts w:eastAsia="楷体_GB2312"/>
      <w:kern w:val="2"/>
      <w:sz w:val="21"/>
      <w:szCs w:val="24"/>
    </w:rPr>
  </w:style>
  <w:style w:type="paragraph" w:customStyle="1" w:styleId="118">
    <w:name w:val="正文要点"/>
    <w:basedOn w:val="1"/>
    <w:next w:val="1"/>
    <w:link w:val="117"/>
    <w:autoRedefine/>
    <w:qFormat/>
    <w:uiPriority w:val="0"/>
    <w:pPr>
      <w:tabs>
        <w:tab w:val="left" w:pos="420"/>
      </w:tabs>
      <w:spacing w:line="360" w:lineRule="auto"/>
      <w:ind w:left="420" w:hanging="420"/>
    </w:pPr>
    <w:rPr>
      <w:sz w:val="21"/>
      <w:szCs w:val="24"/>
    </w:rPr>
  </w:style>
  <w:style w:type="character" w:customStyle="1" w:styleId="119">
    <w:name w:val="apple-converted-space"/>
    <w:autoRedefine/>
    <w:qFormat/>
    <w:uiPriority w:val="0"/>
  </w:style>
  <w:style w:type="character" w:customStyle="1" w:styleId="120">
    <w:name w:val="bds_nopic2"/>
    <w:autoRedefine/>
    <w:qFormat/>
    <w:uiPriority w:val="0"/>
    <w:rPr>
      <w:rFonts w:ascii="Times New Roman" w:hAnsi="Times New Roman" w:eastAsia="宋体" w:cs="Times New Roman"/>
    </w:rPr>
  </w:style>
  <w:style w:type="character" w:customStyle="1" w:styleId="121">
    <w:name w:val="普通(网站) 字符"/>
    <w:link w:val="53"/>
    <w:autoRedefine/>
    <w:qFormat/>
    <w:uiPriority w:val="0"/>
    <w:rPr>
      <w:sz w:val="24"/>
      <w:szCs w:val="24"/>
    </w:rPr>
  </w:style>
  <w:style w:type="character" w:customStyle="1" w:styleId="122">
    <w:name w:val="样式 宋体 小四"/>
    <w:autoRedefine/>
    <w:qFormat/>
    <w:uiPriority w:val="0"/>
    <w:rPr>
      <w:rFonts w:ascii="宋体" w:hAnsi="宋体"/>
      <w:sz w:val="24"/>
    </w:rPr>
  </w:style>
  <w:style w:type="character" w:customStyle="1" w:styleId="123">
    <w:name w:val="Table Text Char Char"/>
    <w:link w:val="124"/>
    <w:autoRedefine/>
    <w:qFormat/>
    <w:uiPriority w:val="0"/>
    <w:rPr>
      <w:rFonts w:ascii="Arial" w:hAnsi="Arial" w:cs="Arial"/>
      <w:sz w:val="18"/>
      <w:szCs w:val="18"/>
      <w:lang w:val="en-US" w:eastAsia="zh-CN" w:bidi="ar-SA"/>
    </w:rPr>
  </w:style>
  <w:style w:type="paragraph" w:customStyle="1" w:styleId="124">
    <w:name w:val="Table Text"/>
    <w:link w:val="123"/>
    <w:autoRedefine/>
    <w:qFormat/>
    <w:uiPriority w:val="0"/>
    <w:pPr>
      <w:snapToGrid w:val="0"/>
      <w:spacing w:before="80" w:after="80"/>
    </w:pPr>
    <w:rPr>
      <w:rFonts w:ascii="Arial" w:hAnsi="Arial" w:eastAsia="宋体" w:cs="Arial"/>
      <w:sz w:val="18"/>
      <w:szCs w:val="18"/>
      <w:lang w:val="en-US" w:eastAsia="zh-CN" w:bidi="ar-SA"/>
    </w:rPr>
  </w:style>
  <w:style w:type="character" w:customStyle="1" w:styleId="125">
    <w:name w:val="grid"/>
    <w:autoRedefine/>
    <w:qFormat/>
    <w:uiPriority w:val="0"/>
    <w:rPr>
      <w:rFonts w:ascii="Times New Roman" w:hAnsi="Times New Roman" w:eastAsia="宋体" w:cs="Times New Roman"/>
    </w:rPr>
  </w:style>
  <w:style w:type="character" w:customStyle="1" w:styleId="126">
    <w:name w:val="纯文本 字符"/>
    <w:link w:val="28"/>
    <w:autoRedefine/>
    <w:qFormat/>
    <w:uiPriority w:val="0"/>
    <w:rPr>
      <w:rFonts w:ascii="宋体" w:hAnsi="Courier New" w:eastAsia="楷体_GB2312" w:cs="Times New Roman"/>
      <w:kern w:val="2"/>
      <w:sz w:val="26"/>
      <w:lang w:val="en-US" w:eastAsia="zh-CN" w:bidi="ar-SA"/>
    </w:rPr>
  </w:style>
  <w:style w:type="character" w:customStyle="1" w:styleId="127">
    <w:name w:val="bds_nopic1"/>
    <w:autoRedefine/>
    <w:qFormat/>
    <w:uiPriority w:val="0"/>
    <w:rPr>
      <w:rFonts w:ascii="Times New Roman" w:hAnsi="Times New Roman" w:eastAsia="宋体" w:cs="Times New Roman"/>
    </w:rPr>
  </w:style>
  <w:style w:type="character" w:customStyle="1" w:styleId="128">
    <w:name w:val="active8"/>
    <w:autoRedefine/>
    <w:qFormat/>
    <w:uiPriority w:val="0"/>
    <w:rPr>
      <w:rFonts w:ascii="Times New Roman" w:hAnsi="Times New Roman" w:eastAsia="宋体" w:cs="Times New Roman"/>
      <w:color w:val="00FF00"/>
      <w:shd w:val="clear" w:color="auto" w:fill="000000"/>
    </w:rPr>
  </w:style>
  <w:style w:type="paragraph" w:customStyle="1" w:styleId="129">
    <w:name w:val="xl13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30">
    <w:name w:val="xl11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1">
    <w:name w:val="xl81"/>
    <w:basedOn w:val="1"/>
    <w:autoRedefine/>
    <w:qFormat/>
    <w:uiPriority w:val="0"/>
    <w:pPr>
      <w:widowControl/>
      <w:spacing w:before="100" w:beforeAutospacing="1" w:after="100" w:afterAutospacing="1"/>
      <w:jc w:val="center"/>
    </w:pPr>
    <w:rPr>
      <w:rFonts w:eastAsia="宋体"/>
      <w:b/>
      <w:bCs/>
      <w:kern w:val="0"/>
      <w:sz w:val="24"/>
      <w:szCs w:val="24"/>
    </w:rPr>
  </w:style>
  <w:style w:type="paragraph" w:customStyle="1" w:styleId="132">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133">
    <w:name w:val="xl76"/>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34">
    <w:name w:val="xl84"/>
    <w:basedOn w:val="1"/>
    <w:autoRedefine/>
    <w:qFormat/>
    <w:uiPriority w:val="0"/>
    <w:pPr>
      <w:widowControl/>
      <w:pBdr>
        <w:top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35">
    <w:name w:val="xl12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136">
    <w:name w:val="xl155"/>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rPr>
  </w:style>
  <w:style w:type="character" w:customStyle="1" w:styleId="137">
    <w:name w:val="日期 字符"/>
    <w:link w:val="31"/>
    <w:autoRedefine/>
    <w:qFormat/>
    <w:uiPriority w:val="0"/>
    <w:rPr>
      <w:rFonts w:ascii="宋体" w:hAnsi="宋体" w:eastAsia="宋体" w:cs="Times New Roman"/>
      <w:kern w:val="2"/>
      <w:sz w:val="24"/>
    </w:rPr>
  </w:style>
  <w:style w:type="paragraph" w:customStyle="1" w:styleId="138">
    <w:name w:val="列出段落1"/>
    <w:basedOn w:val="1"/>
    <w:autoRedefine/>
    <w:qFormat/>
    <w:uiPriority w:val="0"/>
    <w:pPr>
      <w:ind w:firstLine="420" w:firstLineChars="200"/>
    </w:pPr>
    <w:rPr>
      <w:rFonts w:eastAsia="宋体"/>
      <w:sz w:val="21"/>
      <w:szCs w:val="22"/>
    </w:rPr>
  </w:style>
  <w:style w:type="paragraph" w:customStyle="1" w:styleId="139">
    <w:name w:val="xl11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0">
    <w:name w:val="xl150"/>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left"/>
    </w:pPr>
    <w:rPr>
      <w:rFonts w:ascii="宋体" w:hAnsi="宋体" w:eastAsia="宋体" w:cs="宋体"/>
      <w:kern w:val="0"/>
      <w:sz w:val="20"/>
    </w:rPr>
  </w:style>
  <w:style w:type="paragraph" w:customStyle="1" w:styleId="141">
    <w:name w:val="xl133"/>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2">
    <w:name w:val="xl14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3">
    <w:name w:val="xl48"/>
    <w:basedOn w:val="1"/>
    <w:autoRedefine/>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144">
    <w:name w:val="列出段落11"/>
    <w:basedOn w:val="1"/>
    <w:autoRedefine/>
    <w:qFormat/>
    <w:uiPriority w:val="0"/>
    <w:pPr>
      <w:ind w:firstLine="200" w:firstLineChars="200"/>
    </w:pPr>
    <w:rPr>
      <w:rFonts w:eastAsia="宋体" w:cs="Arial"/>
      <w:sz w:val="21"/>
      <w:szCs w:val="22"/>
    </w:rPr>
  </w:style>
  <w:style w:type="paragraph" w:customStyle="1" w:styleId="145">
    <w:name w:val="rm"/>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
    <w:name w:val="font6"/>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47">
    <w:name w:val="Char"/>
    <w:basedOn w:val="1"/>
    <w:autoRedefine/>
    <w:qFormat/>
    <w:uiPriority w:val="0"/>
    <w:rPr>
      <w:rFonts w:ascii="Tahoma" w:hAnsi="Tahoma" w:eastAsia="宋体"/>
      <w:sz w:val="24"/>
    </w:rPr>
  </w:style>
  <w:style w:type="paragraph" w:customStyle="1" w:styleId="148">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i/>
      <w:iCs/>
      <w:kern w:val="0"/>
      <w:sz w:val="24"/>
      <w:szCs w:val="24"/>
    </w:rPr>
  </w:style>
  <w:style w:type="paragraph" w:customStyle="1" w:styleId="149">
    <w:name w:val="xl146"/>
    <w:basedOn w:val="1"/>
    <w:autoRedefine/>
    <w:qFormat/>
    <w:uiPriority w:val="0"/>
    <w:pPr>
      <w:widowControl/>
      <w:pBdr>
        <w:lef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50">
    <w:name w:val="xl96"/>
    <w:basedOn w:val="1"/>
    <w:autoRedefine/>
    <w:qFormat/>
    <w:uiPriority w:val="0"/>
    <w:pPr>
      <w:widowControl/>
      <w:spacing w:before="100" w:beforeAutospacing="1" w:after="100" w:afterAutospacing="1"/>
      <w:jc w:val="center"/>
    </w:pPr>
    <w:rPr>
      <w:rFonts w:eastAsia="宋体"/>
      <w:kern w:val="0"/>
      <w:sz w:val="24"/>
      <w:szCs w:val="24"/>
    </w:rPr>
  </w:style>
  <w:style w:type="paragraph" w:customStyle="1" w:styleId="151">
    <w:name w:val="xl99"/>
    <w:basedOn w:val="1"/>
    <w:autoRedefine/>
    <w:qFormat/>
    <w:uiPriority w:val="0"/>
    <w:pPr>
      <w:widowControl/>
      <w:pBdr>
        <w:bottom w:val="single" w:color="auto" w:sz="4" w:space="0"/>
      </w:pBdr>
      <w:spacing w:before="100" w:beforeAutospacing="1" w:after="100" w:afterAutospacing="1"/>
      <w:jc w:val="center"/>
    </w:pPr>
    <w:rPr>
      <w:rFonts w:eastAsia="宋体"/>
      <w:kern w:val="0"/>
      <w:sz w:val="24"/>
      <w:szCs w:val="24"/>
    </w:rPr>
  </w:style>
  <w:style w:type="paragraph" w:customStyle="1" w:styleId="152">
    <w:name w:val="xl82"/>
    <w:basedOn w:val="1"/>
    <w:autoRedefine/>
    <w:qFormat/>
    <w:uiPriority w:val="0"/>
    <w:pPr>
      <w:widowControl/>
      <w:spacing w:before="100" w:beforeAutospacing="1" w:after="100" w:afterAutospacing="1"/>
      <w:jc w:val="left"/>
    </w:pPr>
    <w:rPr>
      <w:rFonts w:eastAsia="宋体"/>
      <w:b/>
      <w:bCs/>
      <w:kern w:val="0"/>
      <w:sz w:val="24"/>
      <w:szCs w:val="24"/>
    </w:rPr>
  </w:style>
  <w:style w:type="paragraph" w:customStyle="1" w:styleId="153">
    <w:name w:val="xl153"/>
    <w:basedOn w:val="1"/>
    <w:autoRedefine/>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54">
    <w:name w:val="xl162"/>
    <w:basedOn w:val="1"/>
    <w:autoRedefine/>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155">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6">
    <w:name w:val="xl49"/>
    <w:basedOn w:val="1"/>
    <w:autoRedefine/>
    <w:qFormat/>
    <w:uiPriority w:val="0"/>
    <w:pPr>
      <w:widowControl/>
      <w:spacing w:before="100" w:beforeAutospacing="1" w:after="100" w:afterAutospacing="1"/>
      <w:jc w:val="center"/>
      <w:textAlignment w:val="center"/>
    </w:pPr>
    <w:rPr>
      <w:rFonts w:ascii="Univers" w:hAnsi="Univers" w:eastAsia="宋体" w:cs="宋体"/>
      <w:b/>
      <w:bCs/>
      <w:kern w:val="0"/>
      <w:sz w:val="24"/>
      <w:szCs w:val="24"/>
    </w:rPr>
  </w:style>
  <w:style w:type="paragraph" w:customStyle="1" w:styleId="157">
    <w:name w:val="规范正文"/>
    <w:basedOn w:val="1"/>
    <w:autoRedefine/>
    <w:qFormat/>
    <w:uiPriority w:val="0"/>
    <w:pPr>
      <w:spacing w:beforeLines="50" w:afterLines="50" w:line="360" w:lineRule="auto"/>
      <w:ind w:left="425" w:firstLine="480" w:firstLineChars="200"/>
    </w:pPr>
    <w:rPr>
      <w:rFonts w:ascii="宋体" w:hAnsi="宋体" w:eastAsia="宋体" w:cs="宋体"/>
      <w:sz w:val="24"/>
      <w:szCs w:val="24"/>
    </w:rPr>
  </w:style>
  <w:style w:type="paragraph" w:customStyle="1" w:styleId="158">
    <w:name w:val="xl7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b/>
      <w:bCs/>
      <w:kern w:val="0"/>
      <w:sz w:val="24"/>
      <w:szCs w:val="24"/>
    </w:rPr>
  </w:style>
  <w:style w:type="paragraph" w:customStyle="1" w:styleId="159">
    <w:name w:val="xl92"/>
    <w:basedOn w:val="1"/>
    <w:autoRedefine/>
    <w:qFormat/>
    <w:uiPriority w:val="0"/>
    <w:pPr>
      <w:widowControl/>
      <w:pBdr>
        <w:left w:val="single" w:color="auto" w:sz="4" w:space="0"/>
      </w:pBdr>
      <w:spacing w:before="100" w:beforeAutospacing="1" w:after="100" w:afterAutospacing="1"/>
      <w:jc w:val="center"/>
    </w:pPr>
    <w:rPr>
      <w:rFonts w:ascii="宋体" w:hAnsi="宋体" w:eastAsia="宋体" w:cs="宋体"/>
      <w:kern w:val="0"/>
      <w:sz w:val="22"/>
      <w:szCs w:val="22"/>
    </w:rPr>
  </w:style>
  <w:style w:type="character" w:customStyle="1" w:styleId="160">
    <w:name w:val="脚注文本 字符"/>
    <w:link w:val="43"/>
    <w:autoRedefine/>
    <w:qFormat/>
    <w:uiPriority w:val="0"/>
    <w:rPr>
      <w:rFonts w:ascii="Times New Roman" w:hAnsi="Times New Roman"/>
      <w:kern w:val="2"/>
      <w:sz w:val="18"/>
    </w:rPr>
  </w:style>
  <w:style w:type="paragraph" w:customStyle="1" w:styleId="161">
    <w:name w:val="样式2"/>
    <w:basedOn w:val="1"/>
    <w:autoRedefine/>
    <w:qFormat/>
    <w:uiPriority w:val="0"/>
    <w:pPr>
      <w:widowControl/>
      <w:tabs>
        <w:tab w:val="left" w:pos="1200"/>
      </w:tabs>
      <w:autoSpaceDE w:val="0"/>
      <w:autoSpaceDN w:val="0"/>
      <w:spacing w:before="40" w:after="40" w:line="360" w:lineRule="auto"/>
      <w:ind w:left="1200" w:hanging="420"/>
    </w:pPr>
    <w:rPr>
      <w:rFonts w:ascii="宋体" w:eastAsia="宋体"/>
      <w:sz w:val="21"/>
      <w:szCs w:val="24"/>
    </w:rPr>
  </w:style>
  <w:style w:type="paragraph" w:customStyle="1" w:styleId="162">
    <w:name w:val="xl6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63">
    <w:name w:val="xl141"/>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164">
    <w:name w:val="xl12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65">
    <w:name w:val="Char Char1 Char Char Char Char"/>
    <w:basedOn w:val="16"/>
    <w:autoRedefine/>
    <w:qFormat/>
    <w:uiPriority w:val="0"/>
    <w:pPr>
      <w:adjustRightInd w:val="0"/>
      <w:snapToGrid w:val="0"/>
      <w:spacing w:line="360" w:lineRule="auto"/>
    </w:pPr>
    <w:rPr>
      <w:rFonts w:ascii="Tahoma" w:hAnsi="Tahoma"/>
      <w:sz w:val="24"/>
      <w:szCs w:val="24"/>
    </w:rPr>
  </w:style>
  <w:style w:type="paragraph" w:customStyle="1" w:styleId="166">
    <w:name w:val="xl157"/>
    <w:basedOn w:val="1"/>
    <w:autoRedefine/>
    <w:qFormat/>
    <w:uiPriority w:val="0"/>
    <w:pPr>
      <w:widowControl/>
      <w:pBdr>
        <w:left w:val="single" w:color="auto" w:sz="4" w:space="0"/>
        <w:right w:val="single" w:color="auto" w:sz="4" w:space="0"/>
      </w:pBdr>
      <w:spacing w:before="100" w:beforeAutospacing="1" w:after="100" w:afterAutospacing="1"/>
      <w:jc w:val="center"/>
    </w:pPr>
    <w:rPr>
      <w:rFonts w:eastAsia="宋体"/>
      <w:b/>
      <w:bCs/>
      <w:color w:val="FF0000"/>
      <w:kern w:val="0"/>
      <w:sz w:val="20"/>
    </w:rPr>
  </w:style>
  <w:style w:type="character" w:customStyle="1" w:styleId="167">
    <w:name w:val="批注框文本 字符"/>
    <w:link w:val="33"/>
    <w:autoRedefine/>
    <w:qFormat/>
    <w:uiPriority w:val="0"/>
    <w:rPr>
      <w:rFonts w:ascii="Times New Roman" w:hAnsi="Times New Roman" w:eastAsia="宋体" w:cs="Times New Roman"/>
      <w:kern w:val="2"/>
      <w:sz w:val="18"/>
      <w:szCs w:val="18"/>
    </w:rPr>
  </w:style>
  <w:style w:type="paragraph" w:customStyle="1" w:styleId="16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69">
    <w:name w:val="xl1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70">
    <w:name w:val="Char Char3"/>
    <w:basedOn w:val="1"/>
    <w:autoRedefine/>
    <w:qFormat/>
    <w:uiPriority w:val="0"/>
    <w:pPr>
      <w:spacing w:beforeLines="50" w:afterLines="50"/>
      <w:jc w:val="left"/>
    </w:pPr>
    <w:rPr>
      <w:rFonts w:eastAsia="宋体"/>
      <w:sz w:val="30"/>
      <w:szCs w:val="32"/>
    </w:rPr>
  </w:style>
  <w:style w:type="paragraph" w:customStyle="1" w:styleId="171">
    <w:name w:val="xl88"/>
    <w:basedOn w:val="1"/>
    <w:autoRedefine/>
    <w:qFormat/>
    <w:uiPriority w:val="0"/>
    <w:pPr>
      <w:widowControl/>
      <w:spacing w:before="100" w:beforeAutospacing="1" w:after="100" w:afterAutospacing="1"/>
      <w:jc w:val="left"/>
    </w:pPr>
    <w:rPr>
      <w:rFonts w:eastAsia="宋体"/>
      <w:kern w:val="0"/>
      <w:sz w:val="24"/>
      <w:szCs w:val="24"/>
    </w:rPr>
  </w:style>
  <w:style w:type="paragraph" w:customStyle="1" w:styleId="172">
    <w:name w:val="xl1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73">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74">
    <w:name w:val="正文首行缩进4"/>
    <w:basedOn w:val="1"/>
    <w:autoRedefine/>
    <w:qFormat/>
    <w:uiPriority w:val="0"/>
    <w:pPr>
      <w:spacing w:beforeLines="50" w:afterLines="50" w:line="360" w:lineRule="auto"/>
      <w:ind w:firstLine="480" w:firstLineChars="200"/>
    </w:pPr>
    <w:rPr>
      <w:rFonts w:ascii="Arial" w:hAnsi="Arial" w:eastAsia="宋体"/>
      <w:sz w:val="24"/>
      <w:szCs w:val="24"/>
    </w:rPr>
  </w:style>
  <w:style w:type="paragraph" w:customStyle="1" w:styleId="175">
    <w:name w:val="font8"/>
    <w:basedOn w:val="1"/>
    <w:autoRedefine/>
    <w:qFormat/>
    <w:uiPriority w:val="0"/>
    <w:pPr>
      <w:widowControl/>
      <w:spacing w:before="100" w:beforeAutospacing="1" w:after="100" w:afterAutospacing="1"/>
      <w:jc w:val="left"/>
    </w:pPr>
    <w:rPr>
      <w:rFonts w:eastAsia="宋体"/>
      <w:kern w:val="0"/>
      <w:sz w:val="22"/>
      <w:szCs w:val="22"/>
    </w:rPr>
  </w:style>
  <w:style w:type="paragraph" w:customStyle="1" w:styleId="176">
    <w:name w:val="Char Char Char Char Char Char"/>
    <w:basedOn w:val="1"/>
    <w:autoRedefine/>
    <w:qFormat/>
    <w:uiPriority w:val="0"/>
    <w:rPr>
      <w:rFonts w:ascii="Tahoma" w:hAnsi="Tahoma" w:eastAsia="宋体"/>
      <w:sz w:val="24"/>
    </w:rPr>
  </w:style>
  <w:style w:type="paragraph" w:customStyle="1" w:styleId="17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4"/>
      <w:szCs w:val="24"/>
    </w:rPr>
  </w:style>
  <w:style w:type="paragraph" w:customStyle="1" w:styleId="178">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i/>
      <w:iCs/>
      <w:kern w:val="0"/>
      <w:sz w:val="24"/>
      <w:szCs w:val="24"/>
    </w:rPr>
  </w:style>
  <w:style w:type="paragraph" w:customStyle="1" w:styleId="179">
    <w:name w:val="表格正文"/>
    <w:basedOn w:val="1"/>
    <w:autoRedefine/>
    <w:qFormat/>
    <w:uiPriority w:val="0"/>
    <w:pPr>
      <w:spacing w:before="100" w:beforeAutospacing="1" w:after="100" w:afterAutospacing="1" w:line="240" w:lineRule="atLeast"/>
    </w:pPr>
    <w:rPr>
      <w:sz w:val="24"/>
    </w:rPr>
  </w:style>
  <w:style w:type="paragraph" w:customStyle="1" w:styleId="180">
    <w:name w:val="xl74"/>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8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xl90"/>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83">
    <w:name w:val="Bullet"/>
    <w:basedOn w:val="1"/>
    <w:autoRedefine/>
    <w:qFormat/>
    <w:uiPriority w:val="0"/>
    <w:pPr>
      <w:widowControl/>
      <w:adjustRightInd w:val="0"/>
      <w:spacing w:before="60" w:after="60" w:line="360" w:lineRule="auto"/>
      <w:ind w:left="1225" w:firstLine="420" w:firstLineChars="200"/>
    </w:pPr>
    <w:rPr>
      <w:rFonts w:eastAsia="宋体"/>
      <w:b/>
      <w:kern w:val="0"/>
      <w:sz w:val="21"/>
      <w:szCs w:val="21"/>
    </w:rPr>
  </w:style>
  <w:style w:type="paragraph" w:customStyle="1" w:styleId="184">
    <w:name w:val="_Style 57"/>
    <w:next w:val="1"/>
    <w:autoRedefine/>
    <w:qFormat/>
    <w:uiPriority w:val="0"/>
    <w:pPr>
      <w:widowControl w:val="0"/>
      <w:jc w:val="both"/>
    </w:pPr>
    <w:rPr>
      <w:rFonts w:ascii="Calibri" w:hAnsi="Calibri" w:eastAsia="楷体_GB2312" w:cs="Times New Roman"/>
      <w:kern w:val="2"/>
      <w:sz w:val="26"/>
      <w:lang w:val="en-US" w:eastAsia="zh-CN" w:bidi="ar-SA"/>
    </w:rPr>
  </w:style>
  <w:style w:type="paragraph" w:customStyle="1" w:styleId="185">
    <w:name w:val="p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xl6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87">
    <w:name w:val="xl53"/>
    <w:basedOn w:val="1"/>
    <w:autoRedefine/>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188">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9">
    <w:name w:val="xl8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90">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191">
    <w:name w:val="xl78"/>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eastAsia="宋体"/>
      <w:b/>
      <w:bCs/>
      <w:kern w:val="0"/>
      <w:sz w:val="24"/>
      <w:szCs w:val="24"/>
    </w:rPr>
  </w:style>
  <w:style w:type="character" w:customStyle="1" w:styleId="192">
    <w:name w:val="正文文本缩进 3 字符"/>
    <w:link w:val="45"/>
    <w:qFormat/>
    <w:uiPriority w:val="0"/>
    <w:rPr>
      <w:rFonts w:ascii="Times New Roman" w:hAnsi="Times New Roman"/>
      <w:kern w:val="2"/>
      <w:sz w:val="24"/>
      <w:szCs w:val="24"/>
    </w:rPr>
  </w:style>
  <w:style w:type="paragraph" w:customStyle="1" w:styleId="193">
    <w:name w:val="Char Char Char Char Char Char Char"/>
    <w:basedOn w:val="1"/>
    <w:qFormat/>
    <w:uiPriority w:val="0"/>
    <w:rPr>
      <w:rFonts w:eastAsia="宋体"/>
      <w:sz w:val="21"/>
      <w:szCs w:val="24"/>
    </w:rPr>
  </w:style>
  <w:style w:type="paragraph" w:customStyle="1" w:styleId="194">
    <w:name w:val="项符&gt;"/>
    <w:basedOn w:val="1"/>
    <w:qFormat/>
    <w:uiPriority w:val="0"/>
    <w:pPr>
      <w:spacing w:line="360" w:lineRule="auto"/>
    </w:pPr>
    <w:rPr>
      <w:rFonts w:hint="eastAsia" w:ascii="宋体" w:hAnsi="宋体" w:eastAsia="宋体"/>
      <w:sz w:val="24"/>
      <w:szCs w:val="30"/>
    </w:rPr>
  </w:style>
  <w:style w:type="paragraph" w:customStyle="1" w:styleId="195">
    <w:name w:val="xl1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96">
    <w:name w:val="xl151"/>
    <w:basedOn w:val="1"/>
    <w:qFormat/>
    <w:uiPriority w:val="0"/>
    <w:pPr>
      <w:widowControl/>
      <w:pBdr>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97">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198">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199">
    <w:name w:val="默认段落字体 Para Char Char Char Char Char Char Char"/>
    <w:basedOn w:val="1"/>
    <w:qFormat/>
    <w:uiPriority w:val="0"/>
    <w:rPr>
      <w:rFonts w:eastAsia="宋体"/>
      <w:sz w:val="21"/>
    </w:rPr>
  </w:style>
  <w:style w:type="paragraph" w:customStyle="1" w:styleId="2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01">
    <w:name w:val="p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2">
    <w:name w:val="List Paragraph"/>
    <w:basedOn w:val="1"/>
    <w:qFormat/>
    <w:uiPriority w:val="99"/>
    <w:pPr>
      <w:ind w:firstLine="420" w:firstLineChars="200"/>
    </w:pPr>
    <w:rPr>
      <w:rFonts w:ascii="Times New Roman" w:hAnsi="Times New Roman" w:eastAsia="宋体"/>
      <w:sz w:val="21"/>
      <w:szCs w:val="24"/>
    </w:rPr>
  </w:style>
  <w:style w:type="paragraph" w:customStyle="1" w:styleId="203">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04">
    <w:name w:val="表格标题"/>
    <w:basedOn w:val="179"/>
    <w:autoRedefine/>
    <w:qFormat/>
    <w:uiPriority w:val="0"/>
    <w:pPr>
      <w:jc w:val="center"/>
    </w:pPr>
    <w:rPr>
      <w:b/>
    </w:rPr>
  </w:style>
  <w:style w:type="paragraph" w:customStyle="1" w:styleId="205">
    <w:name w:val="xl11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06">
    <w:name w:val="xl89"/>
    <w:basedOn w:val="1"/>
    <w:autoRedefine/>
    <w:qFormat/>
    <w:uiPriority w:val="0"/>
    <w:pPr>
      <w:widowControl/>
      <w:spacing w:before="100" w:beforeAutospacing="1" w:after="100" w:afterAutospacing="1"/>
      <w:jc w:val="left"/>
    </w:pPr>
    <w:rPr>
      <w:rFonts w:eastAsia="宋体"/>
      <w:b/>
      <w:bCs/>
      <w:kern w:val="0"/>
      <w:sz w:val="24"/>
      <w:szCs w:val="24"/>
    </w:rPr>
  </w:style>
  <w:style w:type="paragraph" w:customStyle="1" w:styleId="207">
    <w:name w:val="正文符号1"/>
    <w:basedOn w:val="1"/>
    <w:autoRedefine/>
    <w:qFormat/>
    <w:uiPriority w:val="0"/>
    <w:pPr>
      <w:tabs>
        <w:tab w:val="left" w:pos="425"/>
        <w:tab w:val="left" w:pos="1080"/>
      </w:tabs>
      <w:spacing w:before="100" w:beforeAutospacing="1" w:after="100" w:afterAutospacing="1"/>
      <w:ind w:left="425" w:hanging="425"/>
    </w:pPr>
    <w:rPr>
      <w:kern w:val="0"/>
      <w:sz w:val="28"/>
      <w:szCs w:val="24"/>
    </w:rPr>
  </w:style>
  <w:style w:type="paragraph" w:customStyle="1" w:styleId="208">
    <w:name w:val="xl50"/>
    <w:basedOn w:val="1"/>
    <w:autoRedefine/>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209">
    <w:name w:val="xl137"/>
    <w:basedOn w:val="1"/>
    <w:autoRedefine/>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1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1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212">
    <w:name w:val="flName"/>
    <w:basedOn w:val="1"/>
    <w:link w:val="213"/>
    <w:autoRedefine/>
    <w:qFormat/>
    <w:uiPriority w:val="0"/>
    <w:pPr>
      <w:tabs>
        <w:tab w:val="left" w:pos="5400"/>
      </w:tabs>
      <w:adjustRightInd w:val="0"/>
      <w:spacing w:before="320" w:after="160" w:line="360" w:lineRule="atLeast"/>
      <w:jc w:val="center"/>
      <w:textAlignment w:val="baseline"/>
    </w:pPr>
    <w:rPr>
      <w:rFonts w:ascii="Arial" w:eastAsia="黑体"/>
      <w:kern w:val="0"/>
      <w:sz w:val="32"/>
    </w:rPr>
  </w:style>
  <w:style w:type="character" w:customStyle="1" w:styleId="213">
    <w:name w:val="flName Char Char"/>
    <w:link w:val="212"/>
    <w:autoRedefine/>
    <w:qFormat/>
    <w:uiPriority w:val="0"/>
    <w:rPr>
      <w:rFonts w:ascii="Arial" w:eastAsia="黑体"/>
      <w:sz w:val="32"/>
    </w:rPr>
  </w:style>
  <w:style w:type="paragraph" w:customStyle="1" w:styleId="214">
    <w:name w:val="xl97"/>
    <w:basedOn w:val="1"/>
    <w:autoRedefine/>
    <w:qFormat/>
    <w:uiPriority w:val="0"/>
    <w:pPr>
      <w:widowControl/>
      <w:pBdr>
        <w:right w:val="single" w:color="auto" w:sz="4" w:space="0"/>
      </w:pBdr>
      <w:spacing w:before="100" w:beforeAutospacing="1" w:after="100" w:afterAutospacing="1"/>
      <w:jc w:val="center"/>
    </w:pPr>
    <w:rPr>
      <w:rFonts w:eastAsia="宋体"/>
      <w:kern w:val="0"/>
      <w:sz w:val="24"/>
      <w:szCs w:val="24"/>
    </w:rPr>
  </w:style>
  <w:style w:type="paragraph" w:customStyle="1" w:styleId="215">
    <w:name w:val="Char2"/>
    <w:basedOn w:val="1"/>
    <w:autoRedefine/>
    <w:qFormat/>
    <w:uiPriority w:val="0"/>
    <w:rPr>
      <w:rFonts w:ascii="仿宋_GB2312" w:eastAsia="仿宋_GB2312"/>
      <w:b/>
      <w:sz w:val="32"/>
      <w:szCs w:val="32"/>
    </w:rPr>
  </w:style>
  <w:style w:type="paragraph" w:customStyle="1" w:styleId="216">
    <w:name w:val="font11"/>
    <w:basedOn w:val="1"/>
    <w:qFormat/>
    <w:uiPriority w:val="0"/>
    <w:pPr>
      <w:widowControl/>
      <w:spacing w:before="100" w:beforeAutospacing="1" w:after="100" w:afterAutospacing="1"/>
      <w:jc w:val="left"/>
    </w:pPr>
    <w:rPr>
      <w:rFonts w:ascii="宋体" w:hAnsi="宋体" w:eastAsia="宋体" w:cs="宋体"/>
      <w:b/>
      <w:bCs/>
      <w:i/>
      <w:iCs/>
      <w:kern w:val="0"/>
      <w:sz w:val="20"/>
    </w:rPr>
  </w:style>
  <w:style w:type="paragraph" w:customStyle="1" w:styleId="217">
    <w:name w:val="xl156"/>
    <w:basedOn w:val="1"/>
    <w:autoRedefine/>
    <w:qFormat/>
    <w:uiPriority w:val="0"/>
    <w:pPr>
      <w:widowControl/>
      <w:shd w:val="clear" w:color="000000" w:fill="FFFFFF"/>
      <w:spacing w:before="100" w:beforeAutospacing="1" w:after="100" w:afterAutospacing="1"/>
      <w:jc w:val="center"/>
    </w:pPr>
    <w:rPr>
      <w:rFonts w:ascii="宋体" w:hAnsi="宋体" w:eastAsia="宋体" w:cs="宋体"/>
      <w:kern w:val="0"/>
      <w:sz w:val="20"/>
    </w:rPr>
  </w:style>
  <w:style w:type="paragraph" w:customStyle="1" w:styleId="218">
    <w:name w:val="纯文本1"/>
    <w:basedOn w:val="1"/>
    <w:autoRedefine/>
    <w:qFormat/>
    <w:uiPriority w:val="0"/>
    <w:pPr>
      <w:adjustRightInd w:val="0"/>
      <w:textAlignment w:val="baseline"/>
    </w:pPr>
    <w:rPr>
      <w:rFonts w:ascii="宋体" w:hAnsi="Courier New" w:eastAsia="宋体"/>
      <w:sz w:val="28"/>
    </w:rPr>
  </w:style>
  <w:style w:type="paragraph" w:customStyle="1" w:styleId="219">
    <w:name w:val="xl47"/>
    <w:basedOn w:val="1"/>
    <w:autoRedefine/>
    <w:qFormat/>
    <w:uiPriority w:val="0"/>
    <w:pPr>
      <w:widowControl/>
      <w:spacing w:before="100" w:beforeAutospacing="1" w:after="100" w:afterAutospacing="1"/>
      <w:jc w:val="center"/>
    </w:pPr>
    <w:rPr>
      <w:rFonts w:ascii="Univers" w:hAnsi="Univers" w:eastAsia="宋体" w:cs="宋体"/>
      <w:b/>
      <w:bCs/>
      <w:kern w:val="0"/>
      <w:sz w:val="24"/>
      <w:szCs w:val="24"/>
    </w:rPr>
  </w:style>
  <w:style w:type="paragraph" w:customStyle="1" w:styleId="220">
    <w:name w:val="xl80"/>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kern w:val="0"/>
      <w:sz w:val="24"/>
      <w:szCs w:val="24"/>
    </w:rPr>
  </w:style>
  <w:style w:type="paragraph" w:customStyle="1" w:styleId="221">
    <w:name w:val="content"/>
    <w:basedOn w:val="1"/>
    <w:autoRedefine/>
    <w:qFormat/>
    <w:uiPriority w:val="0"/>
    <w:pPr>
      <w:widowControl/>
      <w:spacing w:before="180" w:after="180" w:line="225" w:lineRule="atLeast"/>
      <w:ind w:left="180" w:right="180"/>
      <w:jc w:val="left"/>
    </w:pPr>
    <w:rPr>
      <w:rFonts w:ascii="Arial" w:hAnsi="Arial" w:eastAsia="宋体" w:cs="Arial"/>
      <w:color w:val="153B63"/>
      <w:kern w:val="0"/>
      <w:sz w:val="18"/>
      <w:szCs w:val="18"/>
    </w:rPr>
  </w:style>
  <w:style w:type="paragraph" w:customStyle="1" w:styleId="222">
    <w:name w:val="正文1"/>
    <w:next w:val="1"/>
    <w:autoRedefine/>
    <w:qFormat/>
    <w:uiPriority w:val="0"/>
    <w:pPr>
      <w:spacing w:line="360" w:lineRule="auto"/>
      <w:ind w:firstLine="480" w:firstLineChars="200"/>
    </w:pPr>
    <w:rPr>
      <w:rFonts w:ascii="宋体" w:hAnsi="宋体" w:eastAsia="宋体" w:cs="宋体"/>
      <w:sz w:val="24"/>
      <w:szCs w:val="24"/>
      <w:lang w:val="en-US" w:eastAsia="zh-CN" w:bidi="ar-SA"/>
    </w:rPr>
  </w:style>
  <w:style w:type="paragraph" w:customStyle="1" w:styleId="223">
    <w:name w:val="图"/>
    <w:basedOn w:val="1"/>
    <w:autoRedefine/>
    <w:qFormat/>
    <w:uiPriority w:val="0"/>
    <w:pPr>
      <w:keepNext/>
      <w:adjustRightInd w:val="0"/>
      <w:spacing w:before="60" w:after="60" w:line="300" w:lineRule="auto"/>
      <w:jc w:val="center"/>
      <w:textAlignment w:val="center"/>
    </w:pPr>
    <w:rPr>
      <w:rFonts w:ascii="Times New Roman" w:hAnsi="Times New Roman" w:eastAsia="宋体"/>
      <w:snapToGrid w:val="0"/>
      <w:spacing w:val="20"/>
      <w:kern w:val="0"/>
      <w:sz w:val="24"/>
    </w:rPr>
  </w:style>
  <w:style w:type="paragraph" w:customStyle="1" w:styleId="224">
    <w:name w:val="xl46"/>
    <w:basedOn w:val="1"/>
    <w:autoRedefine/>
    <w:qFormat/>
    <w:uiPriority w:val="0"/>
    <w:pPr>
      <w:widowControl/>
      <w:spacing w:before="100" w:beforeAutospacing="1" w:after="100" w:afterAutospacing="1"/>
      <w:jc w:val="left"/>
      <w:textAlignment w:val="center"/>
    </w:pPr>
    <w:rPr>
      <w:rFonts w:ascii="Univers" w:hAnsi="Univers" w:eastAsia="宋体" w:cs="宋体"/>
      <w:kern w:val="0"/>
      <w:sz w:val="24"/>
      <w:szCs w:val="24"/>
    </w:rPr>
  </w:style>
  <w:style w:type="paragraph" w:customStyle="1" w:styleId="225">
    <w:name w:val="Char Char Char Char Char Char Char Char Char Char Char Char Char"/>
    <w:basedOn w:val="16"/>
    <w:autoRedefine/>
    <w:qFormat/>
    <w:uiPriority w:val="0"/>
    <w:rPr>
      <w:rFonts w:ascii="Tahoma" w:hAnsi="Tahoma"/>
      <w:sz w:val="24"/>
      <w:szCs w:val="24"/>
    </w:rPr>
  </w:style>
  <w:style w:type="paragraph" w:customStyle="1" w:styleId="226">
    <w:name w:val="6"/>
    <w:basedOn w:val="1"/>
    <w:next w:val="21"/>
    <w:autoRedefine/>
    <w:qFormat/>
    <w:uiPriority w:val="0"/>
    <w:pPr>
      <w:spacing w:after="120"/>
    </w:pPr>
    <w:rPr>
      <w:rFonts w:eastAsia="宋体"/>
      <w:sz w:val="21"/>
      <w:szCs w:val="24"/>
    </w:rPr>
  </w:style>
  <w:style w:type="paragraph" w:customStyle="1" w:styleId="227">
    <w:name w:val="样式3"/>
    <w:basedOn w:val="2"/>
    <w:autoRedefine/>
    <w:qFormat/>
    <w:uiPriority w:val="0"/>
    <w:pPr>
      <w:keepLines w:val="0"/>
      <w:autoSpaceDE w:val="0"/>
      <w:autoSpaceDN w:val="0"/>
      <w:adjustRightInd w:val="0"/>
      <w:spacing w:before="0" w:after="0" w:line="360" w:lineRule="auto"/>
      <w:jc w:val="center"/>
      <w:textAlignment w:val="baseline"/>
    </w:pPr>
    <w:rPr>
      <w:rFonts w:eastAsia="宋体"/>
      <w:kern w:val="0"/>
      <w:sz w:val="24"/>
      <w:szCs w:val="24"/>
    </w:rPr>
  </w:style>
  <w:style w:type="paragraph" w:customStyle="1" w:styleId="228">
    <w:name w:val="纯文本2"/>
    <w:basedOn w:val="1"/>
    <w:autoRedefine/>
    <w:qFormat/>
    <w:uiPriority w:val="0"/>
    <w:pPr>
      <w:adjustRightInd w:val="0"/>
      <w:textAlignment w:val="baseline"/>
    </w:pPr>
    <w:rPr>
      <w:rFonts w:ascii="宋体" w:hAnsi="Courier New" w:eastAsia="宋体"/>
    </w:rPr>
  </w:style>
  <w:style w:type="paragraph" w:customStyle="1" w:styleId="229">
    <w:name w:val="xl152"/>
    <w:basedOn w:val="1"/>
    <w:autoRedefine/>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30">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31">
    <w:name w:val="xl1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32">
    <w:name w:val="font9"/>
    <w:basedOn w:val="1"/>
    <w:autoRedefine/>
    <w:qFormat/>
    <w:uiPriority w:val="0"/>
    <w:pPr>
      <w:widowControl/>
      <w:spacing w:before="100" w:beforeAutospacing="1" w:after="100" w:afterAutospacing="1"/>
      <w:jc w:val="left"/>
    </w:pPr>
    <w:rPr>
      <w:rFonts w:eastAsia="宋体"/>
      <w:b/>
      <w:bCs/>
      <w:kern w:val="0"/>
      <w:sz w:val="20"/>
    </w:rPr>
  </w:style>
  <w:style w:type="paragraph" w:customStyle="1" w:styleId="233">
    <w:name w:val="xl10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34">
    <w:name w:val="xl59"/>
    <w:basedOn w:val="1"/>
    <w:autoRedefine/>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235">
    <w:name w:val="xl11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6">
    <w:name w:val="font10"/>
    <w:basedOn w:val="1"/>
    <w:qFormat/>
    <w:uiPriority w:val="0"/>
    <w:pPr>
      <w:widowControl/>
      <w:spacing w:before="100" w:beforeAutospacing="1" w:after="100" w:afterAutospacing="1"/>
      <w:jc w:val="left"/>
    </w:pPr>
    <w:rPr>
      <w:rFonts w:ascii="宋体" w:hAnsi="宋体" w:eastAsia="宋体" w:cs="宋体"/>
      <w:b/>
      <w:bCs/>
      <w:kern w:val="0"/>
      <w:sz w:val="22"/>
      <w:szCs w:val="22"/>
    </w:rPr>
  </w:style>
  <w:style w:type="paragraph" w:customStyle="1" w:styleId="237">
    <w:name w:val="Char Char Char Char Char Char Char1 Char"/>
    <w:basedOn w:val="1"/>
    <w:autoRedefine/>
    <w:qFormat/>
    <w:uiPriority w:val="0"/>
    <w:rPr>
      <w:rFonts w:ascii="Tahoma" w:hAnsi="Tahoma" w:eastAsia="宋体"/>
      <w:sz w:val="24"/>
    </w:rPr>
  </w:style>
  <w:style w:type="paragraph" w:customStyle="1" w:styleId="238">
    <w:name w:val="xl14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239">
    <w:name w:val="Char1"/>
    <w:basedOn w:val="1"/>
    <w:autoRedefine/>
    <w:qFormat/>
    <w:uiPriority w:val="0"/>
    <w:pPr>
      <w:widowControl/>
      <w:spacing w:after="160" w:line="240" w:lineRule="exact"/>
      <w:jc w:val="left"/>
    </w:pPr>
    <w:rPr>
      <w:rFonts w:ascii="Verdana" w:hAnsi="Verdana" w:eastAsia="宋体"/>
      <w:kern w:val="0"/>
      <w:sz w:val="21"/>
      <w:lang w:eastAsia="en-US"/>
    </w:rPr>
  </w:style>
  <w:style w:type="paragraph" w:customStyle="1" w:styleId="240">
    <w:name w:val="xl57"/>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41">
    <w:name w:val="Char Char Char Char Char Char1 Char"/>
    <w:basedOn w:val="1"/>
    <w:autoRedefine/>
    <w:qFormat/>
    <w:uiPriority w:val="0"/>
    <w:pPr>
      <w:widowControl/>
      <w:spacing w:after="160" w:line="240" w:lineRule="exact"/>
      <w:jc w:val="left"/>
    </w:pPr>
    <w:rPr>
      <w:rFonts w:eastAsia="宋体"/>
      <w:sz w:val="21"/>
    </w:rPr>
  </w:style>
  <w:style w:type="paragraph" w:customStyle="1" w:styleId="242">
    <w:name w:val="xl93"/>
    <w:basedOn w:val="1"/>
    <w:autoRedefine/>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243">
    <w:name w:val="xl161"/>
    <w:basedOn w:val="1"/>
    <w:autoRedefine/>
    <w:qFormat/>
    <w:uiPriority w:val="0"/>
    <w:pPr>
      <w:widowControl/>
      <w:spacing w:before="100" w:beforeAutospacing="1" w:after="100" w:afterAutospacing="1"/>
      <w:jc w:val="center"/>
    </w:pPr>
    <w:rPr>
      <w:rFonts w:ascii="宋体" w:hAnsi="宋体" w:eastAsia="宋体" w:cs="宋体"/>
      <w:color w:val="FF0000"/>
      <w:kern w:val="0"/>
      <w:sz w:val="20"/>
    </w:rPr>
  </w:style>
  <w:style w:type="paragraph" w:customStyle="1" w:styleId="244">
    <w:name w:val="xl154"/>
    <w:basedOn w:val="1"/>
    <w:autoRedefine/>
    <w:qFormat/>
    <w:uiPriority w:val="0"/>
    <w:pPr>
      <w:widowControl/>
      <w:pBdr>
        <w:left w:val="single" w:color="auto" w:sz="4" w:space="0"/>
        <w:bottom w:val="double" w:color="auto" w:sz="6" w:space="0"/>
      </w:pBdr>
      <w:spacing w:before="100" w:beforeAutospacing="1" w:after="100" w:afterAutospacing="1"/>
      <w:jc w:val="left"/>
    </w:pPr>
    <w:rPr>
      <w:rFonts w:ascii="宋体" w:hAnsi="宋体" w:eastAsia="宋体" w:cs="宋体"/>
      <w:kern w:val="0"/>
      <w:sz w:val="20"/>
    </w:rPr>
  </w:style>
  <w:style w:type="paragraph" w:customStyle="1" w:styleId="245">
    <w:name w:val="xl86"/>
    <w:basedOn w:val="1"/>
    <w:autoRedefine/>
    <w:qFormat/>
    <w:uiPriority w:val="0"/>
    <w:pPr>
      <w:widowControl/>
      <w:pBdr>
        <w:top w:val="single" w:color="auto" w:sz="4" w:space="0"/>
        <w:left w:val="single" w:color="auto" w:sz="4" w:space="0"/>
      </w:pBdr>
      <w:spacing w:before="100" w:beforeAutospacing="1" w:after="100" w:afterAutospacing="1"/>
      <w:jc w:val="center"/>
    </w:pPr>
    <w:rPr>
      <w:rFonts w:eastAsia="宋体"/>
      <w:kern w:val="0"/>
      <w:sz w:val="24"/>
      <w:szCs w:val="24"/>
    </w:rPr>
  </w:style>
  <w:style w:type="paragraph" w:customStyle="1" w:styleId="246">
    <w:name w:val="xl52"/>
    <w:basedOn w:val="1"/>
    <w:autoRedefine/>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247">
    <w:name w:val="正文首行缩进{858D7CFB-ED40-4347-BF05-701D383B685F}{858D7CFB-ED40-4347-BF05-701D383B685F}"/>
    <w:basedOn w:val="1"/>
    <w:autoRedefine/>
    <w:qFormat/>
    <w:uiPriority w:val="0"/>
    <w:pPr>
      <w:ind w:firstLine="420"/>
    </w:pPr>
    <w:rPr>
      <w:rFonts w:ascii="Times New Roman" w:hAnsi="Times New Roman" w:eastAsia="宋体"/>
      <w:sz w:val="21"/>
    </w:rPr>
  </w:style>
  <w:style w:type="paragraph" w:customStyle="1" w:styleId="248">
    <w:name w:val="普通 (Web)"/>
    <w:basedOn w:val="1"/>
    <w:autoRedefine/>
    <w:qFormat/>
    <w:uiPriority w:val="0"/>
    <w:pPr>
      <w:widowControl/>
      <w:spacing w:afterLines="50" w:line="384" w:lineRule="auto"/>
      <w:ind w:left="359" w:leftChars="171" w:right="34" w:firstLine="540" w:firstLineChars="225"/>
      <w:jc w:val="left"/>
    </w:pPr>
    <w:rPr>
      <w:rFonts w:ascii="Arial" w:hAnsi="Arial" w:eastAsia="宋体" w:cs="Arial"/>
      <w:kern w:val="0"/>
      <w:sz w:val="24"/>
      <w:szCs w:val="24"/>
    </w:rPr>
  </w:style>
  <w:style w:type="paragraph" w:customStyle="1" w:styleId="249">
    <w:name w:val="xl10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250">
    <w:name w:val="xl143"/>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51">
    <w:name w:val="xl126"/>
    <w:basedOn w:val="1"/>
    <w:autoRedefine/>
    <w:qFormat/>
    <w:uiPriority w:val="0"/>
    <w:pPr>
      <w:widowControl/>
      <w:pBdr>
        <w:top w:val="single" w:color="auto" w:sz="4" w:space="0"/>
        <w:left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25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3">
    <w:name w:val="xl13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254">
    <w:name w:val="xl51"/>
    <w:basedOn w:val="1"/>
    <w:autoRedefine/>
    <w:qFormat/>
    <w:uiPriority w:val="0"/>
    <w:pPr>
      <w:widowControl/>
      <w:spacing w:before="100" w:beforeAutospacing="1" w:after="100" w:afterAutospacing="1"/>
      <w:jc w:val="right"/>
      <w:textAlignment w:val="center"/>
    </w:pPr>
    <w:rPr>
      <w:rFonts w:ascii="Univers" w:hAnsi="Univers" w:eastAsia="宋体" w:cs="宋体"/>
      <w:b/>
      <w:bCs/>
      <w:kern w:val="0"/>
      <w:sz w:val="24"/>
      <w:szCs w:val="24"/>
    </w:rPr>
  </w:style>
  <w:style w:type="paragraph" w:customStyle="1" w:styleId="255">
    <w:name w:val="xl124"/>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56">
    <w:name w:val="xl123"/>
    <w:basedOn w:val="1"/>
    <w:autoRedefine/>
    <w:qFormat/>
    <w:uiPriority w:val="0"/>
    <w:pPr>
      <w:widowControl/>
      <w:spacing w:before="100" w:beforeAutospacing="1" w:after="100" w:afterAutospacing="1"/>
      <w:jc w:val="center"/>
    </w:pPr>
    <w:rPr>
      <w:rFonts w:ascii="楷体_GB2312" w:hAnsi="宋体" w:cs="宋体"/>
      <w:b/>
      <w:bCs/>
      <w:kern w:val="0"/>
      <w:sz w:val="32"/>
      <w:szCs w:val="32"/>
    </w:rPr>
  </w:style>
  <w:style w:type="paragraph" w:customStyle="1" w:styleId="257">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258">
    <w:name w:val="xl6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9">
    <w:name w:val="Char Char Char"/>
    <w:basedOn w:val="1"/>
    <w:autoRedefine/>
    <w:qFormat/>
    <w:uiPriority w:val="0"/>
    <w:pPr>
      <w:adjustRightInd w:val="0"/>
      <w:spacing w:line="360" w:lineRule="auto"/>
    </w:pPr>
    <w:rPr>
      <w:rFonts w:eastAsia="宋体"/>
      <w:sz w:val="21"/>
      <w:szCs w:val="24"/>
    </w:rPr>
  </w:style>
  <w:style w:type="paragraph" w:customStyle="1" w:styleId="260">
    <w:name w:val="xl14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61">
    <w:name w:val="方案正文"/>
    <w:basedOn w:val="1"/>
    <w:autoRedefine/>
    <w:qFormat/>
    <w:uiPriority w:val="0"/>
    <w:pPr>
      <w:spacing w:line="360" w:lineRule="auto"/>
    </w:pPr>
    <w:rPr>
      <w:rFonts w:eastAsia="宋体"/>
      <w:sz w:val="24"/>
      <w:szCs w:val="24"/>
    </w:rPr>
  </w:style>
  <w:style w:type="paragraph" w:customStyle="1" w:styleId="262">
    <w:name w:val="表项"/>
    <w:next w:val="1"/>
    <w:autoRedefine/>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63">
    <w:name w:val="xl11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64">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65">
    <w:name w:val="xl98"/>
    <w:basedOn w:val="1"/>
    <w:autoRedefine/>
    <w:qFormat/>
    <w:uiPriority w:val="0"/>
    <w:pPr>
      <w:widowControl/>
      <w:pBdr>
        <w:top w:val="single" w:color="auto" w:sz="4" w:space="0"/>
      </w:pBdr>
      <w:spacing w:before="100" w:beforeAutospacing="1" w:after="100" w:afterAutospacing="1"/>
      <w:jc w:val="center"/>
    </w:pPr>
    <w:rPr>
      <w:rFonts w:eastAsia="宋体"/>
      <w:kern w:val="0"/>
      <w:sz w:val="24"/>
      <w:szCs w:val="24"/>
    </w:rPr>
  </w:style>
  <w:style w:type="paragraph" w:customStyle="1" w:styleId="266">
    <w:name w:val="flType"/>
    <w:basedOn w:val="212"/>
    <w:autoRedefine/>
    <w:qFormat/>
    <w:uiPriority w:val="0"/>
    <w:pPr>
      <w:spacing w:before="560" w:after="120"/>
    </w:pPr>
    <w:rPr>
      <w:sz w:val="28"/>
    </w:rPr>
  </w:style>
  <w:style w:type="paragraph" w:customStyle="1" w:styleId="267">
    <w:name w:val="font1"/>
    <w:basedOn w:val="1"/>
    <w:qFormat/>
    <w:uiPriority w:val="0"/>
    <w:pPr>
      <w:widowControl/>
      <w:spacing w:before="100" w:beforeAutospacing="1" w:after="100" w:afterAutospacing="1"/>
      <w:jc w:val="left"/>
    </w:pPr>
    <w:rPr>
      <w:rFonts w:ascii="宋体" w:hAnsi="宋体" w:eastAsia="宋体" w:cs="宋体"/>
      <w:outline/>
      <w:kern w:val="0"/>
      <w:sz w:val="24"/>
      <w:szCs w:val="24"/>
      <w14:textOutline w14:w="9525" w14:cap="flat" w14:cmpd="sng" w14:algn="ctr">
        <w14:solidFill>
          <w14:srgbClr w14:val="000000"/>
        </w14:solidFill>
        <w14:prstDash w14:val="solid"/>
        <w14:round/>
      </w14:textOutline>
      <w14:textFill>
        <w14:noFill/>
      </w14:textFill>
    </w:rPr>
  </w:style>
  <w:style w:type="paragraph" w:customStyle="1" w:styleId="268">
    <w:name w:val="xl11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69">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270">
    <w:name w:val="xl127"/>
    <w:basedOn w:val="1"/>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271">
    <w:name w:val="xl135"/>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72">
    <w:name w:val="xl105"/>
    <w:basedOn w:val="1"/>
    <w:qFormat/>
    <w:uiPriority w:val="0"/>
    <w:pPr>
      <w:widowControl/>
      <w:pBdr>
        <w:top w:val="single" w:color="auto" w:sz="4" w:space="0"/>
      </w:pBdr>
      <w:spacing w:before="100" w:beforeAutospacing="1" w:after="100" w:afterAutospacing="1"/>
      <w:jc w:val="center"/>
    </w:pPr>
    <w:rPr>
      <w:rFonts w:eastAsia="宋体"/>
      <w:b/>
      <w:bCs/>
      <w:kern w:val="0"/>
      <w:sz w:val="24"/>
      <w:szCs w:val="24"/>
    </w:rPr>
  </w:style>
  <w:style w:type="paragraph" w:customStyle="1" w:styleId="273">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74">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275">
    <w:name w:val="xl163"/>
    <w:basedOn w:val="1"/>
    <w:qFormat/>
    <w:uiPriority w:val="0"/>
    <w:pPr>
      <w:widowControl/>
      <w:pBdr>
        <w:top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76">
    <w:name w:val="h"/>
    <w:basedOn w:val="1"/>
    <w:qFormat/>
    <w:uiPriority w:val="0"/>
    <w:pPr>
      <w:widowControl/>
      <w:spacing w:before="100" w:beforeAutospacing="1" w:after="100" w:afterAutospacing="1" w:line="280" w:lineRule="atLeast"/>
      <w:jc w:val="left"/>
    </w:pPr>
    <w:rPr>
      <w:rFonts w:ascii="宋体" w:hAnsi="宋体" w:eastAsia="宋体"/>
      <w:color w:val="003366"/>
      <w:kern w:val="0"/>
      <w:sz w:val="18"/>
      <w:szCs w:val="18"/>
    </w:rPr>
  </w:style>
  <w:style w:type="paragraph" w:customStyle="1" w:styleId="277">
    <w:name w:val="样式 宋体 四号 行距: 固定值 25 磅1"/>
    <w:basedOn w:val="1"/>
    <w:qFormat/>
    <w:uiPriority w:val="0"/>
    <w:pPr>
      <w:tabs>
        <w:tab w:val="left" w:pos="420"/>
      </w:tabs>
      <w:spacing w:line="500" w:lineRule="exact"/>
      <w:ind w:left="420" w:hanging="420"/>
    </w:pPr>
    <w:rPr>
      <w:rFonts w:ascii="宋体" w:hAnsi="宋体" w:eastAsia="宋体"/>
      <w:sz w:val="28"/>
    </w:rPr>
  </w:style>
  <w:style w:type="paragraph" w:customStyle="1" w:styleId="278">
    <w:name w:val="文档正文"/>
    <w:basedOn w:val="1"/>
    <w:qFormat/>
    <w:uiPriority w:val="0"/>
    <w:pPr>
      <w:adjustRightInd w:val="0"/>
      <w:spacing w:line="440" w:lineRule="atLeast"/>
      <w:ind w:firstLine="567"/>
      <w:textAlignment w:val="baseline"/>
    </w:pPr>
    <w:rPr>
      <w:rFonts w:ascii="宋体" w:eastAsia="宋体"/>
      <w:spacing w:val="4"/>
      <w:kern w:val="0"/>
      <w:sz w:val="24"/>
    </w:rPr>
  </w:style>
  <w:style w:type="paragraph" w:customStyle="1" w:styleId="279">
    <w:name w:val="Char3 Char Char Char"/>
    <w:basedOn w:val="1"/>
    <w:autoRedefine/>
    <w:qFormat/>
    <w:uiPriority w:val="0"/>
    <w:pPr>
      <w:widowControl/>
      <w:spacing w:after="160" w:line="240" w:lineRule="exact"/>
      <w:jc w:val="left"/>
    </w:pPr>
    <w:rPr>
      <w:rFonts w:ascii="Verdana" w:hAnsi="Verdana" w:eastAsia="宋体"/>
      <w:kern w:val="0"/>
      <w:sz w:val="20"/>
      <w:lang w:eastAsia="en-US"/>
    </w:rPr>
  </w:style>
  <w:style w:type="paragraph" w:customStyle="1" w:styleId="280">
    <w:name w:val="xl68"/>
    <w:basedOn w:val="1"/>
    <w:qFormat/>
    <w:uiPriority w:val="0"/>
    <w:pPr>
      <w:widowControl/>
      <w:pBdr>
        <w:top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8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82">
    <w:name w:val="xl160"/>
    <w:basedOn w:val="1"/>
    <w:qFormat/>
    <w:uiPriority w:val="0"/>
    <w:pPr>
      <w:widowControl/>
      <w:pBdr>
        <w:top w:val="single" w:color="auto" w:sz="4" w:space="0"/>
        <w:bottom w:val="double" w:color="auto" w:sz="6" w:space="0"/>
      </w:pBdr>
      <w:spacing w:before="100" w:beforeAutospacing="1" w:after="100" w:afterAutospacing="1"/>
      <w:jc w:val="left"/>
    </w:pPr>
    <w:rPr>
      <w:rFonts w:ascii="宋体" w:hAnsi="宋体" w:eastAsia="宋体" w:cs="宋体"/>
      <w:color w:val="FF0000"/>
      <w:kern w:val="0"/>
      <w:sz w:val="20"/>
    </w:rPr>
  </w:style>
  <w:style w:type="paragraph" w:customStyle="1" w:styleId="283">
    <w:name w:val="xl148"/>
    <w:basedOn w:val="1"/>
    <w:qFormat/>
    <w:uiPriority w:val="0"/>
    <w:pPr>
      <w:widowControl/>
      <w:pBdr>
        <w:left w:val="double" w:color="auto" w:sz="6"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84">
    <w:name w:val="xl6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85">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86">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287">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2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289">
    <w:name w:val="xl13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0">
    <w:name w:val="xl13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1">
    <w:name w:val="xl6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292">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FF0000"/>
      <w:kern w:val="0"/>
      <w:sz w:val="24"/>
      <w:szCs w:val="24"/>
    </w:rPr>
  </w:style>
  <w:style w:type="paragraph" w:customStyle="1" w:styleId="294">
    <w:name w:val="小四 段落 宋体 Char Char"/>
    <w:basedOn w:val="14"/>
    <w:qFormat/>
    <w:uiPriority w:val="0"/>
    <w:pPr>
      <w:spacing w:line="360" w:lineRule="auto"/>
      <w:ind w:left="0" w:right="-33" w:firstLine="480" w:firstLineChars="200"/>
      <w:jc w:val="left"/>
    </w:pPr>
    <w:rPr>
      <w:sz w:val="24"/>
    </w:rPr>
  </w:style>
  <w:style w:type="paragraph" w:customStyle="1" w:styleId="29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96">
    <w:name w:val="xl83"/>
    <w:basedOn w:val="1"/>
    <w:autoRedefine/>
    <w:qFormat/>
    <w:uiPriority w:val="0"/>
    <w:pPr>
      <w:widowControl/>
      <w:spacing w:before="100" w:beforeAutospacing="1" w:after="100" w:afterAutospacing="1"/>
      <w:jc w:val="left"/>
    </w:pPr>
    <w:rPr>
      <w:rFonts w:eastAsia="宋体"/>
      <w:kern w:val="0"/>
      <w:sz w:val="24"/>
      <w:szCs w:val="24"/>
    </w:rPr>
  </w:style>
  <w:style w:type="paragraph" w:customStyle="1" w:styleId="297">
    <w:name w:val="font7"/>
    <w:basedOn w:val="1"/>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298">
    <w:name w:val="样式 标题 2 + 图案: 清除 (自定义颜色(RGB(202189233)))"/>
    <w:basedOn w:val="3"/>
    <w:qFormat/>
    <w:uiPriority w:val="0"/>
    <w:pPr>
      <w:shd w:val="clear" w:color="auto" w:fill="CABDE9"/>
      <w:tabs>
        <w:tab w:val="left" w:pos="840"/>
      </w:tabs>
      <w:overflowPunct/>
      <w:adjustRightInd/>
      <w:spacing w:before="100" w:beforeAutospacing="1" w:after="100" w:afterAutospacing="1" w:line="320" w:lineRule="exact"/>
      <w:ind w:left="1400" w:hanging="420"/>
      <w:jc w:val="both"/>
      <w:textAlignment w:val="auto"/>
    </w:pPr>
    <w:rPr>
      <w:rFonts w:ascii="Arial" w:hAnsi="Arial" w:eastAsia="黑体" w:cs="宋体"/>
      <w:bCs/>
      <w:sz w:val="28"/>
      <w:szCs w:val="28"/>
    </w:rPr>
  </w:style>
  <w:style w:type="paragraph" w:customStyle="1" w:styleId="299">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0"/>
    </w:rPr>
  </w:style>
  <w:style w:type="paragraph" w:customStyle="1" w:styleId="300">
    <w:name w:val="xl54"/>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301">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302">
    <w:name w:val="xl12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303">
    <w:name w:val="样式 正文首行缩进2字 + 仿宋_GB2312 段前: 自动 段后: 自动"/>
    <w:basedOn w:val="1"/>
    <w:qFormat/>
    <w:uiPriority w:val="0"/>
    <w:pPr>
      <w:spacing w:before="100" w:beforeAutospacing="1" w:after="100" w:afterAutospacing="1"/>
      <w:ind w:firstLine="200" w:firstLineChars="200"/>
    </w:pPr>
    <w:rPr>
      <w:rFonts w:ascii="仿宋_GB2312" w:eastAsia="仿宋_GB2312"/>
      <w:kern w:val="0"/>
      <w:sz w:val="28"/>
    </w:rPr>
  </w:style>
  <w:style w:type="paragraph" w:customStyle="1" w:styleId="304">
    <w:name w:val="xl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305">
    <w:name w:val="xl134"/>
    <w:basedOn w:val="1"/>
    <w:qFormat/>
    <w:uiPriority w:val="0"/>
    <w:pPr>
      <w:widowControl/>
      <w:pBdr>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306">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307">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308">
    <w:name w:val="xl1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309">
    <w:name w:val="默认段落字体 Para Char Char Char"/>
    <w:basedOn w:val="1"/>
    <w:qFormat/>
    <w:uiPriority w:val="0"/>
    <w:pPr>
      <w:spacing w:line="360" w:lineRule="auto"/>
      <w:ind w:firstLine="200" w:firstLineChars="200"/>
    </w:pPr>
    <w:rPr>
      <w:rFonts w:eastAsia="宋体"/>
      <w:sz w:val="24"/>
      <w:szCs w:val="24"/>
    </w:rPr>
  </w:style>
  <w:style w:type="character" w:customStyle="1" w:styleId="310">
    <w:name w:val="bigfont1"/>
    <w:qFormat/>
    <w:uiPriority w:val="0"/>
    <w:rPr>
      <w:rFonts w:hint="default"/>
      <w:color w:val="000000"/>
      <w:sz w:val="24"/>
      <w:szCs w:val="24"/>
      <w:u w:val="none"/>
    </w:rPr>
  </w:style>
  <w:style w:type="character" w:customStyle="1" w:styleId="311">
    <w:name w:val="页眉 Char Char"/>
    <w:qFormat/>
    <w:uiPriority w:val="0"/>
    <w:rPr>
      <w:kern w:val="2"/>
      <w:sz w:val="18"/>
    </w:rPr>
  </w:style>
  <w:style w:type="character" w:customStyle="1" w:styleId="312">
    <w:name w:val="font21"/>
    <w:autoRedefine/>
    <w:qFormat/>
    <w:uiPriority w:val="0"/>
    <w:rPr>
      <w:rFonts w:hint="eastAsia" w:ascii="微软雅黑" w:hAnsi="微软雅黑" w:eastAsia="微软雅黑" w:cs="微软雅黑"/>
      <w:color w:val="000000"/>
      <w:sz w:val="20"/>
      <w:szCs w:val="20"/>
      <w:u w:val="none"/>
    </w:rPr>
  </w:style>
  <w:style w:type="character" w:customStyle="1" w:styleId="313">
    <w:name w:val="不明显强调1"/>
    <w:qFormat/>
    <w:uiPriority w:val="19"/>
    <w:rPr>
      <w:rFonts w:ascii="Times New Roman" w:hAnsi="Times New Roman" w:eastAsia="宋体" w:cs="Times New Roman"/>
      <w:i/>
      <w:iCs/>
      <w:color w:val="7F7F7F"/>
    </w:rPr>
  </w:style>
  <w:style w:type="character" w:customStyle="1" w:styleId="314">
    <w:name w:val="明显强调1"/>
    <w:qFormat/>
    <w:uiPriority w:val="0"/>
    <w:rPr>
      <w:b/>
      <w:bCs/>
      <w:i/>
      <w:iCs/>
      <w:color w:val="4F81BD"/>
    </w:rPr>
  </w:style>
  <w:style w:type="character" w:customStyle="1" w:styleId="315">
    <w:name w:val="标题 4 Char Char"/>
    <w:qFormat/>
    <w:uiPriority w:val="0"/>
    <w:rPr>
      <w:rFonts w:ascii="Arial" w:hAnsi="Arial" w:eastAsia="黑体"/>
      <w:b/>
      <w:bCs/>
      <w:kern w:val="2"/>
      <w:sz w:val="28"/>
      <w:szCs w:val="28"/>
    </w:rPr>
  </w:style>
  <w:style w:type="character" w:customStyle="1" w:styleId="316">
    <w:name w:val="书籍标题1"/>
    <w:qFormat/>
    <w:uiPriority w:val="0"/>
    <w:rPr>
      <w:b/>
      <w:bCs/>
      <w:smallCaps/>
      <w:spacing w:val="5"/>
    </w:rPr>
  </w:style>
  <w:style w:type="character" w:customStyle="1" w:styleId="317">
    <w:name w:val="页脚 Char Char"/>
    <w:qFormat/>
    <w:uiPriority w:val="0"/>
    <w:rPr>
      <w:kern w:val="2"/>
      <w:sz w:val="18"/>
    </w:rPr>
  </w:style>
  <w:style w:type="character" w:customStyle="1" w:styleId="318">
    <w:name w:val="样式 Char Char"/>
    <w:link w:val="319"/>
    <w:qFormat/>
    <w:uiPriority w:val="0"/>
    <w:rPr>
      <w:rFonts w:ascii="宋体" w:hAnsi="宋体" w:cs="宋体"/>
      <w:sz w:val="24"/>
      <w:szCs w:val="24"/>
      <w:lang w:val="en-US" w:eastAsia="zh-CN" w:bidi="ar-SA"/>
    </w:rPr>
  </w:style>
  <w:style w:type="paragraph" w:customStyle="1" w:styleId="319">
    <w:name w:val="样式"/>
    <w:link w:val="318"/>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20">
    <w:name w:val="标题 Char1"/>
    <w:qFormat/>
    <w:uiPriority w:val="10"/>
    <w:rPr>
      <w:rFonts w:ascii="Cambria" w:hAnsi="Cambria" w:eastAsia="宋体" w:cs="Times New Roman"/>
      <w:b/>
      <w:bCs/>
      <w:sz w:val="32"/>
      <w:szCs w:val="32"/>
    </w:rPr>
  </w:style>
  <w:style w:type="character" w:customStyle="1" w:styleId="321">
    <w:name w:val="font161"/>
    <w:qFormat/>
    <w:uiPriority w:val="0"/>
    <w:rPr>
      <w:b/>
      <w:bCs/>
      <w:sz w:val="32"/>
      <w:szCs w:val="32"/>
    </w:rPr>
  </w:style>
  <w:style w:type="character" w:customStyle="1" w:styleId="322">
    <w:name w:val="标题 3 Char Char"/>
    <w:qFormat/>
    <w:uiPriority w:val="0"/>
    <w:rPr>
      <w:rFonts w:ascii="黑体" w:hAnsi="宋体" w:eastAsia="黑体"/>
      <w:bCs/>
      <w:kern w:val="2"/>
      <w:sz w:val="28"/>
      <w:szCs w:val="28"/>
    </w:rPr>
  </w:style>
  <w:style w:type="character" w:customStyle="1" w:styleId="323">
    <w:name w:val="不明显参考1"/>
    <w:qFormat/>
    <w:uiPriority w:val="0"/>
    <w:rPr>
      <w:smallCaps/>
      <w:color w:val="C0504D"/>
      <w:u w:val="single"/>
    </w:rPr>
  </w:style>
  <w:style w:type="character" w:customStyle="1" w:styleId="324">
    <w:name w:val="副标题 Char"/>
    <w:qFormat/>
    <w:uiPriority w:val="0"/>
    <w:rPr>
      <w:rFonts w:ascii="Cambria" w:hAnsi="Cambria"/>
      <w:b/>
      <w:bCs/>
      <w:kern w:val="28"/>
      <w:sz w:val="32"/>
      <w:szCs w:val="32"/>
    </w:rPr>
  </w:style>
  <w:style w:type="character" w:customStyle="1" w:styleId="325">
    <w:name w:val="Char Char7"/>
    <w:qFormat/>
    <w:uiPriority w:val="0"/>
    <w:rPr>
      <w:rFonts w:ascii="Arial" w:hAnsi="Arial" w:eastAsia="黑体"/>
      <w:b/>
      <w:bCs/>
      <w:kern w:val="2"/>
      <w:sz w:val="32"/>
      <w:szCs w:val="32"/>
      <w:lang w:val="en-US" w:eastAsia="zh-CN" w:bidi="ar-SA"/>
    </w:rPr>
  </w:style>
  <w:style w:type="character" w:customStyle="1" w:styleId="326">
    <w:name w:val="无间隔 字符"/>
    <w:link w:val="327"/>
    <w:qFormat/>
    <w:uiPriority w:val="0"/>
    <w:rPr>
      <w:szCs w:val="24"/>
      <w:lang w:val="en-US" w:eastAsia="zh-CN" w:bidi="ar-SA"/>
    </w:rPr>
  </w:style>
  <w:style w:type="paragraph" w:styleId="327">
    <w:name w:val="No Spacing"/>
    <w:link w:val="326"/>
    <w:qFormat/>
    <w:uiPriority w:val="0"/>
    <w:pPr>
      <w:widowControl w:val="0"/>
      <w:jc w:val="both"/>
    </w:pPr>
    <w:rPr>
      <w:rFonts w:ascii="Calibri" w:hAnsi="Calibri" w:eastAsia="宋体" w:cs="Times New Roman"/>
      <w:szCs w:val="24"/>
      <w:lang w:val="en-US" w:eastAsia="zh-CN" w:bidi="ar-SA"/>
    </w:rPr>
  </w:style>
  <w:style w:type="character" w:customStyle="1" w:styleId="328">
    <w:name w:val="明显引用 Char1"/>
    <w:qFormat/>
    <w:uiPriority w:val="30"/>
    <w:rPr>
      <w:rFonts w:ascii="Times New Roman" w:hAnsi="Times New Roman" w:eastAsia="宋体" w:cs="Times New Roman"/>
      <w:b/>
      <w:bCs/>
      <w:i/>
      <w:iCs/>
      <w:color w:val="4F81BD"/>
      <w:szCs w:val="24"/>
    </w:rPr>
  </w:style>
  <w:style w:type="character" w:customStyle="1" w:styleId="329">
    <w:name w:val="Char Char21"/>
    <w:qFormat/>
    <w:uiPriority w:val="0"/>
    <w:rPr>
      <w:rFonts w:eastAsia="宋体"/>
      <w:kern w:val="2"/>
      <w:sz w:val="21"/>
      <w:szCs w:val="24"/>
      <w:lang w:val="en-US" w:eastAsia="zh-CN" w:bidi="ar-SA"/>
    </w:rPr>
  </w:style>
  <w:style w:type="character" w:customStyle="1" w:styleId="330">
    <w:name w:val="明显引用 Char"/>
    <w:qFormat/>
    <w:uiPriority w:val="0"/>
    <w:rPr>
      <w:b/>
      <w:bCs/>
      <w:i/>
      <w:iCs/>
      <w:color w:val="4F81BD"/>
      <w:szCs w:val="24"/>
    </w:rPr>
  </w:style>
  <w:style w:type="paragraph" w:styleId="331">
    <w:name w:val="Intense Quote"/>
    <w:basedOn w:val="1"/>
    <w:next w:val="1"/>
    <w:link w:val="347"/>
    <w:qFormat/>
    <w:uiPriority w:val="0"/>
    <w:pPr>
      <w:pBdr>
        <w:bottom w:val="single" w:color="4F81BD" w:sz="4" w:space="4"/>
      </w:pBdr>
      <w:spacing w:before="200" w:after="280"/>
      <w:ind w:left="936" w:right="936"/>
    </w:pPr>
    <w:rPr>
      <w:rFonts w:eastAsia="宋体"/>
      <w:b/>
      <w:bCs/>
      <w:i/>
      <w:iCs/>
      <w:color w:val="4F81BD"/>
      <w:kern w:val="0"/>
      <w:sz w:val="20"/>
      <w:szCs w:val="24"/>
    </w:rPr>
  </w:style>
  <w:style w:type="character" w:customStyle="1" w:styleId="332">
    <w:name w:val="Char Char8"/>
    <w:qFormat/>
    <w:uiPriority w:val="0"/>
    <w:rPr>
      <w:rFonts w:ascii="Arial" w:hAnsi="Arial" w:eastAsia="黑体"/>
      <w:b/>
      <w:bCs/>
      <w:kern w:val="2"/>
      <w:sz w:val="32"/>
      <w:szCs w:val="32"/>
      <w:lang w:val="en-US" w:eastAsia="zh-CN" w:bidi="ar-SA"/>
    </w:rPr>
  </w:style>
  <w:style w:type="character" w:customStyle="1" w:styleId="333">
    <w:name w:val="批注文字 Char Char"/>
    <w:qFormat/>
    <w:uiPriority w:val="0"/>
    <w:rPr>
      <w:rFonts w:eastAsia="宋体"/>
      <w:kern w:val="2"/>
      <w:sz w:val="21"/>
      <w:szCs w:val="24"/>
      <w:lang w:val="en-US" w:eastAsia="zh-CN" w:bidi="ar-SA"/>
    </w:rPr>
  </w:style>
  <w:style w:type="character" w:customStyle="1" w:styleId="334">
    <w:name w:val="明显参考1"/>
    <w:qFormat/>
    <w:uiPriority w:val="0"/>
    <w:rPr>
      <w:b/>
      <w:bCs/>
      <w:smallCaps/>
      <w:color w:val="C0504D"/>
      <w:spacing w:val="5"/>
      <w:u w:val="single"/>
    </w:rPr>
  </w:style>
  <w:style w:type="character" w:customStyle="1" w:styleId="335">
    <w:name w:val="font31"/>
    <w:qFormat/>
    <w:uiPriority w:val="0"/>
    <w:rPr>
      <w:rFonts w:hint="eastAsia" w:ascii="宋体" w:hAnsi="宋体" w:eastAsia="宋体" w:cs="宋体"/>
      <w:color w:val="000000"/>
      <w:sz w:val="20"/>
      <w:szCs w:val="20"/>
      <w:u w:val="none"/>
    </w:rPr>
  </w:style>
  <w:style w:type="character" w:customStyle="1" w:styleId="336">
    <w:name w:val="引用 Char"/>
    <w:qFormat/>
    <w:uiPriority w:val="0"/>
    <w:rPr>
      <w:i/>
      <w:iCs/>
      <w:color w:val="000000"/>
      <w:szCs w:val="24"/>
    </w:rPr>
  </w:style>
  <w:style w:type="paragraph" w:styleId="337">
    <w:name w:val="Quote"/>
    <w:basedOn w:val="1"/>
    <w:next w:val="1"/>
    <w:link w:val="348"/>
    <w:qFormat/>
    <w:uiPriority w:val="0"/>
    <w:rPr>
      <w:rFonts w:eastAsia="宋体"/>
      <w:i/>
      <w:iCs/>
      <w:color w:val="000000"/>
      <w:kern w:val="0"/>
      <w:sz w:val="20"/>
      <w:szCs w:val="24"/>
    </w:rPr>
  </w:style>
  <w:style w:type="character" w:customStyle="1" w:styleId="338">
    <w:name w:val="正文文本 3 Char"/>
    <w:qFormat/>
    <w:uiPriority w:val="0"/>
    <w:rPr>
      <w:rFonts w:ascii="宋体"/>
      <w:sz w:val="24"/>
    </w:rPr>
  </w:style>
  <w:style w:type="character" w:customStyle="1" w:styleId="339">
    <w:name w:val="副标题 Char1"/>
    <w:qFormat/>
    <w:uiPriority w:val="11"/>
    <w:rPr>
      <w:rFonts w:ascii="Cambria" w:hAnsi="Cambria" w:eastAsia="宋体" w:cs="Times New Roman"/>
      <w:b/>
      <w:bCs/>
      <w:kern w:val="28"/>
      <w:sz w:val="32"/>
      <w:szCs w:val="32"/>
    </w:rPr>
  </w:style>
  <w:style w:type="character" w:customStyle="1" w:styleId="340">
    <w:name w:val="引用 Char1"/>
    <w:qFormat/>
    <w:uiPriority w:val="29"/>
    <w:rPr>
      <w:rFonts w:ascii="Times New Roman" w:hAnsi="Times New Roman" w:eastAsia="宋体" w:cs="Times New Roman"/>
      <w:i/>
      <w:iCs/>
      <w:color w:val="000000"/>
      <w:szCs w:val="24"/>
    </w:rPr>
  </w:style>
  <w:style w:type="character" w:customStyle="1" w:styleId="341">
    <w:name w:val="不明显强调2"/>
    <w:qFormat/>
    <w:uiPriority w:val="19"/>
    <w:rPr>
      <w:i/>
      <w:iCs/>
      <w:color w:val="808080"/>
    </w:rPr>
  </w:style>
  <w:style w:type="paragraph" w:customStyle="1" w:styleId="342">
    <w:name w:val="注"/>
    <w:basedOn w:val="1"/>
    <w:qFormat/>
    <w:uiPriority w:val="0"/>
    <w:pPr>
      <w:adjustRightInd w:val="0"/>
      <w:spacing w:line="360" w:lineRule="atLeast"/>
      <w:ind w:left="840" w:hanging="420"/>
      <w:textAlignment w:val="baseline"/>
    </w:pPr>
    <w:rPr>
      <w:rFonts w:ascii="Times New Roman" w:hAnsi="Times New Roman" w:eastAsia="宋体"/>
      <w:kern w:val="0"/>
      <w:sz w:val="21"/>
    </w:rPr>
  </w:style>
  <w:style w:type="character" w:customStyle="1" w:styleId="343">
    <w:name w:val="副标题 字符"/>
    <w:link w:val="41"/>
    <w:qFormat/>
    <w:uiPriority w:val="11"/>
    <w:rPr>
      <w:rFonts w:ascii="Cambria" w:hAnsi="Cambria" w:eastAsia="宋体" w:cs="Times New Roman"/>
      <w:b/>
      <w:bCs/>
      <w:kern w:val="28"/>
      <w:sz w:val="32"/>
      <w:szCs w:val="32"/>
    </w:rPr>
  </w:style>
  <w:style w:type="character" w:customStyle="1" w:styleId="344">
    <w:name w:val="正文文本 3 字符"/>
    <w:link w:val="20"/>
    <w:semiHidden/>
    <w:qFormat/>
    <w:uiPriority w:val="99"/>
    <w:rPr>
      <w:rFonts w:ascii="Times New Roman" w:hAnsi="Times New Roman" w:eastAsia="楷体_GB2312" w:cs="Times New Roman"/>
      <w:kern w:val="2"/>
      <w:sz w:val="16"/>
      <w:szCs w:val="16"/>
    </w:rPr>
  </w:style>
  <w:style w:type="paragraph" w:customStyle="1" w:styleId="345">
    <w:name w:val="样式 标题 2 + 黑色 行距: 1.5 倍行距"/>
    <w:basedOn w:val="3"/>
    <w:qFormat/>
    <w:uiPriority w:val="0"/>
    <w:pPr>
      <w:overflowPunct/>
      <w:adjustRightInd/>
      <w:spacing w:before="260" w:after="260" w:line="360" w:lineRule="auto"/>
      <w:jc w:val="both"/>
      <w:textAlignment w:val="auto"/>
    </w:pPr>
    <w:rPr>
      <w:rFonts w:ascii="Arial" w:hAnsi="Arial" w:eastAsia="宋体" w:cs="宋体"/>
      <w:bCs/>
      <w:color w:val="000000"/>
      <w:sz w:val="32"/>
    </w:rPr>
  </w:style>
  <w:style w:type="paragraph" w:customStyle="1" w:styleId="346">
    <w:name w:val="纯文本21"/>
    <w:basedOn w:val="1"/>
    <w:qFormat/>
    <w:uiPriority w:val="0"/>
    <w:pPr>
      <w:adjustRightInd w:val="0"/>
    </w:pPr>
    <w:rPr>
      <w:rFonts w:ascii="宋体" w:hAnsi="Courier New"/>
      <w:szCs w:val="24"/>
    </w:rPr>
  </w:style>
  <w:style w:type="character" w:customStyle="1" w:styleId="347">
    <w:name w:val="明显引用 字符"/>
    <w:link w:val="331"/>
    <w:qFormat/>
    <w:uiPriority w:val="30"/>
    <w:rPr>
      <w:rFonts w:ascii="Times New Roman" w:hAnsi="Times New Roman" w:eastAsia="楷体_GB2312" w:cs="Times New Roman"/>
      <w:b/>
      <w:bCs/>
      <w:i/>
      <w:iCs/>
      <w:color w:val="4F81BD"/>
      <w:kern w:val="2"/>
      <w:sz w:val="26"/>
    </w:rPr>
  </w:style>
  <w:style w:type="character" w:customStyle="1" w:styleId="348">
    <w:name w:val="引用 字符"/>
    <w:link w:val="337"/>
    <w:qFormat/>
    <w:uiPriority w:val="29"/>
    <w:rPr>
      <w:rFonts w:ascii="Times New Roman" w:hAnsi="Times New Roman" w:eastAsia="楷体_GB2312" w:cs="Times New Roman"/>
      <w:i/>
      <w:iCs/>
      <w:color w:val="000000"/>
      <w:kern w:val="2"/>
      <w:sz w:val="26"/>
    </w:rPr>
  </w:style>
  <w:style w:type="paragraph" w:customStyle="1" w:styleId="34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50">
    <w:name w:val="标题 Char2"/>
    <w:qFormat/>
    <w:uiPriority w:val="10"/>
    <w:rPr>
      <w:rFonts w:ascii="Cambria" w:hAnsi="Cambria" w:eastAsia="宋体" w:cs="Times New Roman"/>
      <w:b/>
      <w:bCs/>
      <w:sz w:val="32"/>
      <w:szCs w:val="32"/>
    </w:rPr>
  </w:style>
  <w:style w:type="paragraph" w:customStyle="1" w:styleId="351">
    <w:name w:val="默认段落字体 Para Char Char Char Char Char Char Char Char Char1 Char Char Char Char Char Char Char"/>
    <w:basedOn w:val="202"/>
    <w:qFormat/>
    <w:uiPriority w:val="0"/>
    <w:pPr>
      <w:widowControl/>
      <w:spacing w:line="270" w:lineRule="exact"/>
      <w:ind w:firstLine="0" w:firstLineChars="0"/>
      <w:jc w:val="center"/>
    </w:pPr>
  </w:style>
  <w:style w:type="paragraph" w:customStyle="1" w:styleId="352">
    <w:name w:val="正文文字3"/>
    <w:basedOn w:val="1"/>
    <w:qFormat/>
    <w:uiPriority w:val="0"/>
    <w:pPr>
      <w:adjustRightInd w:val="0"/>
      <w:spacing w:line="360" w:lineRule="atLeast"/>
      <w:ind w:left="72" w:leftChars="30" w:right="72" w:rightChars="30"/>
      <w:textAlignment w:val="baseline"/>
    </w:pPr>
    <w:rPr>
      <w:rFonts w:eastAsia="宋体"/>
      <w:kern w:val="0"/>
      <w:sz w:val="21"/>
      <w:szCs w:val="24"/>
    </w:rPr>
  </w:style>
  <w:style w:type="character" w:customStyle="1" w:styleId="353">
    <w:name w:val="layui-this"/>
    <w:basedOn w:val="60"/>
    <w:qFormat/>
    <w:uiPriority w:val="0"/>
    <w:rPr>
      <w:bdr w:val="single" w:color="EEEEEE" w:sz="4" w:space="0"/>
      <w:shd w:val="clear" w:color="auto" w:fill="FFFFFF"/>
    </w:rPr>
  </w:style>
  <w:style w:type="character" w:customStyle="1" w:styleId="354">
    <w:name w:val="first-child"/>
    <w:basedOn w:val="60"/>
    <w:qFormat/>
    <w:uiPriority w:val="0"/>
  </w:style>
  <w:style w:type="character" w:customStyle="1" w:styleId="355">
    <w:name w:val="hover2"/>
    <w:basedOn w:val="60"/>
    <w:qFormat/>
    <w:uiPriority w:val="0"/>
    <w:rPr>
      <w:color w:val="5FB878"/>
    </w:rPr>
  </w:style>
  <w:style w:type="character" w:customStyle="1" w:styleId="356">
    <w:name w:val="hover3"/>
    <w:basedOn w:val="60"/>
    <w:qFormat/>
    <w:uiPriority w:val="0"/>
    <w:rPr>
      <w:color w:val="5FB878"/>
    </w:rPr>
  </w:style>
  <w:style w:type="character" w:customStyle="1" w:styleId="357">
    <w:name w:val="hover4"/>
    <w:basedOn w:val="60"/>
    <w:autoRedefine/>
    <w:qFormat/>
    <w:uiPriority w:val="0"/>
    <w:rPr>
      <w:color w:val="FFFFFF"/>
    </w:rPr>
  </w:style>
  <w:style w:type="paragraph" w:customStyle="1" w:styleId="358">
    <w:name w:val="标题 11"/>
    <w:basedOn w:val="1"/>
    <w:autoRedefine/>
    <w:qFormat/>
    <w:uiPriority w:val="1"/>
    <w:pPr>
      <w:spacing w:line="702" w:lineRule="exact"/>
      <w:ind w:right="297"/>
      <w:jc w:val="center"/>
      <w:outlineLvl w:val="1"/>
    </w:pPr>
    <w:rPr>
      <w:rFonts w:ascii="Microsoft JhengHei" w:hAnsi="Microsoft JhengHei" w:eastAsia="Microsoft JhengHei" w:cs="Microsoft JhengHei"/>
      <w:b/>
      <w:bCs/>
      <w:sz w:val="44"/>
      <w:szCs w:val="44"/>
    </w:rPr>
  </w:style>
  <w:style w:type="character" w:customStyle="1" w:styleId="359">
    <w:name w:val="hover"/>
    <w:basedOn w:val="60"/>
    <w:qFormat/>
    <w:uiPriority w:val="0"/>
    <w:rPr>
      <w:color w:val="5FB878"/>
    </w:rPr>
  </w:style>
  <w:style w:type="character" w:customStyle="1" w:styleId="360">
    <w:name w:val="hover1"/>
    <w:basedOn w:val="60"/>
    <w:autoRedefine/>
    <w:qFormat/>
    <w:uiPriority w:val="0"/>
    <w:rPr>
      <w:color w:val="5FB878"/>
    </w:rPr>
  </w:style>
  <w:style w:type="character" w:customStyle="1" w:styleId="361">
    <w:name w:val="layui-this2"/>
    <w:basedOn w:val="60"/>
    <w:qFormat/>
    <w:uiPriority w:val="0"/>
    <w:rPr>
      <w:bdr w:val="single" w:color="EEEEEE" w:sz="6" w:space="0"/>
      <w:shd w:val="clear" w:color="auto" w:fill="FFFFFF"/>
    </w:rPr>
  </w:style>
  <w:style w:type="character" w:customStyle="1" w:styleId="362">
    <w:name w:val="font0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zls\Desktop\2019&#22312;&#32447;&#27700;&#36136;&#20202;&#22120;&#36816;&#32500;&#39033;&#30446;\&#25307;&#26631;&#25991;&#20214;2002&#24180;&#20462;&#25913;&#264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8E660C-B07E-4AEA-9DE7-02F4E7397BEB}">
  <ds:schemaRefs/>
</ds:datastoreItem>
</file>

<file path=docProps/app.xml><?xml version="1.0" encoding="utf-8"?>
<Properties xmlns="http://schemas.openxmlformats.org/officeDocument/2006/extended-properties" xmlns:vt="http://schemas.openxmlformats.org/officeDocument/2006/docPropsVTypes">
  <Template>招标文件2002年修改本</Template>
  <Company>南京国衡南通分公司</Company>
  <Pages>34</Pages>
  <Words>19613</Words>
  <Characters>20072</Characters>
  <Lines>122</Lines>
  <Paragraphs>34</Paragraphs>
  <TotalTime>3</TotalTime>
  <ScaleCrop>false</ScaleCrop>
  <LinksUpToDate>false</LinksUpToDate>
  <CharactersWithSpaces>20704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2021-08-05T08:25:00Z</dcterms:created>
  <dc:creator>国衡南通</dc:creator>
  <cp:lastModifiedBy>user01</cp:lastModifiedBy>
  <cp:lastPrinted>2023-03-01T06:52:00Z</cp:lastPrinted>
  <dcterms:modified xsi:type="dcterms:W3CDTF">2024-04-25T07:00:01Z</dcterms:modified>
  <dc:title>崇川区政府采购</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FBEFDAA639B846E6AAB8A160251B3E5E_13</vt:lpwstr>
  </property>
</Properties>
</file>