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7"/>
        <w:overflowPunct w:val="0"/>
        <w:adjustRightInd/>
        <w:textAlignment w:val="auto"/>
        <w:rPr>
          <w:rFonts w:asciiTheme="minorEastAsia" w:hAnsiTheme="minorEastAsia" w:eastAsiaTheme="minorEastAsia"/>
        </w:rPr>
      </w:pPr>
    </w:p>
    <w:p>
      <w:pPr>
        <w:overflowPunct w:val="0"/>
        <w:rPr>
          <w:rFonts w:asciiTheme="minorEastAsia" w:hAnsiTheme="minorEastAsia" w:eastAsiaTheme="minorEastAsia"/>
        </w:rPr>
      </w:pPr>
    </w:p>
    <w:p>
      <w:pPr>
        <w:widowControl/>
        <w:jc w:val="center"/>
        <w:rPr>
          <w:rFonts w:asciiTheme="minorEastAsia" w:hAnsiTheme="minorEastAsia" w:eastAsiaTheme="minorEastAsia"/>
          <w:w w:val="80"/>
          <w:sz w:val="44"/>
          <w:szCs w:val="44"/>
        </w:rPr>
      </w:pPr>
    </w:p>
    <w:p>
      <w:pPr>
        <w:pStyle w:val="3"/>
        <w:keepNext w:val="0"/>
        <w:keepLines w:val="0"/>
        <w:widowControl/>
        <w:spacing w:before="0" w:after="0" w:line="420" w:lineRule="atLeast"/>
        <w:jc w:val="center"/>
        <w:rPr>
          <w:rFonts w:asciiTheme="minorEastAsia" w:hAnsiTheme="minorEastAsia" w:eastAsiaTheme="minorEastAsia"/>
          <w:b w:val="0"/>
          <w:w w:val="80"/>
          <w:kern w:val="2"/>
          <w:sz w:val="52"/>
          <w:szCs w:val="52"/>
        </w:rPr>
      </w:pPr>
      <w:r>
        <w:rPr>
          <w:rFonts w:hint="eastAsia" w:asciiTheme="minorEastAsia" w:hAnsiTheme="minorEastAsia" w:eastAsiaTheme="minorEastAsia"/>
          <w:b w:val="0"/>
          <w:w w:val="80"/>
          <w:kern w:val="2"/>
          <w:sz w:val="52"/>
          <w:szCs w:val="52"/>
        </w:rPr>
        <w:t>南通市红旗机动车驾驶员培训有限责任公司清障车采购项目</w:t>
      </w: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rPr>
      </w:pPr>
    </w:p>
    <w:p>
      <w:pPr>
        <w:tabs>
          <w:tab w:val="left" w:pos="6300"/>
        </w:tabs>
        <w:snapToGrid w:val="0"/>
        <w:spacing w:line="300" w:lineRule="auto"/>
        <w:jc w:val="center"/>
        <w:rPr>
          <w:rFonts w:asciiTheme="minorEastAsia" w:hAnsiTheme="minorEastAsia" w:eastAsiaTheme="minorEastAsia"/>
          <w:w w:val="80"/>
          <w:sz w:val="84"/>
        </w:rPr>
      </w:pPr>
    </w:p>
    <w:p>
      <w:pPr>
        <w:tabs>
          <w:tab w:val="left" w:pos="1050"/>
          <w:tab w:val="right" w:leader="dot" w:pos="9402"/>
        </w:tabs>
        <w:spacing w:line="1600" w:lineRule="exact"/>
        <w:jc w:val="center"/>
        <w:rPr>
          <w:rFonts w:asciiTheme="minorEastAsia" w:hAnsiTheme="minorEastAsia" w:eastAsiaTheme="minorEastAsia"/>
          <w:b/>
          <w:sz w:val="72"/>
          <w:szCs w:val="72"/>
        </w:rPr>
      </w:pPr>
      <w:r>
        <w:rPr>
          <w:rFonts w:hint="eastAsia" w:asciiTheme="minorEastAsia" w:hAnsiTheme="minorEastAsia" w:eastAsiaTheme="minorEastAsia"/>
          <w:b/>
          <w:w w:val="80"/>
          <w:sz w:val="72"/>
          <w:szCs w:val="72"/>
        </w:rPr>
        <w:t>公开招标文件</w:t>
      </w:r>
    </w:p>
    <w:p>
      <w:pPr>
        <w:jc w:val="center"/>
        <w:rPr>
          <w:rFonts w:asciiTheme="minorEastAsia" w:hAnsiTheme="minorEastAsia" w:eastAsiaTheme="minorEastAsia"/>
          <w:b/>
          <w:sz w:val="44"/>
          <w:szCs w:val="44"/>
        </w:rPr>
      </w:pPr>
    </w:p>
    <w:p>
      <w:pPr>
        <w:tabs>
          <w:tab w:val="left" w:pos="1050"/>
          <w:tab w:val="right" w:leader="dot" w:pos="9402"/>
        </w:tabs>
        <w:spacing w:line="520" w:lineRule="exact"/>
        <w:jc w:val="center"/>
        <w:rPr>
          <w:rFonts w:asciiTheme="minorEastAsia" w:hAnsiTheme="minorEastAsia" w:eastAsiaTheme="minorEastAsia"/>
          <w:w w:val="80"/>
          <w:sz w:val="32"/>
          <w:szCs w:val="32"/>
        </w:rPr>
      </w:pPr>
      <w:r>
        <w:rPr>
          <w:rFonts w:hint="eastAsia" w:asciiTheme="minorEastAsia" w:hAnsiTheme="minorEastAsia" w:eastAsiaTheme="minorEastAsia"/>
          <w:w w:val="80"/>
          <w:sz w:val="32"/>
          <w:szCs w:val="32"/>
        </w:rPr>
        <w:t>（资格后审）</w:t>
      </w:r>
    </w:p>
    <w:p>
      <w:pPr>
        <w:snapToGrid w:val="0"/>
        <w:spacing w:line="520" w:lineRule="exact"/>
        <w:rPr>
          <w:rFonts w:asciiTheme="minorEastAsia" w:hAnsiTheme="minorEastAsia" w:eastAsiaTheme="minorEastAsia"/>
          <w:b/>
          <w:sz w:val="28"/>
          <w:szCs w:val="28"/>
        </w:rPr>
      </w:pPr>
    </w:p>
    <w:p>
      <w:pPr>
        <w:snapToGrid w:val="0"/>
        <w:spacing w:line="520" w:lineRule="exact"/>
        <w:rPr>
          <w:rFonts w:asciiTheme="minorEastAsia" w:hAnsiTheme="minorEastAsia" w:eastAsiaTheme="minorEastAsia"/>
          <w:b/>
          <w:sz w:val="28"/>
          <w:szCs w:val="28"/>
        </w:rPr>
      </w:pPr>
    </w:p>
    <w:p>
      <w:pPr>
        <w:snapToGrid w:val="0"/>
        <w:spacing w:line="520" w:lineRule="exact"/>
        <w:rPr>
          <w:rFonts w:asciiTheme="minorEastAsia" w:hAnsiTheme="minorEastAsia" w:eastAsiaTheme="minorEastAsia"/>
          <w:b/>
          <w:sz w:val="28"/>
          <w:szCs w:val="28"/>
        </w:rPr>
      </w:pPr>
    </w:p>
    <w:p>
      <w:pPr>
        <w:widowControl/>
        <w:spacing w:line="520" w:lineRule="exact"/>
        <w:jc w:val="left"/>
        <w:rPr>
          <w:rFonts w:asciiTheme="minorEastAsia" w:hAnsiTheme="minorEastAsia" w:eastAsiaTheme="minorEastAsia"/>
          <w:b/>
          <w:sz w:val="28"/>
          <w:szCs w:val="28"/>
        </w:rPr>
      </w:pPr>
    </w:p>
    <w:p>
      <w:pPr>
        <w:pStyle w:val="21"/>
        <w:rPr>
          <w:rFonts w:asciiTheme="minorEastAsia" w:hAnsiTheme="minorEastAsia" w:eastAsiaTheme="minorEastAsia"/>
        </w:rPr>
      </w:pPr>
    </w:p>
    <w:p>
      <w:pPr>
        <w:pStyle w:val="21"/>
        <w:rPr>
          <w:rFonts w:asciiTheme="minorEastAsia" w:hAnsiTheme="minorEastAsia" w:eastAsiaTheme="minorEastAsia"/>
        </w:rPr>
      </w:pPr>
    </w:p>
    <w:p>
      <w:pPr>
        <w:pStyle w:val="21"/>
        <w:rPr>
          <w:rFonts w:asciiTheme="minorEastAsia" w:hAnsiTheme="minorEastAsia" w:eastAsiaTheme="minorEastAsia"/>
        </w:rPr>
      </w:pPr>
    </w:p>
    <w:p>
      <w:pPr>
        <w:widowControl/>
        <w:spacing w:line="520" w:lineRule="exact"/>
        <w:jc w:val="left"/>
        <w:rPr>
          <w:rFonts w:asciiTheme="minorEastAsia" w:hAnsiTheme="minorEastAsia" w:eastAsiaTheme="minorEastAsia"/>
          <w:sz w:val="28"/>
          <w:szCs w:val="28"/>
        </w:rPr>
      </w:pPr>
    </w:p>
    <w:p>
      <w:pPr>
        <w:widowControl/>
        <w:spacing w:line="520" w:lineRule="exact"/>
        <w:jc w:val="left"/>
        <w:rPr>
          <w:rFonts w:asciiTheme="minorEastAsia" w:hAnsiTheme="minorEastAsia" w:eastAsiaTheme="minorEastAsia"/>
          <w:sz w:val="28"/>
          <w:szCs w:val="28"/>
        </w:rPr>
      </w:pPr>
    </w:p>
    <w:p>
      <w:pPr>
        <w:widowControl/>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招标人：南通市红旗机动车驾驶员培训有限责任公司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招标代理机构：中诚智信工程咨询集团股份有限公司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二○二四年</w:t>
      </w:r>
      <w:r>
        <w:rPr>
          <w:rFonts w:hint="eastAsia" w:asciiTheme="minorEastAsia" w:hAnsiTheme="minorEastAsia" w:eastAsiaTheme="minorEastAsia"/>
          <w:w w:val="80"/>
          <w:sz w:val="28"/>
          <w:szCs w:val="28"/>
          <w:lang w:val="en-US" w:eastAsia="zh-CN"/>
        </w:rPr>
        <w:t>三</w:t>
      </w:r>
      <w:r>
        <w:rPr>
          <w:rFonts w:hint="eastAsia" w:asciiTheme="minorEastAsia" w:hAnsiTheme="minorEastAsia" w:eastAsiaTheme="minorEastAsia"/>
          <w:w w:val="80"/>
          <w:sz w:val="28"/>
          <w:szCs w:val="28"/>
        </w:rPr>
        <w:t>月</w:t>
      </w:r>
      <w:r>
        <w:rPr>
          <w:rFonts w:hint="eastAsia" w:asciiTheme="minorEastAsia" w:hAnsiTheme="minorEastAsia" w:eastAsiaTheme="minorEastAsia"/>
          <w:w w:val="80"/>
          <w:sz w:val="28"/>
          <w:szCs w:val="28"/>
          <w:lang w:val="en-US" w:eastAsia="zh-CN"/>
        </w:rPr>
        <w:t>十三</w:t>
      </w:r>
      <w:r>
        <w:rPr>
          <w:rFonts w:hint="eastAsia" w:asciiTheme="minorEastAsia" w:hAnsiTheme="minorEastAsia" w:eastAsiaTheme="minorEastAsia"/>
          <w:w w:val="80"/>
          <w:sz w:val="28"/>
          <w:szCs w:val="28"/>
        </w:rPr>
        <w:t>日</w:t>
      </w: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239" w:right="851" w:bottom="851" w:left="1418" w:header="851" w:footer="522" w:gutter="0"/>
          <w:cols w:space="720" w:num="1"/>
          <w:titlePg/>
          <w:docGrid w:linePitch="380" w:charSpace="-5735"/>
        </w:sectPr>
      </w:pP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pPr>
      <w:r>
        <w:rPr>
          <w:rFonts w:hint="eastAsia" w:asciiTheme="minorEastAsia" w:hAnsiTheme="minorEastAsia" w:eastAsiaTheme="minorEastAsia"/>
          <w:b/>
          <w:w w:val="80"/>
          <w:sz w:val="44"/>
          <w:szCs w:val="44"/>
        </w:rPr>
        <w:t>目  录</w:t>
      </w:r>
    </w:p>
    <w:p>
      <w:pPr>
        <w:pStyle w:val="7"/>
        <w:overflowPunct w:val="0"/>
        <w:ind w:firstLine="0"/>
        <w:jc w:val="center"/>
        <w:rPr>
          <w:rFonts w:asciiTheme="minorEastAsia" w:hAnsiTheme="minorEastAsia" w:eastAsiaTheme="minorEastAsia"/>
          <w:sz w:val="30"/>
        </w:rPr>
      </w:pP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 TOC \o "1-1" </w:instrText>
      </w:r>
      <w:r>
        <w:rPr>
          <w:rFonts w:asciiTheme="minorEastAsia" w:hAnsiTheme="minorEastAsia" w:eastAsiaTheme="minorEastAsia"/>
          <w:b/>
          <w:bCs/>
          <w:sz w:val="32"/>
          <w:szCs w:val="32"/>
        </w:rPr>
        <w:fldChar w:fldCharType="separate"/>
      </w:r>
      <w:r>
        <w:rPr>
          <w:rFonts w:asciiTheme="minorEastAsia" w:hAnsiTheme="minorEastAsia" w:eastAsiaTheme="minorEastAsia"/>
          <w:sz w:val="32"/>
          <w:szCs w:val="32"/>
        </w:rPr>
        <w:t>第一章 招标公告</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第二章 投标人须知</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第三章 项目需求</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第四章 评审程序和方法</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五</w:t>
      </w:r>
      <w:r>
        <w:rPr>
          <w:rFonts w:asciiTheme="minorEastAsia" w:hAnsiTheme="minorEastAsia" w:eastAsiaTheme="minorEastAsia"/>
          <w:sz w:val="32"/>
          <w:szCs w:val="32"/>
        </w:rPr>
        <w:t xml:space="preserve">章 </w:t>
      </w:r>
      <w:r>
        <w:rPr>
          <w:rFonts w:hint="eastAsia" w:asciiTheme="minorEastAsia" w:hAnsiTheme="minorEastAsia" w:eastAsiaTheme="minorEastAsia"/>
          <w:sz w:val="32"/>
          <w:szCs w:val="32"/>
        </w:rPr>
        <w:t>合同授予及主要</w:t>
      </w:r>
      <w:r>
        <w:rPr>
          <w:rFonts w:asciiTheme="minorEastAsia" w:hAnsiTheme="minorEastAsia" w:eastAsiaTheme="minorEastAsia"/>
          <w:sz w:val="32"/>
          <w:szCs w:val="32"/>
        </w:rPr>
        <w:t>条款</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六</w:t>
      </w:r>
      <w:r>
        <w:rPr>
          <w:rFonts w:asciiTheme="minorEastAsia" w:hAnsiTheme="minorEastAsia" w:eastAsiaTheme="minorEastAsia"/>
          <w:sz w:val="32"/>
          <w:szCs w:val="32"/>
        </w:rPr>
        <w:t>章 履约验收及付款</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七</w:t>
      </w:r>
      <w:r>
        <w:rPr>
          <w:rFonts w:asciiTheme="minorEastAsia" w:hAnsiTheme="minorEastAsia" w:eastAsiaTheme="minorEastAsia"/>
          <w:sz w:val="32"/>
          <w:szCs w:val="32"/>
        </w:rPr>
        <w:t>章 质疑与投诉</w:t>
      </w:r>
    </w:p>
    <w:p>
      <w:pPr>
        <w:pStyle w:val="36"/>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八</w:t>
      </w:r>
      <w:r>
        <w:rPr>
          <w:rFonts w:asciiTheme="minorEastAsia" w:hAnsiTheme="minorEastAsia" w:eastAsiaTheme="minorEastAsia"/>
          <w:sz w:val="32"/>
          <w:szCs w:val="32"/>
        </w:rPr>
        <w:t>章 投标文件的组成及相关格式</w:t>
      </w:r>
    </w:p>
    <w:p>
      <w:pPr>
        <w:tabs>
          <w:tab w:val="left" w:pos="1050"/>
          <w:tab w:val="right" w:leader="dot" w:pos="9402"/>
        </w:tabs>
        <w:spacing w:beforeLines="100" w:line="600" w:lineRule="exact"/>
        <w:jc w:val="center"/>
        <w:outlineLvl w:val="0"/>
        <w:rPr>
          <w:rFonts w:asciiTheme="minorEastAsia" w:hAnsiTheme="minorEastAsia" w:eastAsiaTheme="minorEastAsia"/>
          <w:b/>
          <w:bCs/>
          <w:sz w:val="32"/>
          <w:szCs w:val="32"/>
        </w:rPr>
        <w:sectPr>
          <w:footerReference r:id="rId10" w:type="first"/>
          <w:footerReference r:id="rId9" w:type="default"/>
          <w:pgSz w:w="11906" w:h="16838"/>
          <w:pgMar w:top="1239" w:right="851" w:bottom="851" w:left="1418" w:header="851" w:footer="522" w:gutter="0"/>
          <w:cols w:space="720" w:num="1"/>
          <w:titlePg/>
          <w:docGrid w:linePitch="380" w:charSpace="-5735"/>
        </w:sectPr>
      </w:pPr>
      <w:r>
        <w:rPr>
          <w:rFonts w:asciiTheme="minorEastAsia" w:hAnsiTheme="minorEastAsia" w:eastAsiaTheme="minorEastAsia"/>
          <w:b/>
          <w:bCs/>
          <w:sz w:val="32"/>
          <w:szCs w:val="32"/>
        </w:rPr>
        <w:fldChar w:fldCharType="end"/>
      </w:r>
      <w:bookmarkStart w:id="0" w:name="_Toc363573853"/>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第一章  招标公告</w:t>
      </w:r>
      <w:bookmarkEnd w:id="0"/>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诚智信工程咨询集团股份有限公司（以下称招标代理机构）受南通市红旗机动车驾驶员培训有限责任公司（以下称招标人）的委托，就南通市红旗机动车驾驶员培训有限责任公司清障车采购项目组织公开招标采购，诚邀符合条件的潜在投标人参加投标。</w:t>
      </w:r>
    </w:p>
    <w:p>
      <w:pPr>
        <w:spacing w:line="420" w:lineRule="exact"/>
        <w:ind w:firstLine="424" w:firstLineChars="176"/>
        <w:outlineLvl w:val="1"/>
        <w:rPr>
          <w:rFonts w:asciiTheme="minorEastAsia" w:hAnsiTheme="minorEastAsia" w:eastAsiaTheme="minorEastAsia"/>
          <w:sz w:val="24"/>
          <w:szCs w:val="24"/>
        </w:rPr>
      </w:pPr>
      <w:r>
        <w:rPr>
          <w:rFonts w:asciiTheme="minorEastAsia" w:hAnsiTheme="minorEastAsia" w:eastAsiaTheme="minorEastAsia"/>
          <w:b/>
          <w:sz w:val="24"/>
          <w:szCs w:val="24"/>
        </w:rPr>
        <w:t>一、</w:t>
      </w:r>
      <w:r>
        <w:rPr>
          <w:rFonts w:asciiTheme="minorEastAsia" w:hAnsiTheme="minorEastAsia" w:eastAsiaTheme="minorEastAsia"/>
          <w:sz w:val="24"/>
          <w:szCs w:val="24"/>
        </w:rPr>
        <w:t>项目名称：</w:t>
      </w:r>
      <w:r>
        <w:rPr>
          <w:rFonts w:hint="eastAsia" w:asciiTheme="minorEastAsia" w:hAnsiTheme="minorEastAsia" w:eastAsiaTheme="minorEastAsia"/>
          <w:sz w:val="24"/>
          <w:szCs w:val="24"/>
        </w:rPr>
        <w:t>南通市红旗机动车驾驶员培训有限责任公司清障车采购项目</w:t>
      </w:r>
      <w:r>
        <w:rPr>
          <w:rFonts w:asciiTheme="minorEastAsia" w:hAnsiTheme="minorEastAsia" w:eastAsiaTheme="minorEastAsia"/>
          <w:sz w:val="24"/>
          <w:szCs w:val="24"/>
        </w:rPr>
        <w:t>。</w:t>
      </w:r>
    </w:p>
    <w:p>
      <w:pPr>
        <w:spacing w:line="420" w:lineRule="exact"/>
        <w:ind w:firstLine="422" w:firstLineChars="176"/>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、项目需求：</w:t>
      </w:r>
      <w:r>
        <w:rPr>
          <w:rFonts w:hint="eastAsia" w:asciiTheme="minorEastAsia" w:hAnsiTheme="minorEastAsia" w:eastAsiaTheme="minorEastAsia"/>
          <w:sz w:val="24"/>
          <w:szCs w:val="24"/>
        </w:rPr>
        <w:t>购置蓝牌清障车1辆，黄牌清障车2辆，需运抵招标人指定地点、安装、调试，直至验收合格，直至交付招标人使用。</w:t>
      </w:r>
    </w:p>
    <w:p>
      <w:pPr>
        <w:spacing w:line="420" w:lineRule="exact"/>
        <w:ind w:firstLine="422" w:firstLineChars="176"/>
        <w:outlineLvl w:val="1"/>
        <w:rPr>
          <w:rFonts w:cs="宋体" w:asciiTheme="minorEastAsia" w:hAnsiTheme="minorEastAsia" w:eastAsiaTheme="minorEastAsia"/>
          <w:kern w:val="0"/>
          <w:sz w:val="24"/>
          <w:szCs w:val="24"/>
          <w:highlight w:val="none"/>
        </w:rPr>
      </w:pPr>
      <w:r>
        <w:rPr>
          <w:rFonts w:hint="eastAsia" w:asciiTheme="minorEastAsia" w:hAnsiTheme="minorEastAsia" w:eastAsiaTheme="minorEastAsia"/>
          <w:sz w:val="24"/>
          <w:szCs w:val="24"/>
          <w:highlight w:val="none"/>
        </w:rPr>
        <w:t>三</w:t>
      </w:r>
      <w:r>
        <w:rPr>
          <w:rFonts w:asciiTheme="minorEastAsia" w:hAnsiTheme="minorEastAsia" w:eastAsiaTheme="minorEastAsia"/>
          <w:sz w:val="24"/>
          <w:szCs w:val="24"/>
          <w:highlight w:val="none"/>
        </w:rPr>
        <w:t>、项目预算：</w:t>
      </w:r>
      <w:r>
        <w:rPr>
          <w:rFonts w:hint="eastAsia" w:asciiTheme="minorEastAsia" w:hAnsiTheme="minorEastAsia" w:eastAsiaTheme="minorEastAsia"/>
          <w:sz w:val="24"/>
          <w:szCs w:val="24"/>
          <w:highlight w:val="none"/>
        </w:rPr>
        <w:t>49.8万元</w:t>
      </w:r>
    </w:p>
    <w:p>
      <w:pPr>
        <w:spacing w:line="420" w:lineRule="exact"/>
        <w:ind w:firstLine="422" w:firstLineChars="176"/>
        <w:outlineLvl w:val="1"/>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四、合同履行期限：自合同签订之日起 30 天内完成供货、安装、调试。</w:t>
      </w:r>
    </w:p>
    <w:p>
      <w:pPr>
        <w:spacing w:line="420" w:lineRule="exact"/>
        <w:ind w:firstLine="424" w:firstLineChars="176"/>
        <w:outlineLvl w:val="1"/>
        <w:rPr>
          <w:rFonts w:asciiTheme="minorEastAsia" w:hAnsiTheme="minorEastAsia" w:eastAsiaTheme="minorEastAsia"/>
          <w:kern w:val="0"/>
          <w:sz w:val="24"/>
          <w:szCs w:val="24"/>
        </w:rPr>
      </w:pPr>
      <w:r>
        <w:rPr>
          <w:rFonts w:hint="eastAsia" w:asciiTheme="minorEastAsia" w:hAnsiTheme="minorEastAsia" w:eastAsiaTheme="minorEastAsia"/>
          <w:b/>
          <w:sz w:val="24"/>
          <w:szCs w:val="24"/>
        </w:rPr>
        <w:t>五</w:t>
      </w:r>
      <w:r>
        <w:rPr>
          <w:rFonts w:asciiTheme="minorEastAsia" w:hAnsiTheme="minorEastAsia" w:eastAsiaTheme="minorEastAsia"/>
          <w:b/>
          <w:sz w:val="24"/>
          <w:szCs w:val="24"/>
        </w:rPr>
        <w:t>、投标人资格：</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投标人应是在中华人民共和国注册、具备独立法人资格的生产商或代理商；</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投标人是代理商投标的，须提供代理商营业执照；</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本项目不接受任何形式的联合体投标；</w:t>
      </w:r>
    </w:p>
    <w:p>
      <w:pPr>
        <w:widowControl/>
        <w:numPr>
          <w:ilvl w:val="0"/>
          <w:numId w:val="1"/>
        </w:numPr>
        <w:adjustRightInd w:val="0"/>
        <w:snapToGrid w:val="0"/>
        <w:spacing w:line="420" w:lineRule="exact"/>
        <w:ind w:left="-23" w:firstLine="48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单位负责人为同一人或者存在直接控股、管理关系的不同投标人，不得同时参与同一采购项目相同标段的采购活动；为采购项目提供整体设计、规范编制或者项目管理、监理等服务的投标人，不得再参加该采购项目的其他采购活动。</w:t>
      </w:r>
    </w:p>
    <w:p>
      <w:pPr>
        <w:spacing w:line="420" w:lineRule="exact"/>
        <w:ind w:firstLine="482" w:firstLineChars="200"/>
        <w:outlineLvl w:val="1"/>
        <w:rPr>
          <w:rFonts w:asciiTheme="minorEastAsia" w:hAnsiTheme="minorEastAsia" w:eastAsiaTheme="minorEastAsia"/>
        </w:rPr>
      </w:pPr>
      <w:r>
        <w:rPr>
          <w:rFonts w:hint="eastAsia" w:asciiTheme="minorEastAsia" w:hAnsiTheme="minorEastAsia" w:eastAsiaTheme="minorEastAsia"/>
          <w:b/>
          <w:sz w:val="24"/>
          <w:szCs w:val="24"/>
        </w:rPr>
        <w:t>六、招标文件的获取</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有意愿参与本项目投标响应的单位，请于本公告日起至开标截止前，到</w:t>
      </w:r>
      <w:r>
        <w:rPr>
          <w:rFonts w:hint="eastAsia" w:asciiTheme="minorEastAsia" w:hAnsiTheme="minorEastAsia" w:eastAsiaTheme="minorEastAsia"/>
          <w:kern w:val="0"/>
          <w:sz w:val="24"/>
          <w:szCs w:val="24"/>
        </w:rPr>
        <w:t>“南通市保安服务有限公司网站”</w:t>
      </w:r>
      <w:r>
        <w:rPr>
          <w:rFonts w:hint="eastAsia" w:asciiTheme="minorEastAsia" w:hAnsiTheme="minorEastAsia" w:eastAsiaTheme="minorEastAsia"/>
          <w:sz w:val="24"/>
          <w:szCs w:val="24"/>
        </w:rPr>
        <w:t>下载本项目的招标文件。</w:t>
      </w:r>
    </w:p>
    <w:p>
      <w:pPr>
        <w:spacing w:line="420" w:lineRule="exact"/>
        <w:ind w:firstLine="487" w:firstLineChars="202"/>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投标保证金</w:t>
      </w:r>
    </w:p>
    <w:p>
      <w:pPr>
        <w:spacing w:line="420" w:lineRule="exact"/>
        <w:ind w:firstLine="480" w:firstLineChars="200"/>
        <w:outlineLvl w:val="1"/>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本项目无需递交投标保证金</w:t>
      </w:r>
    </w:p>
    <w:p>
      <w:pPr>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八、投标文件</w:t>
      </w:r>
      <w:r>
        <w:rPr>
          <w:rFonts w:asciiTheme="minorEastAsia" w:hAnsiTheme="minorEastAsia" w:eastAsiaTheme="minorEastAsia"/>
          <w:b/>
          <w:sz w:val="24"/>
          <w:szCs w:val="24"/>
        </w:rPr>
        <w:t>的递交接收</w:t>
      </w:r>
    </w:p>
    <w:p>
      <w:pPr>
        <w:spacing w:line="420" w:lineRule="exact"/>
        <w:ind w:firstLine="484" w:firstLineChars="202"/>
        <w:outlineLvl w:val="1"/>
        <w:rPr>
          <w:rFonts w:asciiTheme="minorEastAsia" w:hAnsiTheme="minorEastAsia" w:eastAsiaTheme="minorEastAsia"/>
          <w:bCs/>
          <w:sz w:val="24"/>
          <w:szCs w:val="24"/>
        </w:rPr>
      </w:pPr>
      <w:r>
        <w:rPr>
          <w:rFonts w:hint="eastAsia" w:asciiTheme="minorEastAsia" w:hAnsiTheme="minorEastAsia" w:eastAsiaTheme="minorEastAsia"/>
          <w:bCs/>
          <w:sz w:val="24"/>
          <w:szCs w:val="24"/>
        </w:rPr>
        <w:t>1、文件递交方式：直接送达。</w:t>
      </w:r>
    </w:p>
    <w:p>
      <w:pPr>
        <w:spacing w:line="420" w:lineRule="exact"/>
        <w:ind w:firstLine="484" w:firstLineChars="202"/>
        <w:outlineLvl w:val="1"/>
        <w:rPr>
          <w:rFonts w:asciiTheme="minorEastAsia" w:hAnsiTheme="minorEastAsia" w:eastAsiaTheme="minorEastAsia"/>
          <w:bCs/>
          <w:sz w:val="24"/>
          <w:szCs w:val="24"/>
        </w:rPr>
      </w:pPr>
      <w:r>
        <w:rPr>
          <w:rFonts w:hint="eastAsia" w:asciiTheme="minorEastAsia" w:hAnsiTheme="minorEastAsia" w:eastAsiaTheme="minorEastAsia"/>
          <w:bCs/>
          <w:sz w:val="24"/>
          <w:szCs w:val="24"/>
        </w:rPr>
        <w:t>2、投标文件递交截止时间及地点：</w:t>
      </w:r>
      <w:r>
        <w:rPr>
          <w:rFonts w:hint="eastAsia" w:asciiTheme="minorEastAsia" w:hAnsiTheme="minorEastAsia" w:eastAsiaTheme="minorEastAsia"/>
          <w:b/>
          <w:sz w:val="24"/>
          <w:szCs w:val="24"/>
          <w:u w:val="thick" w:color="FF0000"/>
        </w:rPr>
        <w:t>2024年</w:t>
      </w:r>
      <w:r>
        <w:rPr>
          <w:rFonts w:hint="eastAsia" w:asciiTheme="minorEastAsia" w:hAnsiTheme="minorEastAsia" w:eastAsiaTheme="minorEastAsia"/>
          <w:b/>
          <w:sz w:val="24"/>
          <w:szCs w:val="24"/>
          <w:u w:val="thick" w:color="FF0000"/>
          <w:lang w:val="en-US" w:eastAsia="zh-CN"/>
        </w:rPr>
        <w:t>4</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2</w:t>
      </w:r>
      <w:r>
        <w:rPr>
          <w:rFonts w:hint="eastAsia" w:asciiTheme="minorEastAsia" w:hAnsiTheme="minorEastAsia" w:eastAsiaTheme="minorEastAsia"/>
          <w:b/>
          <w:sz w:val="24"/>
          <w:szCs w:val="24"/>
          <w:u w:val="thick" w:color="FF0000"/>
        </w:rPr>
        <w:t>日</w:t>
      </w:r>
      <w:r>
        <w:rPr>
          <w:rFonts w:hint="eastAsia" w:asciiTheme="minorEastAsia" w:hAnsiTheme="minorEastAsia" w:eastAsiaTheme="minorEastAsia"/>
          <w:b/>
          <w:sz w:val="24"/>
          <w:szCs w:val="24"/>
          <w:u w:val="thick" w:color="FF0000"/>
          <w:lang w:val="en-US" w:eastAsia="zh-CN"/>
        </w:rPr>
        <w:t>9</w:t>
      </w:r>
      <w:r>
        <w:rPr>
          <w:rFonts w:hint="eastAsia" w:asciiTheme="minorEastAsia" w:hAnsiTheme="minorEastAsia" w:eastAsiaTheme="minorEastAsia"/>
          <w:b/>
          <w:sz w:val="24"/>
          <w:szCs w:val="24"/>
          <w:u w:val="thick" w:color="FF0000"/>
        </w:rPr>
        <w:t>点30分</w:t>
      </w:r>
      <w:r>
        <w:rPr>
          <w:rFonts w:hint="eastAsia" w:asciiTheme="minorEastAsia" w:hAnsiTheme="minorEastAsia" w:eastAsiaTheme="minorEastAsia"/>
          <w:bCs/>
          <w:sz w:val="24"/>
          <w:szCs w:val="24"/>
        </w:rPr>
        <w:t>前；</w:t>
      </w:r>
      <w:r>
        <w:rPr>
          <w:rFonts w:hint="eastAsia" w:asciiTheme="minorEastAsia" w:hAnsiTheme="minorEastAsia" w:eastAsiaTheme="minorEastAsia"/>
          <w:b/>
          <w:sz w:val="24"/>
          <w:szCs w:val="24"/>
          <w:u w:val="thick" w:color="FF0000"/>
        </w:rPr>
        <w:t>南通市保安服务有限公司6楼会议室2。</w:t>
      </w:r>
    </w:p>
    <w:p>
      <w:pPr>
        <w:spacing w:line="420" w:lineRule="exact"/>
        <w:ind w:firstLine="484" w:firstLineChars="202"/>
        <w:outlineLvl w:val="1"/>
        <w:rPr>
          <w:rFonts w:asciiTheme="minorEastAsia" w:hAnsiTheme="minorEastAsia" w:eastAsiaTheme="minorEastAsia"/>
          <w:bCs/>
          <w:sz w:val="24"/>
          <w:szCs w:val="24"/>
        </w:rPr>
      </w:pPr>
      <w:r>
        <w:rPr>
          <w:rFonts w:hint="eastAsia" w:asciiTheme="minorEastAsia" w:hAnsiTheme="minorEastAsia" w:eastAsiaTheme="minorEastAsia"/>
          <w:bCs/>
          <w:sz w:val="24"/>
          <w:szCs w:val="24"/>
        </w:rPr>
        <w:t>3、投标文件截止时间：投标文件必须在规定的接收截止时间前送至指定地点，招标人或代理机构将拒绝接收在截止时间后递交的文件。</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九、资格审查</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1、资格审查时间：</w:t>
      </w:r>
      <w:r>
        <w:rPr>
          <w:rFonts w:hint="eastAsia" w:asciiTheme="minorEastAsia" w:hAnsiTheme="minorEastAsia" w:eastAsiaTheme="minorEastAsia"/>
          <w:b/>
          <w:sz w:val="24"/>
          <w:szCs w:val="24"/>
          <w:u w:val="thick" w:color="FF0000"/>
        </w:rPr>
        <w:t>开标结束后当即开始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、资格审查</w:t>
      </w:r>
      <w:r>
        <w:rPr>
          <w:rFonts w:asciiTheme="minorEastAsia" w:hAnsiTheme="minorEastAsia" w:eastAsiaTheme="minorEastAsia"/>
          <w:sz w:val="24"/>
          <w:szCs w:val="24"/>
        </w:rPr>
        <w:t>地点：</w:t>
      </w:r>
      <w:r>
        <w:rPr>
          <w:rFonts w:hint="eastAsia" w:asciiTheme="minorEastAsia" w:hAnsiTheme="minorEastAsia" w:eastAsiaTheme="minorEastAsia"/>
          <w:b/>
          <w:sz w:val="24"/>
          <w:szCs w:val="24"/>
          <w:u w:val="thick" w:color="FF0000"/>
        </w:rPr>
        <w:t>南通市保安服务有限公司6楼会议室2。</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、招标人依法委托评标小组对各投标人的资格进行审查，审查通过方可参与项目的技术评审。</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十、评标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1、评标时间：</w:t>
      </w:r>
      <w:r>
        <w:rPr>
          <w:rFonts w:hint="eastAsia" w:asciiTheme="minorEastAsia" w:hAnsiTheme="minorEastAsia" w:eastAsiaTheme="minorEastAsia"/>
          <w:b/>
          <w:sz w:val="24"/>
          <w:szCs w:val="24"/>
          <w:u w:val="thick" w:color="FF0000"/>
        </w:rPr>
        <w:t>资格审查结束后当即开始</w:t>
      </w:r>
      <w:r>
        <w:rPr>
          <w:rFonts w:hint="eastAsia" w:asciiTheme="minorEastAsia" w:hAnsiTheme="minorEastAsia" w:eastAsiaTheme="minorEastAsia"/>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2、评标</w:t>
      </w:r>
      <w:r>
        <w:rPr>
          <w:rFonts w:asciiTheme="minorEastAsia" w:hAnsiTheme="minorEastAsia" w:eastAsiaTheme="minorEastAsia"/>
          <w:sz w:val="24"/>
          <w:szCs w:val="24"/>
        </w:rPr>
        <w:t>地点：</w:t>
      </w:r>
      <w:r>
        <w:rPr>
          <w:rFonts w:hint="eastAsia" w:asciiTheme="minorEastAsia" w:hAnsiTheme="minorEastAsia" w:eastAsiaTheme="minorEastAsia"/>
          <w:b/>
          <w:sz w:val="24"/>
          <w:szCs w:val="24"/>
          <w:u w:val="thick" w:color="FF0000"/>
        </w:rPr>
        <w:t>南通市保安服务有限公司6楼会议室2。</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、评标委员会负责具体评标事务。</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十一、履约保证金：</w:t>
      </w:r>
    </w:p>
    <w:p>
      <w:pPr>
        <w:spacing w:line="360" w:lineRule="auto"/>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、本项目中标后无需递交履约保证金。</w:t>
      </w:r>
    </w:p>
    <w:p>
      <w:pPr>
        <w:spacing w:line="420" w:lineRule="exact"/>
        <w:ind w:firstLine="487" w:firstLineChars="202"/>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十二、投标</w:t>
      </w:r>
      <w:r>
        <w:rPr>
          <w:rFonts w:asciiTheme="minorEastAsia" w:hAnsiTheme="minorEastAsia" w:eastAsiaTheme="minorEastAsia"/>
          <w:b/>
          <w:sz w:val="24"/>
          <w:szCs w:val="24"/>
        </w:rPr>
        <w:t>联系方式</w:t>
      </w:r>
      <w:r>
        <w:rPr>
          <w:rFonts w:hint="eastAsia" w:asciiTheme="minorEastAsia" w:hAnsiTheme="minorEastAsia" w:eastAsiaTheme="minorEastAsia"/>
          <w:b/>
          <w:sz w:val="24"/>
          <w:szCs w:val="24"/>
        </w:rPr>
        <w:t>：</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1、招标人</w:t>
      </w:r>
    </w:p>
    <w:p>
      <w:pPr>
        <w:spacing w:line="420" w:lineRule="exact"/>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：南通市红旗机动车驾驶员培训有限责任公司</w:t>
      </w:r>
    </w:p>
    <w:p>
      <w:pPr>
        <w:pStyle w:val="21"/>
        <w:ind w:firstLine="720" w:firstLineChars="3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地 址：南通市崇川区</w:t>
      </w:r>
    </w:p>
    <w:p>
      <w:pPr>
        <w:pStyle w:val="21"/>
        <w:ind w:firstLine="720" w:firstLineChars="3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联系人：周燕</w:t>
      </w:r>
    </w:p>
    <w:p>
      <w:pPr>
        <w:pStyle w:val="21"/>
        <w:ind w:firstLine="720" w:firstLineChars="300"/>
        <w:rPr>
          <w:highlight w:val="none"/>
        </w:rPr>
      </w:pPr>
      <w:r>
        <w:rPr>
          <w:rFonts w:hint="eastAsia" w:asciiTheme="minorEastAsia" w:hAnsiTheme="minorEastAsia" w:eastAsiaTheme="minorEastAsia"/>
          <w:sz w:val="24"/>
          <w:szCs w:val="24"/>
          <w:highlight w:val="none"/>
        </w:rPr>
        <w:t>联系电话：</w:t>
      </w:r>
      <w:r>
        <w:rPr>
          <w:rFonts w:hint="eastAsia" w:ascii="宋体" w:hAnsi="宋体"/>
          <w:sz w:val="24"/>
          <w:szCs w:val="24"/>
          <w:highlight w:val="none"/>
        </w:rPr>
        <w:t>13962911601</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、招标代理机构</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单位</w:t>
      </w:r>
      <w:r>
        <w:rPr>
          <w:rFonts w:hint="eastAsia" w:asciiTheme="minorEastAsia" w:hAnsiTheme="minorEastAsia" w:eastAsiaTheme="minorEastAsia"/>
          <w:sz w:val="24"/>
          <w:szCs w:val="24"/>
        </w:rPr>
        <w:t>：中诚智信工程咨询集团股份有限公司</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地址：南通市崇川区恒隆国际B座</w:t>
      </w:r>
      <w:r>
        <w:rPr>
          <w:rFonts w:hint="eastAsia" w:asciiTheme="minorEastAsia" w:hAnsiTheme="minorEastAsia" w:eastAsiaTheme="minorEastAsia"/>
          <w:sz w:val="24"/>
          <w:szCs w:val="24"/>
        </w:rPr>
        <w:t>801</w:t>
      </w:r>
      <w:r>
        <w:rPr>
          <w:rFonts w:asciiTheme="minorEastAsia" w:hAnsiTheme="minorEastAsia" w:eastAsiaTheme="minorEastAsia"/>
          <w:sz w:val="24"/>
          <w:szCs w:val="24"/>
        </w:rPr>
        <w:t>室</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单舒</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联系电话：</w:t>
      </w:r>
      <w:r>
        <w:rPr>
          <w:rFonts w:hint="eastAsia" w:asciiTheme="minorEastAsia" w:hAnsiTheme="minorEastAsia" w:eastAsiaTheme="minorEastAsia"/>
          <w:sz w:val="24"/>
          <w:szCs w:val="24"/>
        </w:rPr>
        <w:t>13328094029，0513-85980007</w:t>
      </w:r>
    </w:p>
    <w:p>
      <w:pPr>
        <w:spacing w:line="420" w:lineRule="exact"/>
        <w:ind w:firstLine="849" w:firstLineChars="354"/>
        <w:rPr>
          <w:rFonts w:asciiTheme="minorEastAsia" w:hAnsiTheme="minorEastAsia" w:eastAsiaTheme="minorEastAsia"/>
          <w:sz w:val="24"/>
          <w:szCs w:val="24"/>
        </w:rPr>
      </w:pPr>
      <w:r>
        <w:rPr>
          <w:rFonts w:asciiTheme="minorEastAsia" w:hAnsiTheme="minorEastAsia" w:eastAsiaTheme="minorEastAsia"/>
          <w:sz w:val="24"/>
          <w:szCs w:val="24"/>
        </w:rPr>
        <w:t>邮箱：</w:t>
      </w:r>
      <w:r>
        <w:rPr>
          <w:rFonts w:hint="eastAsia" w:asciiTheme="minorEastAsia" w:hAnsiTheme="minorEastAsia" w:eastAsiaTheme="minorEastAsia"/>
          <w:sz w:val="24"/>
          <w:szCs w:val="24"/>
        </w:rPr>
        <w:t>1010491310@qq.com</w:t>
      </w:r>
    </w:p>
    <w:p>
      <w:pPr>
        <w:spacing w:line="420" w:lineRule="exact"/>
        <w:ind w:firstLine="849" w:firstLineChars="354"/>
        <w:rPr>
          <w:rFonts w:asciiTheme="minorEastAsia" w:hAnsiTheme="minorEastAsia" w:eastAsiaTheme="minorEastAsia"/>
          <w:sz w:val="24"/>
          <w:szCs w:val="24"/>
        </w:rPr>
      </w:pPr>
      <w:bookmarkStart w:id="1" w:name="_Toc363573854"/>
    </w:p>
    <w:p>
      <w:pPr>
        <w:spacing w:line="420" w:lineRule="exact"/>
        <w:ind w:firstLine="849" w:firstLineChars="354"/>
        <w:rPr>
          <w:rFonts w:asciiTheme="minorEastAsia" w:hAnsiTheme="minorEastAsia" w:eastAsiaTheme="minorEastAsia"/>
          <w:sz w:val="24"/>
          <w:szCs w:val="24"/>
        </w:rPr>
      </w:pPr>
    </w:p>
    <w:p>
      <w:pPr>
        <w:spacing w:line="420" w:lineRule="exact"/>
        <w:ind w:firstLine="849" w:firstLineChars="354"/>
        <w:rPr>
          <w:rFonts w:asciiTheme="minorEastAsia" w:hAnsiTheme="minorEastAsia" w:eastAsiaTheme="minorEastAsia"/>
          <w:sz w:val="24"/>
          <w:szCs w:val="24"/>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hint="eastAsia" w:asciiTheme="minorEastAsia" w:hAnsiTheme="minorEastAsia" w:eastAsiaTheme="minorEastAsia"/>
          <w:b/>
          <w:w w:val="80"/>
          <w:sz w:val="32"/>
          <w:szCs w:val="32"/>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第二章  投标人须知</w:t>
      </w:r>
      <w:bookmarkEnd w:id="1"/>
    </w:p>
    <w:p>
      <w:pPr>
        <w:snapToGrid w:val="0"/>
        <w:spacing w:line="420" w:lineRule="exact"/>
        <w:ind w:firstLine="482" w:firstLineChars="200"/>
        <w:outlineLvl w:val="1"/>
        <w:rPr>
          <w:rFonts w:asciiTheme="minorEastAsia" w:hAnsiTheme="minorEastAsia" w:eastAsiaTheme="minorEastAsia"/>
          <w:b/>
          <w:bCs/>
          <w:sz w:val="24"/>
          <w:szCs w:val="24"/>
        </w:rPr>
      </w:pPr>
      <w:r>
        <w:rPr>
          <w:rFonts w:asciiTheme="minorEastAsia" w:hAnsiTheme="minorEastAsia" w:eastAsiaTheme="minorEastAsia"/>
          <w:b/>
          <w:bCs/>
          <w:sz w:val="24"/>
          <w:szCs w:val="24"/>
        </w:rPr>
        <w:t>一、</w:t>
      </w:r>
      <w:r>
        <w:rPr>
          <w:rFonts w:hint="eastAsia" w:asciiTheme="minorEastAsia" w:hAnsiTheme="minorEastAsia" w:eastAsiaTheme="minorEastAsia"/>
          <w:b/>
          <w:bCs/>
          <w:sz w:val="24"/>
          <w:szCs w:val="24"/>
        </w:rPr>
        <w:t>说明</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1、本招标文件仅适用于本代理机构组织的公开招标活动。</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2、公开招标活动及因本次招标产生的合同受中国法律制约和保护。</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3、招标文件的解释权属于招标人。</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7个工作日内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5、投标人应认真审阅本招标文件中的所有事项、格式、条款和规范要求等，如果投标人没有按照招标文件要求提交投标文件，或者投标文件没有对招标文件做出实质性响应，将被拒绝参与投标。</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文件项目需求提供的可能涉及到的工艺、材料、设备、商标、样本、技术规范、参数规格、品牌等，仅作为说明并没有限制性，投标人在投标中可以选用替代标准，但这些替代标准要优于或等于项目需求技术规格中要求的标准，以满足招标人的需要。</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二、招标文件的获取</w:t>
      </w:r>
    </w:p>
    <w:p>
      <w:pPr>
        <w:snapToGrid w:val="0"/>
        <w:spacing w:line="42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有意愿参与本项目投标响应的单位，请于本公告日起至开标截止前，</w:t>
      </w:r>
      <w:r>
        <w:rPr>
          <w:rFonts w:hint="eastAsia" w:asciiTheme="minorEastAsia" w:hAnsiTheme="minorEastAsia" w:eastAsiaTheme="minorEastAsia"/>
          <w:sz w:val="24"/>
          <w:szCs w:val="24"/>
          <w:highlight w:val="none"/>
        </w:rPr>
        <w:t>到</w:t>
      </w:r>
      <w:r>
        <w:rPr>
          <w:rFonts w:hint="eastAsia" w:asciiTheme="minorEastAsia" w:hAnsiTheme="minorEastAsia" w:eastAsiaTheme="minorEastAsia"/>
          <w:kern w:val="0"/>
          <w:sz w:val="24"/>
          <w:szCs w:val="24"/>
          <w:highlight w:val="none"/>
        </w:rPr>
        <w:t>“南通市保安服务有限公司网站”栏</w:t>
      </w:r>
      <w:r>
        <w:rPr>
          <w:rFonts w:hint="eastAsia" w:asciiTheme="minorEastAsia" w:hAnsiTheme="minorEastAsia" w:eastAsiaTheme="minorEastAsia"/>
          <w:sz w:val="24"/>
          <w:szCs w:val="24"/>
          <w:highlight w:val="none"/>
        </w:rPr>
        <w:t>下载本项目的招标文件。</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三、招标文件的补充说明、澄清、修改、答疑</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1、代理机构有权对发出的招标文件进行必要的补充说明、澄清或修改。</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2、凡涉及招标文件的补充说明、澄清或修改，均以代理机构在</w:t>
      </w:r>
      <w:r>
        <w:rPr>
          <w:rFonts w:hint="eastAsia" w:asciiTheme="minorEastAsia" w:hAnsiTheme="minorEastAsia" w:eastAsiaTheme="minorEastAsia"/>
          <w:kern w:val="0"/>
          <w:sz w:val="24"/>
          <w:szCs w:val="24"/>
        </w:rPr>
        <w:t>“南通市红旗机动车驾驶员培训有限责任公司网站”栏</w:t>
      </w:r>
      <w:r>
        <w:rPr>
          <w:rFonts w:hint="eastAsia" w:asciiTheme="minorEastAsia" w:hAnsiTheme="minorEastAsia" w:eastAsiaTheme="minorEastAsia"/>
          <w:sz w:val="24"/>
          <w:szCs w:val="24"/>
        </w:rPr>
        <w:t>发布的信息为准。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3、代理机构对招标文件的补充说明、澄清或修改，将构成招标文件的一部分，对投标人具有约束力。</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4、补充说明、澄清或修改的内容可能影响到响应文件编制的，代理机构将在提交投标文件截止期15日前，发布补充说明、澄清或修改的公告，不足15日的应当顺延首次提交投标文件截止之日。</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5、除非代理机构以书面的形式对招标文件作出澄清、修改及补充，投标人对涉及招标文件的任何推论、理解和结论所造成的结果，均由投标人自负。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6、招标采购单位视情组织答疑会。如有产生答疑且对招标文件内容有修改，代理机构将按照本须知有关规定，以补充通知（公告）的方式发出。</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7、招标项目涉及到的现场勘察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7.1、招标文件所提供的项目相关数据仅做参考，投标人必须在投标文件递交日前自行对有关现场和周围环境进行勘察，以获取编制投标文件所需的信息。勘察现场如有费用产生，由投标人自行承担。</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7.2、招标人向投标人提供有关现场的资料和数据，是招标人现有的并认为能使投标人可利用的资料。招标人对投标人由此而做出的推论、理解和结论概不负责。</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7.3、潜在投标人为投标而勘察项目现场，但不得因此使招标人承担有关的责任和蒙受损失。投标人须承担勘察现场而带来的一切责任及风险。</w:t>
      </w:r>
    </w:p>
    <w:p>
      <w:pPr>
        <w:snapToGrid w:val="0"/>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7.4、投标人在现场勘察时，熟悉现场及周围交通道路等情况，以获得一切可能影响投标响应内容的直接资料。投标人中标后，不得以不完全了解现场情况为理由而向招标人提出任何索赔的要求，对此招标人不承担任何责任，且不作任何答复。</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w:t>
      </w:r>
      <w:r>
        <w:rPr>
          <w:rFonts w:asciiTheme="minorEastAsia" w:hAnsiTheme="minorEastAsia" w:eastAsiaTheme="minorEastAsia"/>
          <w:b/>
          <w:sz w:val="24"/>
          <w:szCs w:val="24"/>
        </w:rPr>
        <w:t>、投标文件的</w:t>
      </w:r>
      <w:r>
        <w:rPr>
          <w:rFonts w:hint="eastAsia" w:asciiTheme="minorEastAsia" w:hAnsiTheme="minorEastAsia" w:eastAsiaTheme="minorEastAsia"/>
          <w:b/>
          <w:sz w:val="24"/>
          <w:szCs w:val="24"/>
        </w:rPr>
        <w:t>组成</w:t>
      </w:r>
      <w:r>
        <w:rPr>
          <w:rFonts w:asciiTheme="minorEastAsia" w:hAnsiTheme="minorEastAsia" w:eastAsiaTheme="minorEastAsia"/>
          <w:b/>
          <w:sz w:val="24"/>
          <w:szCs w:val="24"/>
        </w:rPr>
        <w:t>及装订</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投标文件</w:t>
      </w:r>
      <w:r>
        <w:rPr>
          <w:rFonts w:hint="eastAsia" w:asciiTheme="minorEastAsia" w:hAnsiTheme="minorEastAsia" w:eastAsiaTheme="minorEastAsia"/>
          <w:sz w:val="24"/>
          <w:szCs w:val="24"/>
        </w:rPr>
        <w:t>由“A</w:t>
      </w:r>
      <w:r>
        <w:rPr>
          <w:rFonts w:asciiTheme="minorEastAsia" w:hAnsiTheme="minorEastAsia" w:eastAsiaTheme="minorEastAsia"/>
          <w:sz w:val="24"/>
          <w:szCs w:val="24"/>
        </w:rPr>
        <w:t>资格后审材料</w:t>
      </w:r>
      <w:r>
        <w:rPr>
          <w:rFonts w:hint="eastAsia" w:asciiTheme="minorEastAsia" w:hAnsiTheme="minorEastAsia" w:eastAsiaTheme="minorEastAsia"/>
          <w:sz w:val="24"/>
          <w:szCs w:val="24"/>
        </w:rPr>
        <w:t>文件”、“B</w:t>
      </w:r>
      <w:r>
        <w:rPr>
          <w:rFonts w:asciiTheme="minorEastAsia" w:hAnsiTheme="minorEastAsia" w:eastAsiaTheme="minorEastAsia"/>
          <w:sz w:val="24"/>
          <w:szCs w:val="24"/>
        </w:rPr>
        <w:t>技术</w:t>
      </w:r>
      <w:r>
        <w:rPr>
          <w:rFonts w:hint="eastAsia" w:asciiTheme="minorEastAsia" w:hAnsiTheme="minorEastAsia" w:eastAsiaTheme="minorEastAsia"/>
          <w:sz w:val="24"/>
          <w:szCs w:val="24"/>
        </w:rPr>
        <w:t>标响应文件”、“C价格标响应文件”共3</w:t>
      </w:r>
      <w:r>
        <w:rPr>
          <w:rFonts w:asciiTheme="minorEastAsia" w:hAnsiTheme="minorEastAsia" w:eastAsiaTheme="minorEastAsia"/>
          <w:sz w:val="24"/>
          <w:szCs w:val="24"/>
        </w:rPr>
        <w:t>部分组成</w:t>
      </w:r>
      <w:r>
        <w:rPr>
          <w:rFonts w:hint="eastAsia" w:asciiTheme="minorEastAsia" w:hAnsiTheme="minorEastAsia" w:eastAsiaTheme="minorEastAsia"/>
          <w:sz w:val="24"/>
          <w:szCs w:val="24"/>
        </w:rPr>
        <w:t>（以下由文件前缀序号代称）</w:t>
      </w:r>
      <w:r>
        <w:rPr>
          <w:rFonts w:asciiTheme="minorEastAsia" w:hAnsiTheme="minorEastAsia" w:eastAsiaTheme="minorEastAsia"/>
          <w:sz w:val="24"/>
          <w:szCs w:val="24"/>
        </w:rPr>
        <w:t>。</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2、投标</w:t>
      </w:r>
      <w:r>
        <w:rPr>
          <w:rFonts w:hint="eastAsia" w:asciiTheme="minorEastAsia" w:hAnsiTheme="minorEastAsia" w:eastAsiaTheme="minorEastAsia"/>
          <w:kern w:val="0"/>
          <w:sz w:val="24"/>
          <w:szCs w:val="24"/>
        </w:rPr>
        <w:t>人</w:t>
      </w:r>
      <w:r>
        <w:rPr>
          <w:rFonts w:hint="eastAsia" w:asciiTheme="minorEastAsia" w:hAnsiTheme="minorEastAsia" w:eastAsiaTheme="minorEastAsia"/>
          <w:sz w:val="24"/>
          <w:szCs w:val="24"/>
        </w:rPr>
        <w:t>按项目需求结合第四章评审程序和方法并参照第八章投标文件的组成及相关格式编写投标文件，并牢固装订成册。投标文件均需采用</w:t>
      </w:r>
      <w:r>
        <w:rPr>
          <w:rFonts w:asciiTheme="minorEastAsia" w:hAnsiTheme="minorEastAsia" w:eastAsiaTheme="minorEastAsia"/>
          <w:sz w:val="24"/>
          <w:szCs w:val="24"/>
        </w:rPr>
        <w:t>A4</w:t>
      </w:r>
      <w:r>
        <w:rPr>
          <w:rFonts w:hint="eastAsia" w:asciiTheme="minorEastAsia" w:hAnsiTheme="minorEastAsia" w:eastAsiaTheme="minorEastAsia"/>
          <w:sz w:val="24"/>
          <w:szCs w:val="24"/>
        </w:rPr>
        <w:t>纸（图纸等除外），投标文件不得行间插字、涂改、增删，如修改错漏处，须经签署投标文件的投标人法人代表或其委托的代理人（以下称被委托受权人）签字（或盖章）并加盖公章。</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3、价格标响应文件中的所有报价表，必须装订成册。</w:t>
      </w:r>
    </w:p>
    <w:p>
      <w:pPr>
        <w:snapToGrid w:val="0"/>
        <w:spacing w:line="420" w:lineRule="exact"/>
        <w:ind w:firstLine="482" w:firstLineChars="200"/>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五、投标文件的份数、签署和退还</w:t>
      </w:r>
    </w:p>
    <w:p>
      <w:pPr>
        <w:snapToGrid w:val="0"/>
        <w:spacing w:line="42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1、投标文件均为</w:t>
      </w:r>
      <w:r>
        <w:rPr>
          <w:rFonts w:hint="eastAsia" w:asciiTheme="minorEastAsia" w:hAnsiTheme="minorEastAsia" w:eastAsiaTheme="minorEastAsia"/>
          <w:b/>
          <w:sz w:val="24"/>
          <w:szCs w:val="24"/>
          <w:u w:val="thick" w:color="FF0000"/>
        </w:rPr>
        <w:t>一份“正本”和二份“副本”</w:t>
      </w:r>
      <w:r>
        <w:rPr>
          <w:rFonts w:hint="eastAsia" w:asciiTheme="minorEastAsia" w:hAnsiTheme="minorEastAsia" w:eastAsiaTheme="minorEastAsia"/>
          <w:b/>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2、在每一份投标文件上要明确标注项目名称、投标文件各自对应的名称、投标人全称、</w:t>
      </w:r>
      <w:r>
        <w:rPr>
          <w:rFonts w:asciiTheme="minorEastAsia" w:hAnsiTheme="minorEastAsia" w:eastAsiaTheme="minorEastAsia"/>
          <w:sz w:val="24"/>
          <w:szCs w:val="24"/>
        </w:rPr>
        <w:t>“</w:t>
      </w:r>
      <w:r>
        <w:rPr>
          <w:rFonts w:hint="eastAsia" w:asciiTheme="minorEastAsia" w:hAnsiTheme="minorEastAsia" w:eastAsiaTheme="minorEastAsia"/>
          <w:sz w:val="24"/>
          <w:szCs w:val="24"/>
        </w:rPr>
        <w:t>正本</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副本</w:t>
      </w:r>
      <w:r>
        <w:rPr>
          <w:rFonts w:asciiTheme="minorEastAsia" w:hAnsiTheme="minorEastAsia" w:eastAsiaTheme="minorEastAsia"/>
          <w:sz w:val="24"/>
          <w:szCs w:val="24"/>
        </w:rPr>
        <w:t>”</w:t>
      </w:r>
      <w:r>
        <w:rPr>
          <w:rFonts w:hint="eastAsia" w:asciiTheme="minorEastAsia" w:hAnsiTheme="minorEastAsia" w:eastAsiaTheme="minorEastAsia"/>
          <w:sz w:val="24"/>
          <w:szCs w:val="24"/>
        </w:rPr>
        <w:t>字样，“正本”和“副本”若有差异，概以“正本”为准。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3、投标文件中的所有“正本”，须为打印的，其正文内容由法定代表人或被委托受权人签字（或盖章）并加盖公章，“副本”可为“正本”的复印件。</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4、开标程序顺利进行后，所有投标文件都将作为档案保存，不论中标与否，代理机构均不退回（未拆封的除外）。</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六、投标文件的密封及标记</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、投标人须将本项目投标文件“【A】【B】【C】”</w:t>
      </w:r>
      <w:r>
        <w:rPr>
          <w:rFonts w:hint="eastAsia" w:asciiTheme="minorEastAsia" w:hAnsiTheme="minorEastAsia" w:eastAsiaTheme="minorEastAsia"/>
          <w:b/>
          <w:sz w:val="24"/>
          <w:szCs w:val="24"/>
        </w:rPr>
        <w:t>分别单独密封</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、密封后，应在每一密封的投标文件上明确标注投标项目名称、投标文件各自对应的名称、投标人全称及日期，同时加盖投标人公章。</w:t>
      </w:r>
    </w:p>
    <w:p>
      <w:pPr>
        <w:snapToGrid w:val="0"/>
        <w:spacing w:line="42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特别提醒：</w:t>
      </w:r>
      <w:r>
        <w:rPr>
          <w:rFonts w:hint="eastAsia" w:asciiTheme="minorEastAsia" w:hAnsiTheme="minorEastAsia" w:eastAsiaTheme="minorEastAsia"/>
          <w:sz w:val="24"/>
          <w:szCs w:val="24"/>
        </w:rPr>
        <w:t>投标文件中的【A】与【B】的“正本”或“副本”中，均不得含有任何【C】中的报价表（报价单）的内容，否则作废标处理。</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七、投标文件内容</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r>
        <w:rPr>
          <w:rFonts w:hint="eastAsia" w:asciiTheme="minorEastAsia" w:hAnsiTheme="minorEastAsia" w:eastAsiaTheme="minorEastAsia"/>
          <w:sz w:val="24"/>
          <w:szCs w:val="24"/>
        </w:rPr>
        <w:t>（</w:t>
      </w:r>
      <w:r>
        <w:rPr>
          <w:rFonts w:hint="eastAsia" w:asciiTheme="minorEastAsia" w:hAnsiTheme="minorEastAsia" w:eastAsiaTheme="minorEastAsia"/>
          <w:b/>
          <w:bCs/>
          <w:sz w:val="24"/>
          <w:szCs w:val="24"/>
        </w:rPr>
        <w:t>一个密封包</w:t>
      </w:r>
      <w:r>
        <w:rPr>
          <w:rFonts w:hint="eastAsia" w:asciiTheme="minorEastAsia" w:hAnsiTheme="minorEastAsia" w:eastAsiaTheme="minorEastAsia"/>
          <w:sz w:val="24"/>
          <w:szCs w:val="24"/>
        </w:rPr>
        <w:t>，格式参见第八章）（含一正二副文件）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bookmarkStart w:id="2" w:name="_Hlk10361781"/>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1、投标人具有独立法人资格的</w:t>
      </w:r>
      <w:r>
        <w:rPr>
          <w:rFonts w:hint="eastAsia" w:asciiTheme="minorEastAsia" w:hAnsiTheme="minorEastAsia" w:eastAsiaTheme="minorEastAsia"/>
          <w:b/>
          <w:bCs/>
          <w:sz w:val="24"/>
          <w:szCs w:val="24"/>
        </w:rPr>
        <w:t>生产商或代理商</w:t>
      </w:r>
      <w:r>
        <w:rPr>
          <w:rFonts w:hint="eastAsia" w:asciiTheme="minorEastAsia" w:hAnsiTheme="minorEastAsia" w:eastAsiaTheme="minorEastAsia"/>
          <w:sz w:val="24"/>
          <w:szCs w:val="24"/>
        </w:rPr>
        <w:t>，提供有效的营业执照及税务登记证；或者是三证合一的营业执照件的复印件（须加盖投标人公章）。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2、投标人是代理商投标的，须提供代理商营业执照原件的复印件（须加盖投标人公章）</w:t>
      </w:r>
      <w:r>
        <w:rPr>
          <w:rFonts w:hint="eastAsia" w:asciiTheme="minorEastAsia" w:hAnsiTheme="minorEastAsia" w:eastAsiaTheme="minorEastAsia"/>
          <w:b/>
          <w:bCs/>
          <w:sz w:val="24"/>
          <w:szCs w:val="24"/>
        </w:rPr>
        <w:t>。</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4、投标人须提供参与本次项目采购活动前三年内，在经营活动中没有违法记录的书面《</w:t>
      </w:r>
      <w:r>
        <w:rPr>
          <w:rFonts w:hint="eastAsia" w:asciiTheme="minorEastAsia" w:hAnsiTheme="minorEastAsia" w:eastAsiaTheme="minorEastAsia"/>
          <w:b/>
          <w:bCs/>
          <w:sz w:val="24"/>
          <w:szCs w:val="24"/>
        </w:rPr>
        <w:t>无违法记录承诺函</w:t>
      </w:r>
      <w:r>
        <w:rPr>
          <w:rFonts w:hint="eastAsia" w:asciiTheme="minorEastAsia" w:hAnsiTheme="minorEastAsia" w:eastAsiaTheme="minorEastAsia"/>
          <w:sz w:val="24"/>
          <w:szCs w:val="24"/>
        </w:rPr>
        <w:t>》（须加盖公章）。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5、投标人还须提供本招标文件第八章投标文件的组成及格式中的“资格后审材料相关格式文件”内的：关于资格文件的声明函、投标人一般情况表。</w:t>
      </w:r>
    </w:p>
    <w:bookmarkEnd w:id="2"/>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B、技术标响应文件（格式参见第八章）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投标人应根据本招标文件第三章“项目需求”提供的主要技术规范，服务要求标准等，仔细阅读并在理解的基础上结合现场踏勘的资料与第四章“评审程序和方法”内的评审细则，编写编制技术标文件。以下技术标文件的内容，不得有缺项或漏项。否则将有可能被视为未实质性响应招标文件要求而作无效投标处理，亦可能直接影响技术标评审的得分。</w:t>
      </w:r>
    </w:p>
    <w:p>
      <w:pPr>
        <w:spacing w:line="420" w:lineRule="exact"/>
        <w:ind w:firstLine="484" w:firstLineChars="202"/>
        <w:outlineLvl w:val="3"/>
        <w:rPr>
          <w:rFonts w:asciiTheme="minorEastAsia" w:hAnsiTheme="minorEastAsia" w:eastAsiaTheme="minorEastAsia"/>
          <w:bCs/>
          <w:sz w:val="24"/>
          <w:szCs w:val="24"/>
        </w:rPr>
      </w:pPr>
      <w:r>
        <w:rPr>
          <w:rFonts w:hint="eastAsia" w:asciiTheme="minorEastAsia" w:hAnsiTheme="minorEastAsia" w:eastAsiaTheme="minorEastAsia"/>
          <w:bCs/>
          <w:sz w:val="24"/>
          <w:szCs w:val="24"/>
        </w:rPr>
        <w:t>1、投标响应函；</w:t>
      </w:r>
    </w:p>
    <w:p>
      <w:pPr>
        <w:spacing w:line="420" w:lineRule="exact"/>
        <w:ind w:firstLine="484" w:firstLineChars="202"/>
        <w:rPr>
          <w:rFonts w:asciiTheme="minorEastAsia" w:hAnsiTheme="minorEastAsia" w:eastAsiaTheme="minorEastAsia"/>
          <w:bCs/>
          <w:sz w:val="24"/>
          <w:szCs w:val="24"/>
        </w:rPr>
      </w:pPr>
      <w:r>
        <w:rPr>
          <w:rFonts w:hint="eastAsia" w:asciiTheme="minorEastAsia" w:hAnsiTheme="minorEastAsia" w:eastAsiaTheme="minorEastAsia"/>
          <w:bCs/>
          <w:sz w:val="24"/>
          <w:szCs w:val="24"/>
        </w:rPr>
        <w:t>2、技术条款响应一览表；</w:t>
      </w:r>
    </w:p>
    <w:p>
      <w:pPr>
        <w:spacing w:line="420" w:lineRule="exact"/>
        <w:ind w:firstLine="484" w:firstLineChars="202"/>
        <w:rPr>
          <w:rFonts w:asciiTheme="minorEastAsia" w:hAnsiTheme="minorEastAsia" w:eastAsiaTheme="minorEastAsia"/>
          <w:bCs/>
          <w:sz w:val="24"/>
          <w:szCs w:val="24"/>
        </w:rPr>
      </w:pPr>
      <w:r>
        <w:rPr>
          <w:rFonts w:hint="eastAsia" w:asciiTheme="minorEastAsia" w:hAnsiTheme="minorEastAsia" w:eastAsiaTheme="minorEastAsia"/>
          <w:bCs/>
          <w:sz w:val="24"/>
          <w:szCs w:val="24"/>
        </w:rPr>
        <w:t>3、招标文件第四章评审程序和方法要求提交的其它材料。</w:t>
      </w:r>
    </w:p>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C、价格标响应文件（格式参见第八章）</w:t>
      </w:r>
      <w:r>
        <w:rPr>
          <w:rFonts w:hint="eastAsia" w:asciiTheme="minorEastAsia" w:hAnsiTheme="minorEastAsia" w:eastAsiaTheme="minorEastAsia"/>
          <w:sz w:val="24"/>
          <w:szCs w:val="24"/>
        </w:rPr>
        <w:t>（一个密封包，含一正二副文件）</w:t>
      </w:r>
      <w:r>
        <w:rPr>
          <w:rFonts w:hint="eastAsia" w:asciiTheme="minorEastAsia" w:hAnsiTheme="minorEastAsia" w:eastAsiaTheme="minorEastAsia"/>
          <w:b/>
          <w:sz w:val="24"/>
          <w:szCs w:val="24"/>
        </w:rPr>
        <w:t>：</w:t>
      </w:r>
    </w:p>
    <w:p>
      <w:pPr>
        <w:spacing w:line="44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别提醒】价格标响应文件中的报价，包括本招标文件规定涵盖的所有招标范围及相应说明的全部内容及费用。本次招标项目的商务付款方式要求，必须完全响应不得有任何负偏离，且不接受任何意在更改的说明，否则作无效投标处理。投标人中标后如据此提出疑义，不履行签订合同等下一步工作，招标人有权没收其全额投标保证金并取消其中标资格。</w:t>
      </w:r>
    </w:p>
    <w:p>
      <w:pPr>
        <w:numPr>
          <w:ilvl w:val="0"/>
          <w:numId w:val="2"/>
        </w:numPr>
        <w:spacing w:line="420" w:lineRule="exact"/>
        <w:outlineLvl w:val="3"/>
        <w:rPr>
          <w:rFonts w:asciiTheme="minorEastAsia" w:hAnsiTheme="minorEastAsia" w:eastAsiaTheme="minorEastAsia"/>
          <w:sz w:val="24"/>
          <w:szCs w:val="24"/>
        </w:rPr>
      </w:pPr>
      <w:r>
        <w:rPr>
          <w:rFonts w:asciiTheme="minorEastAsia" w:hAnsiTheme="minorEastAsia" w:eastAsiaTheme="minorEastAsia"/>
          <w:sz w:val="24"/>
          <w:szCs w:val="24"/>
        </w:rPr>
        <w:t>投标响应报价总表；</w:t>
      </w:r>
    </w:p>
    <w:p>
      <w:pPr>
        <w:pStyle w:val="21"/>
        <w:ind w:left="485"/>
        <w:rPr>
          <w:rFonts w:asciiTheme="minorEastAsia" w:hAnsiTheme="minorEastAsia" w:eastAsiaTheme="minorEastAsia"/>
          <w:sz w:val="24"/>
          <w:szCs w:val="24"/>
        </w:rPr>
      </w:pPr>
      <w:r>
        <w:rPr>
          <w:rFonts w:hint="eastAsia" w:asciiTheme="minorEastAsia" w:hAnsiTheme="minorEastAsia" w:eastAsiaTheme="minorEastAsia"/>
          <w:sz w:val="24"/>
          <w:szCs w:val="24"/>
        </w:rPr>
        <w:t>2、投标报价明细表。</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八</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联合投标：</w:t>
      </w:r>
    </w:p>
    <w:p>
      <w:pPr>
        <w:spacing w:line="42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本项目不接受多个投标人组成联合体参与投标。</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w:t>
      </w:r>
      <w:r>
        <w:rPr>
          <w:rFonts w:asciiTheme="minorEastAsia" w:hAnsiTheme="minorEastAsia" w:eastAsiaTheme="minorEastAsia"/>
          <w:b/>
          <w:bCs/>
          <w:sz w:val="24"/>
          <w:szCs w:val="24"/>
        </w:rPr>
        <w:t>文件递交</w:t>
      </w:r>
    </w:p>
    <w:p>
      <w:pPr>
        <w:spacing w:line="420" w:lineRule="exact"/>
        <w:ind w:firstLine="484" w:firstLineChars="202"/>
        <w:outlineLvl w:val="1"/>
        <w:rPr>
          <w:rFonts w:asciiTheme="minorEastAsia" w:hAnsiTheme="minorEastAsia" w:eastAsiaTheme="minorEastAsia"/>
          <w:bCs/>
          <w:sz w:val="24"/>
          <w:szCs w:val="24"/>
        </w:rPr>
      </w:pPr>
      <w:r>
        <w:rPr>
          <w:rFonts w:hint="eastAsia" w:asciiTheme="minorEastAsia" w:hAnsiTheme="minorEastAsia" w:eastAsiaTheme="minorEastAsia"/>
          <w:bCs/>
          <w:sz w:val="24"/>
          <w:szCs w:val="24"/>
        </w:rPr>
        <w:t>1、文件递交方式：直接送达。</w:t>
      </w:r>
    </w:p>
    <w:p>
      <w:pPr>
        <w:spacing w:line="420" w:lineRule="exact"/>
        <w:ind w:firstLine="484" w:firstLineChars="202"/>
        <w:outlineLvl w:val="1"/>
        <w:rPr>
          <w:rFonts w:asciiTheme="minorEastAsia" w:hAnsiTheme="minorEastAsia" w:eastAsiaTheme="minorEastAsia"/>
          <w:bCs/>
          <w:sz w:val="24"/>
          <w:szCs w:val="24"/>
        </w:rPr>
      </w:pPr>
      <w:r>
        <w:rPr>
          <w:rFonts w:hint="eastAsia" w:asciiTheme="minorEastAsia" w:hAnsiTheme="minorEastAsia" w:eastAsiaTheme="minorEastAsia"/>
          <w:bCs/>
          <w:sz w:val="24"/>
          <w:szCs w:val="24"/>
        </w:rPr>
        <w:t>2、投标文件递交截止时间及地点：</w:t>
      </w:r>
      <w:r>
        <w:rPr>
          <w:rFonts w:hint="eastAsia" w:asciiTheme="minorEastAsia" w:hAnsiTheme="minorEastAsia" w:eastAsiaTheme="minorEastAsia"/>
          <w:b/>
          <w:sz w:val="24"/>
          <w:szCs w:val="24"/>
          <w:u w:val="thick" w:color="FF0000"/>
        </w:rPr>
        <w:t>2024年</w:t>
      </w:r>
      <w:r>
        <w:rPr>
          <w:rFonts w:hint="eastAsia" w:asciiTheme="minorEastAsia" w:hAnsiTheme="minorEastAsia" w:eastAsiaTheme="minorEastAsia"/>
          <w:b/>
          <w:sz w:val="24"/>
          <w:szCs w:val="24"/>
          <w:u w:val="thick" w:color="FF0000"/>
          <w:lang w:val="en-US" w:eastAsia="zh-CN"/>
        </w:rPr>
        <w:t>4</w:t>
      </w:r>
      <w:r>
        <w:rPr>
          <w:rFonts w:hint="eastAsia" w:asciiTheme="minorEastAsia" w:hAnsiTheme="minorEastAsia" w:eastAsiaTheme="minorEastAsia"/>
          <w:b/>
          <w:sz w:val="24"/>
          <w:szCs w:val="24"/>
          <w:u w:val="thick" w:color="FF0000"/>
        </w:rPr>
        <w:t>月</w:t>
      </w:r>
      <w:r>
        <w:rPr>
          <w:rFonts w:hint="eastAsia" w:asciiTheme="minorEastAsia" w:hAnsiTheme="minorEastAsia" w:eastAsiaTheme="minorEastAsia"/>
          <w:b/>
          <w:sz w:val="24"/>
          <w:szCs w:val="24"/>
          <w:u w:val="thick" w:color="FF0000"/>
          <w:lang w:val="en-US" w:eastAsia="zh-CN"/>
        </w:rPr>
        <w:t>2</w:t>
      </w:r>
      <w:r>
        <w:rPr>
          <w:rFonts w:hint="eastAsia" w:asciiTheme="minorEastAsia" w:hAnsiTheme="minorEastAsia" w:eastAsiaTheme="minorEastAsia"/>
          <w:b/>
          <w:sz w:val="24"/>
          <w:szCs w:val="24"/>
          <w:u w:val="thick" w:color="FF0000"/>
        </w:rPr>
        <w:t>日</w:t>
      </w:r>
      <w:r>
        <w:rPr>
          <w:rFonts w:hint="eastAsia" w:asciiTheme="minorEastAsia" w:hAnsiTheme="minorEastAsia" w:eastAsiaTheme="minorEastAsia"/>
          <w:b/>
          <w:sz w:val="24"/>
          <w:szCs w:val="24"/>
          <w:u w:val="thick" w:color="FF0000"/>
          <w:lang w:val="en-US" w:eastAsia="zh-CN"/>
        </w:rPr>
        <w:t>9</w:t>
      </w:r>
      <w:r>
        <w:rPr>
          <w:rFonts w:hint="eastAsia" w:asciiTheme="minorEastAsia" w:hAnsiTheme="minorEastAsia" w:eastAsiaTheme="minorEastAsia"/>
          <w:b/>
          <w:sz w:val="24"/>
          <w:szCs w:val="24"/>
          <w:u w:val="thick" w:color="FF0000"/>
        </w:rPr>
        <w:t>点30分</w:t>
      </w:r>
      <w:r>
        <w:rPr>
          <w:rFonts w:hint="eastAsia" w:asciiTheme="minorEastAsia" w:hAnsiTheme="minorEastAsia" w:eastAsiaTheme="minorEastAsia"/>
          <w:bCs/>
          <w:sz w:val="24"/>
          <w:szCs w:val="24"/>
        </w:rPr>
        <w:t>前；</w:t>
      </w:r>
      <w:r>
        <w:rPr>
          <w:rFonts w:hint="eastAsia" w:asciiTheme="minorEastAsia" w:hAnsiTheme="minorEastAsia" w:eastAsiaTheme="minorEastAsia"/>
          <w:b/>
          <w:sz w:val="24"/>
          <w:szCs w:val="24"/>
          <w:u w:val="thick" w:color="FF0000"/>
        </w:rPr>
        <w:t>南通市保安服务有限公司6楼会议室2。</w:t>
      </w:r>
      <w:r>
        <w:rPr>
          <w:rFonts w:hint="eastAsia" w:asciiTheme="minorEastAsia" w:hAnsiTheme="minorEastAsia" w:eastAsiaTheme="minorEastAsia"/>
          <w:bCs/>
          <w:sz w:val="24"/>
          <w:szCs w:val="24"/>
        </w:rPr>
        <w:t>。</w:t>
      </w:r>
    </w:p>
    <w:p>
      <w:pPr>
        <w:spacing w:line="420" w:lineRule="exact"/>
        <w:ind w:firstLine="484" w:firstLineChars="202"/>
        <w:outlineLvl w:val="1"/>
        <w:rPr>
          <w:rFonts w:asciiTheme="minorEastAsia" w:hAnsiTheme="minorEastAsia" w:eastAsiaTheme="minorEastAsia"/>
          <w:bCs/>
          <w:sz w:val="24"/>
          <w:szCs w:val="24"/>
        </w:rPr>
      </w:pPr>
      <w:r>
        <w:rPr>
          <w:rFonts w:hint="eastAsia" w:asciiTheme="minorEastAsia" w:hAnsiTheme="minorEastAsia" w:eastAsiaTheme="minorEastAsia"/>
          <w:bCs/>
          <w:sz w:val="24"/>
          <w:szCs w:val="24"/>
        </w:rPr>
        <w:t>3、投标文件截止时间：投标文件必须在规定的接收截止时间前送至指定地点，招标人或代理机构将拒绝接收在截止时间后递交的文件。</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rPr>
        <w:t>十、</w:t>
      </w:r>
      <w:r>
        <w:rPr>
          <w:rFonts w:asciiTheme="minorEastAsia" w:hAnsiTheme="minorEastAsia" w:eastAsiaTheme="minorEastAsia"/>
          <w:b/>
          <w:bCs/>
          <w:sz w:val="24"/>
          <w:szCs w:val="24"/>
        </w:rPr>
        <w:t>投标文件的有效期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1、从投标文件接收截止之日算起，</w:t>
      </w:r>
      <w:r>
        <w:rPr>
          <w:rFonts w:asciiTheme="minorEastAsia" w:hAnsiTheme="minorEastAsia" w:eastAsiaTheme="minorEastAsia"/>
          <w:sz w:val="24"/>
          <w:szCs w:val="24"/>
        </w:rPr>
        <w:t>45个</w:t>
      </w:r>
      <w:r>
        <w:rPr>
          <w:rFonts w:hint="eastAsia" w:asciiTheme="minorEastAsia" w:hAnsiTheme="minorEastAsia" w:eastAsiaTheme="minorEastAsia"/>
          <w:sz w:val="24"/>
          <w:szCs w:val="24"/>
        </w:rPr>
        <w:t>日历天内投标书应保持有效。有效期短于这个规定期限的投标，将被拒绝。</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特殊情况下，招标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将被拒绝，但投标保证金可退还。</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十一、投标费用</w:t>
      </w:r>
    </w:p>
    <w:p>
      <w:pPr>
        <w:snapToGrid w:val="0"/>
        <w:spacing w:line="420" w:lineRule="exact"/>
        <w:ind w:firstLine="494" w:firstLineChars="206"/>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1、投标人应承担其报名投标项目、编制投标文件以及递交投标文件所涉及的一切费用。无论投标结果如何，招标人对上述费用不负任何责任。</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十二、投标报价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1、本项目不接受任何有选择的报价。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2、投标报价均以人民币为报价的货币单位。</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、报价表必须加盖投标人公章且必须经法定代表人或被委托受权人签署。</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、报价出现前后不一致的，按照下列规定修正：</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（1）投标文件中报价表（开标一览表）内容与投标文件技术响应中内容明细不一致的，以报价表（开标一览表）为准；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（2）投标文件中涉及大写金额和小写金额不一致的，以大写金额为准；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（3）单价金额小数点或者百分比有明显错位的，以报价表（开标一览表）的总价为准，并修改单价；</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（4）总价金额与按单价汇总金额不一致的，以单价金额计算结果为准。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同时出现两种以上不一致的，按照前款规定的顺序修正。修正后的报价应当由投标人的法定代表人或其授权的代表签字确认后产生约束力，投标人不确认的，其投标无效。</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5、投标</w:t>
      </w:r>
      <w:r>
        <w:rPr>
          <w:rFonts w:hint="eastAsia" w:asciiTheme="minorEastAsia" w:hAnsiTheme="minorEastAsia" w:eastAsiaTheme="minorEastAsia"/>
          <w:sz w:val="24"/>
          <w:szCs w:val="24"/>
        </w:rPr>
        <w:t>报价总价包括：</w:t>
      </w:r>
    </w:p>
    <w:p>
      <w:pPr>
        <w:tabs>
          <w:tab w:val="left" w:pos="284"/>
        </w:tabs>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cstheme="minorEastAsia"/>
          <w:sz w:val="24"/>
          <w:szCs w:val="24"/>
        </w:rPr>
        <w:t>投标报价应包括招标文件所确定的招标范围相应货物和服务的供货、包装、运输、保险、辅助设备、安装调试、管理、维护（包括质保期内的一切维修、保养、更换零部件、人工等伴随服务）、售后服务、劳务、培训、验收、办公设备、设备、工具、耗材、运送工具及耗材、利润、风险、商检费、税金、招标代理服务费及政策性文件规定等各项应有费用，以及为完成该项货物或者服务项目所涉及到的一切相关费用，招标人不再支付其他任何费用。安装、调试、验收过程中，如发现有漏项、缺件，中标人应无条件、无偿补齐，所发生的一切费用，视为已包含在投标人的报价之中，且并不因此而影响交付实际使用人的时间。</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6、本次公开招标项目仅为一次商务报价，一旦中标即为中标价。</w:t>
      </w:r>
      <w:r>
        <w:rPr>
          <w:rFonts w:hint="eastAsia" w:asciiTheme="minorEastAsia" w:hAnsiTheme="minorEastAsia" w:eastAsiaTheme="minorEastAsia"/>
          <w:sz w:val="24"/>
          <w:szCs w:val="24"/>
        </w:rPr>
        <w:t>除非因特殊原因并经买卖双方协商同意，中标的投标人（以下称中标人）不得再要求追加任何费用。同时，除非合同条款中另有规定，否则，中标人的中标价在合同实施期间不得因市场变化因素而变动。</w:t>
      </w:r>
    </w:p>
    <w:p>
      <w:pPr>
        <w:snapToGrid w:val="0"/>
        <w:spacing w:line="420" w:lineRule="exact"/>
        <w:ind w:firstLine="482" w:firstLineChars="200"/>
        <w:outlineLvl w:val="1"/>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十</w:t>
      </w:r>
      <w:r>
        <w:rPr>
          <w:rFonts w:hint="eastAsia" w:asciiTheme="minorEastAsia" w:hAnsiTheme="minorEastAsia" w:eastAsiaTheme="minorEastAsia"/>
          <w:b/>
          <w:bCs/>
          <w:sz w:val="24"/>
          <w:szCs w:val="24"/>
        </w:rPr>
        <w:t>三</w:t>
      </w:r>
      <w:r>
        <w:rPr>
          <w:rFonts w:hint="eastAsia" w:asciiTheme="minorEastAsia" w:hAnsiTheme="minorEastAsia" w:eastAsiaTheme="minorEastAsia"/>
          <w:b/>
          <w:bCs/>
          <w:sz w:val="24"/>
          <w:szCs w:val="24"/>
          <w:lang w:val="zh-CN"/>
        </w:rPr>
        <w:t>、</w:t>
      </w:r>
      <w:r>
        <w:rPr>
          <w:rFonts w:hint="eastAsia" w:asciiTheme="minorEastAsia" w:hAnsiTheme="minorEastAsia" w:eastAsiaTheme="minorEastAsia"/>
          <w:b/>
          <w:bCs/>
          <w:sz w:val="24"/>
          <w:szCs w:val="24"/>
        </w:rPr>
        <w:t>投标</w:t>
      </w:r>
      <w:r>
        <w:rPr>
          <w:rFonts w:hint="eastAsia" w:asciiTheme="minorEastAsia" w:hAnsiTheme="minorEastAsia" w:eastAsiaTheme="minorEastAsia"/>
          <w:b/>
          <w:bCs/>
          <w:sz w:val="24"/>
          <w:szCs w:val="24"/>
          <w:lang w:val="zh-CN"/>
        </w:rPr>
        <w:t>保证金</w:t>
      </w:r>
    </w:p>
    <w:p>
      <w:pPr>
        <w:snapToGrid w:val="0"/>
        <w:spacing w:line="420" w:lineRule="exact"/>
        <w:ind w:firstLine="494" w:firstLineChars="206"/>
        <w:outlineLvl w:val="1"/>
        <w:rPr>
          <w:rFonts w:asciiTheme="minorEastAsia" w:hAnsiTheme="minorEastAsia" w:eastAsiaTheme="minorEastAsia"/>
          <w:b/>
          <w:sz w:val="24"/>
          <w:szCs w:val="24"/>
          <w:highlight w:val="none"/>
        </w:rPr>
      </w:pPr>
      <w:r>
        <w:rPr>
          <w:rFonts w:hint="eastAsia" w:asciiTheme="minorEastAsia" w:hAnsiTheme="minorEastAsia" w:eastAsiaTheme="minorEastAsia"/>
          <w:bCs/>
          <w:sz w:val="24"/>
          <w:szCs w:val="24"/>
          <w:highlight w:val="none"/>
        </w:rPr>
        <w:t>本项目无需递交投标保证金</w:t>
      </w:r>
    </w:p>
    <w:p>
      <w:pPr>
        <w:snapToGrid w:val="0"/>
        <w:spacing w:line="420" w:lineRule="exact"/>
        <w:ind w:firstLine="496" w:firstLineChars="206"/>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十四、履约保证金</w:t>
      </w:r>
    </w:p>
    <w:p>
      <w:pPr>
        <w:spacing w:line="360" w:lineRule="auto"/>
        <w:ind w:firstLine="480" w:firstLineChars="200"/>
        <w:rPr>
          <w:rFonts w:asciiTheme="minorEastAsia" w:hAnsiTheme="minorEastAsia" w:eastAsiaTheme="minorEastAsia"/>
          <w:sz w:val="24"/>
          <w:szCs w:val="24"/>
          <w:highlight w:val="none"/>
        </w:rPr>
      </w:pPr>
      <w:r>
        <w:rPr>
          <w:rFonts w:cs="宋体"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、本项目中标后无需递交履约保证金。</w:t>
      </w:r>
    </w:p>
    <w:p>
      <w:pPr>
        <w:snapToGrid w:val="0"/>
        <w:spacing w:line="420" w:lineRule="exact"/>
        <w:ind w:firstLine="496" w:firstLineChars="206"/>
        <w:outlineLvl w:val="1"/>
        <w:rPr>
          <w:rFonts w:asciiTheme="minorEastAsia" w:hAnsiTheme="minorEastAsia" w:eastAsiaTheme="minorEastAsia"/>
          <w:bCs/>
          <w:sz w:val="24"/>
          <w:szCs w:val="24"/>
          <w:highlight w:val="none"/>
          <w:lang w:val="zh-CN"/>
        </w:rPr>
      </w:pPr>
      <w:r>
        <w:rPr>
          <w:rFonts w:hint="eastAsia" w:asciiTheme="minorEastAsia" w:hAnsiTheme="minorEastAsia" w:eastAsiaTheme="minorEastAsia"/>
          <w:b/>
          <w:sz w:val="24"/>
          <w:szCs w:val="24"/>
          <w:highlight w:val="none"/>
        </w:rPr>
        <w:t>十五、付款方式</w:t>
      </w:r>
    </w:p>
    <w:p>
      <w:pPr>
        <w:snapToGrid w:val="0"/>
        <w:spacing w:line="4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【特别提醒】付款方式不接受负偏离及任何意图改变付款方式的意图表达，否则作无效投标处理。</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sz w:val="24"/>
          <w:szCs w:val="24"/>
          <w:highlight w:val="none"/>
        </w:rPr>
        <w:t>付款方</w:t>
      </w:r>
      <w:r>
        <w:rPr>
          <w:rFonts w:hint="eastAsia" w:asciiTheme="minorEastAsia" w:hAnsiTheme="minorEastAsia" w:eastAsiaTheme="minorEastAsia"/>
          <w:bCs/>
          <w:sz w:val="24"/>
          <w:szCs w:val="24"/>
          <w:highlight w:val="none"/>
          <w:lang w:val="zh-CN"/>
        </w:rPr>
        <w:t>式：</w:t>
      </w:r>
    </w:p>
    <w:p>
      <w:pPr>
        <w:pStyle w:val="201"/>
        <w:widowControl/>
        <w:numPr>
          <w:ilvl w:val="0"/>
          <w:numId w:val="3"/>
        </w:numPr>
        <w:shd w:val="clear" w:color="auto" w:fill="FFFFFF"/>
        <w:spacing w:line="560" w:lineRule="exact"/>
        <w:ind w:firstLineChars="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交付车辆（提车时）验收合格后,付清车款。</w:t>
      </w:r>
    </w:p>
    <w:p>
      <w:pPr>
        <w:snapToGrid w:val="0"/>
        <w:spacing w:line="420" w:lineRule="exact"/>
        <w:ind w:firstLine="480" w:firstLineChars="200"/>
        <w:rPr>
          <w:rFonts w:asciiTheme="minorEastAsia" w:hAnsiTheme="minorEastAsia" w:eastAsiaTheme="minorEastAsia"/>
          <w:bCs/>
          <w:sz w:val="24"/>
          <w:szCs w:val="24"/>
          <w:highlight w:val="none"/>
          <w:lang w:val="zh-CN"/>
        </w:rPr>
      </w:pPr>
      <w:r>
        <w:rPr>
          <w:rFonts w:hint="eastAsia" w:asciiTheme="minorEastAsia" w:hAnsiTheme="minorEastAsia" w:eastAsiaTheme="minorEastAsia"/>
          <w:bCs/>
          <w:sz w:val="24"/>
          <w:szCs w:val="24"/>
          <w:highlight w:val="none"/>
          <w:lang w:val="zh-CN"/>
        </w:rPr>
        <w:t>2、最终以双方签订的采购合同内确定的付款结算条款为准。</w:t>
      </w:r>
    </w:p>
    <w:p>
      <w:pPr>
        <w:snapToGrid w:val="0"/>
        <w:spacing w:line="420" w:lineRule="exact"/>
        <w:ind w:firstLine="482" w:firstLineChars="200"/>
        <w:rPr>
          <w:rFonts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lang w:val="zh-CN"/>
        </w:rPr>
        <w:t>十</w:t>
      </w:r>
      <w:r>
        <w:rPr>
          <w:rFonts w:hint="eastAsia" w:asciiTheme="minorEastAsia" w:hAnsiTheme="minorEastAsia" w:eastAsiaTheme="minorEastAsia"/>
          <w:b/>
          <w:sz w:val="24"/>
          <w:szCs w:val="24"/>
          <w:highlight w:val="none"/>
        </w:rPr>
        <w:t>六</w:t>
      </w:r>
      <w:r>
        <w:rPr>
          <w:rFonts w:hint="eastAsia" w:asciiTheme="minorEastAsia" w:hAnsiTheme="minorEastAsia" w:eastAsiaTheme="minorEastAsia"/>
          <w:b/>
          <w:sz w:val="24"/>
          <w:szCs w:val="24"/>
          <w:highlight w:val="none"/>
          <w:lang w:val="zh-CN"/>
        </w:rPr>
        <w:t>、服务量的调整及结算方式</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如因招标人实际需求，采购的货物数量发生变化，中标人须无条件满足招标人要求，确保货物质量；结算时按招标人确认的实际货物量进行结算，项目综合单价不变。</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十七、未尽事宜</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按相关的法律法规执行。</w:t>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bookmarkStart w:id="3" w:name="_Toc363573855"/>
      <w:r>
        <w:rPr>
          <w:rFonts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第三章</w:t>
      </w:r>
      <w:r>
        <w:rPr>
          <w:rFonts w:asciiTheme="minorEastAsia" w:hAnsiTheme="minorEastAsia" w:eastAsiaTheme="minorEastAsia"/>
          <w:b/>
          <w:w w:val="80"/>
          <w:sz w:val="32"/>
          <w:szCs w:val="32"/>
        </w:rPr>
        <w:t xml:space="preserve">  </w:t>
      </w:r>
      <w:r>
        <w:rPr>
          <w:rFonts w:hint="eastAsia" w:asciiTheme="minorEastAsia" w:hAnsiTheme="minorEastAsia" w:eastAsiaTheme="minorEastAsia"/>
          <w:b/>
          <w:w w:val="80"/>
          <w:sz w:val="32"/>
          <w:szCs w:val="32"/>
        </w:rPr>
        <w:t>项目需求</w:t>
      </w:r>
      <w:bookmarkEnd w:id="3"/>
    </w:p>
    <w:p>
      <w:pPr>
        <w:jc w:val="center"/>
        <w:rPr>
          <w:rFonts w:ascii="宋体" w:hAnsi="宋体" w:eastAsia="宋体" w:cs="宋体"/>
          <w:b/>
          <w:sz w:val="30"/>
          <w:szCs w:val="30"/>
        </w:rPr>
      </w:pPr>
      <w:bookmarkStart w:id="4" w:name="_Toc13543213"/>
      <w:r>
        <w:rPr>
          <w:rFonts w:hint="eastAsia" w:ascii="宋体" w:hAnsi="宋体" w:eastAsia="宋体" w:cs="宋体"/>
          <w:b/>
          <w:sz w:val="30"/>
          <w:szCs w:val="30"/>
        </w:rPr>
        <w:t>蓝牌清障车一技术差数</w:t>
      </w:r>
    </w:p>
    <w:tbl>
      <w:tblPr>
        <w:tblStyle w:val="57"/>
        <w:tblW w:w="4896" w:type="pct"/>
        <w:jc w:val="center"/>
        <w:tblLayout w:type="autofit"/>
        <w:tblCellMar>
          <w:top w:w="0" w:type="dxa"/>
          <w:left w:w="108" w:type="dxa"/>
          <w:bottom w:w="0" w:type="dxa"/>
          <w:right w:w="108" w:type="dxa"/>
        </w:tblCellMar>
      </w:tblPr>
      <w:tblGrid>
        <w:gridCol w:w="714"/>
        <w:gridCol w:w="646"/>
        <w:gridCol w:w="4012"/>
        <w:gridCol w:w="4276"/>
      </w:tblGrid>
      <w:tr>
        <w:tblPrEx>
          <w:tblCellMar>
            <w:top w:w="0" w:type="dxa"/>
            <w:left w:w="108" w:type="dxa"/>
            <w:bottom w:w="0" w:type="dxa"/>
            <w:right w:w="108" w:type="dxa"/>
          </w:tblCellMar>
        </w:tblPrEx>
        <w:trPr>
          <w:trHeight w:val="437" w:hRule="atLeast"/>
          <w:jc w:val="center"/>
        </w:trPr>
        <w:tc>
          <w:tcPr>
            <w:tcW w:w="2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整车型号</w:t>
            </w:r>
          </w:p>
        </w:tc>
        <w:tc>
          <w:tcPr>
            <w:tcW w:w="22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ZQS5043TQZQP6</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序号</w:t>
            </w: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外形尺寸长（㎜）</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5995</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外形尺寸宽（㎜）</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2300</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外形尺寸高（㎜）</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2230</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总质量（㎏）</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4495</w:t>
            </w:r>
          </w:p>
        </w:tc>
      </w:tr>
      <w:tr>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整备质量（㎏）</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2865</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额定载质量（㎏）</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1500</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轴距（㎜）</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3360</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最高车速（km/h）</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105</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驾驶室准乘人数（人）</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前悬/后悬（mm）</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1015/1620</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轴荷</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1805/2690</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color w:val="000000"/>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轮距</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1504/1525</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color w:val="000000"/>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板簧</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3/3+2</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接近角/离去角（°）</w:t>
            </w:r>
          </w:p>
        </w:tc>
        <w:tc>
          <w:tcPr>
            <w:tcW w:w="22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23/8</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轮胎规格</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7.00R16铝轮</w:t>
            </w:r>
          </w:p>
        </w:tc>
      </w:tr>
      <w:tr>
        <w:tblPrEx>
          <w:tblCellMar>
            <w:top w:w="0" w:type="dxa"/>
            <w:left w:w="108" w:type="dxa"/>
            <w:bottom w:w="0" w:type="dxa"/>
            <w:right w:w="108" w:type="dxa"/>
          </w:tblCellMar>
        </w:tblPrEx>
        <w:trPr>
          <w:trHeight w:val="437" w:hRule="atLeast"/>
          <w:jc w:val="center"/>
        </w:trPr>
        <w:tc>
          <w:tcPr>
            <w:tcW w:w="370" w:type="pct"/>
            <w:tcBorders>
              <w:top w:val="nil"/>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防抱死系统</w:t>
            </w:r>
          </w:p>
        </w:tc>
        <w:tc>
          <w:tcPr>
            <w:tcW w:w="22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有</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底盘型号</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QL1040BUHAY/庆铃汽车股份有限公司</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发动机型号</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庆铃4KB1-TCG60</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24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功率/排量/扭矩</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96/2499/355</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33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highlight w:val="none"/>
              </w:rPr>
            </w:pPr>
            <w:r>
              <w:rPr>
                <w:rFonts w:hint="eastAsia" w:ascii="宋体" w:hAnsi="宋体" w:eastAsia="宋体" w:cs="宋体"/>
                <w:b/>
                <w:bCs/>
                <w:kern w:val="0"/>
                <w:sz w:val="20"/>
                <w:highlight w:val="none"/>
              </w:rPr>
              <w:t>平板机构</w:t>
            </w: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平板承载质量（kg）</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6000</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平板外框规格长×宽（mm）</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4200*2300</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平板内框规格长×宽（mm）</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4060*2220</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板面离地高度（mm）</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1050</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平板与地面的最小角度（°）</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13/7</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color w:val="000000"/>
                <w:kern w:val="0"/>
                <w:sz w:val="20"/>
                <w:highlight w:val="none"/>
              </w:rPr>
            </w:pPr>
          </w:p>
        </w:tc>
        <w:tc>
          <w:tcPr>
            <w:tcW w:w="33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r>
              <w:rPr>
                <w:rFonts w:hint="eastAsia" w:ascii="宋体" w:hAnsi="宋体" w:eastAsia="宋体" w:cs="宋体"/>
                <w:b/>
                <w:bCs/>
                <w:kern w:val="0"/>
                <w:sz w:val="20"/>
                <w:highlight w:val="none"/>
              </w:rPr>
              <w:t>绞盘</w:t>
            </w: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数量（只）</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color w:val="000000"/>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每只额定牵引力（kN）</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40</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color w:val="000000"/>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钢丝绳直径（mm）</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Φ11</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rPr>
                <w:rFonts w:ascii="宋体" w:hAnsi="宋体" w:eastAsia="宋体" w:cs="宋体"/>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钢丝绳长度（m）</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21</w:t>
            </w:r>
          </w:p>
        </w:tc>
      </w:tr>
      <w:tr>
        <w:tblPrEx>
          <w:tblCellMar>
            <w:top w:w="0" w:type="dxa"/>
            <w:left w:w="108" w:type="dxa"/>
            <w:bottom w:w="0" w:type="dxa"/>
            <w:right w:w="108" w:type="dxa"/>
          </w:tblCellMar>
        </w:tblPrEx>
        <w:trPr>
          <w:trHeight w:val="437" w:hRule="atLeast"/>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4"/>
              </w:numPr>
              <w:jc w:val="center"/>
              <w:textAlignment w:val="center"/>
              <w:rPr>
                <w:rFonts w:ascii="宋体" w:hAnsi="宋体" w:eastAsia="宋体" w:cs="宋体"/>
                <w:color w:val="000000"/>
                <w:kern w:val="0"/>
                <w:sz w:val="20"/>
                <w:highlight w:val="none"/>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2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钢丝绳最小线速度（m/min）</w:t>
            </w:r>
          </w:p>
        </w:tc>
        <w:tc>
          <w:tcPr>
            <w:tcW w:w="22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5.5</w:t>
            </w:r>
          </w:p>
        </w:tc>
      </w:tr>
    </w:tbl>
    <w:p>
      <w:pPr>
        <w:jc w:val="center"/>
        <w:rPr>
          <w:rFonts w:ascii="宋体" w:hAnsi="宋体" w:eastAsia="宋体" w:cs="宋体"/>
          <w:b/>
          <w:sz w:val="30"/>
          <w:szCs w:val="30"/>
          <w:highlight w:val="none"/>
        </w:rPr>
      </w:pPr>
      <w:r>
        <w:rPr>
          <w:rFonts w:hint="eastAsia" w:ascii="宋体" w:hAnsi="宋体" w:eastAsia="宋体" w:cs="宋体"/>
          <w:b/>
          <w:sz w:val="30"/>
          <w:szCs w:val="30"/>
          <w:highlight w:val="none"/>
        </w:rPr>
        <w:t>黄牌清障车-技术差数</w:t>
      </w:r>
    </w:p>
    <w:tbl>
      <w:tblPr>
        <w:tblStyle w:val="57"/>
        <w:tblW w:w="7379" w:type="dxa"/>
        <w:jc w:val="center"/>
        <w:tblLayout w:type="fixed"/>
        <w:tblCellMar>
          <w:top w:w="0" w:type="dxa"/>
          <w:left w:w="108" w:type="dxa"/>
          <w:bottom w:w="0" w:type="dxa"/>
          <w:right w:w="108" w:type="dxa"/>
        </w:tblCellMar>
      </w:tblPr>
      <w:tblGrid>
        <w:gridCol w:w="673"/>
        <w:gridCol w:w="531"/>
        <w:gridCol w:w="3124"/>
        <w:gridCol w:w="3051"/>
      </w:tblGrid>
      <w:tr>
        <w:tblPrEx>
          <w:tblCellMar>
            <w:top w:w="0" w:type="dxa"/>
            <w:left w:w="108" w:type="dxa"/>
            <w:bottom w:w="0" w:type="dxa"/>
            <w:right w:w="108" w:type="dxa"/>
          </w:tblCellMar>
        </w:tblPrEx>
        <w:trPr>
          <w:trHeight w:val="313" w:hRule="atLeast"/>
          <w:jc w:val="center"/>
        </w:trPr>
        <w:tc>
          <w:tcPr>
            <w:tcW w:w="4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0"/>
                <w:highlight w:val="none"/>
              </w:rPr>
            </w:pPr>
            <w:r>
              <w:rPr>
                <w:rFonts w:hint="eastAsia" w:ascii="宋体" w:hAnsi="宋体" w:eastAsia="宋体" w:cs="宋体"/>
                <w:b/>
                <w:kern w:val="0"/>
                <w:sz w:val="24"/>
                <w:szCs w:val="24"/>
                <w:highlight w:val="none"/>
              </w:rPr>
              <w:t>整车型号</w:t>
            </w:r>
          </w:p>
        </w:tc>
        <w:tc>
          <w:tcPr>
            <w:tcW w:w="30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0"/>
                <w:highlight w:val="none"/>
              </w:rPr>
            </w:pPr>
            <w:r>
              <w:rPr>
                <w:rFonts w:ascii="宋体" w:hAnsi="宋体" w:eastAsia="宋体" w:cs="宋体"/>
                <w:b/>
                <w:kern w:val="0"/>
                <w:sz w:val="24"/>
                <w:szCs w:val="24"/>
                <w:highlight w:val="none"/>
              </w:rPr>
              <w:t>ZQS50</w:t>
            </w:r>
            <w:r>
              <w:rPr>
                <w:rFonts w:hint="eastAsia" w:ascii="宋体" w:hAnsi="宋体" w:eastAsia="宋体" w:cs="宋体"/>
                <w:b/>
                <w:kern w:val="0"/>
                <w:sz w:val="24"/>
                <w:szCs w:val="24"/>
                <w:highlight w:val="none"/>
              </w:rPr>
              <w:t>71</w:t>
            </w:r>
            <w:r>
              <w:rPr>
                <w:rFonts w:ascii="宋体" w:hAnsi="宋体" w:eastAsia="宋体" w:cs="宋体"/>
                <w:b/>
                <w:kern w:val="0"/>
                <w:sz w:val="24"/>
                <w:szCs w:val="24"/>
                <w:highlight w:val="none"/>
              </w:rPr>
              <w:t>TQZ</w:t>
            </w:r>
            <w:r>
              <w:rPr>
                <w:rFonts w:hint="eastAsia" w:ascii="宋体" w:hAnsi="宋体" w:eastAsia="宋体" w:cs="宋体"/>
                <w:b/>
                <w:kern w:val="0"/>
                <w:sz w:val="24"/>
                <w:szCs w:val="24"/>
                <w:highlight w:val="none"/>
              </w:rPr>
              <w:t>Q</w:t>
            </w:r>
            <w:r>
              <w:rPr>
                <w:rFonts w:ascii="宋体" w:hAnsi="宋体" w:eastAsia="宋体" w:cs="宋体"/>
                <w:b/>
                <w:kern w:val="0"/>
                <w:sz w:val="24"/>
                <w:szCs w:val="24"/>
                <w:highlight w:val="none"/>
              </w:rPr>
              <w:t>P6</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序号</w:t>
            </w: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外形尺寸长（㎜）</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7305</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外形尺寸宽（㎜）</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2300</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外形尺寸高（㎜）</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2300</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总质量（㎏）</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7300</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整备质量（㎏）</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5140</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托举质量（㎏）</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2030</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轴距（㎜）</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3815</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最高车速（km/h）</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95</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驾驶室准乘人数（人）</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前悬/后悬（mm）</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1015/2475</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接近角/离去角（°）</w:t>
            </w:r>
          </w:p>
        </w:tc>
        <w:tc>
          <w:tcPr>
            <w:tcW w:w="30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16/9</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轮胎规格</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7.00R16 14PR</w:t>
            </w:r>
          </w:p>
        </w:tc>
      </w:tr>
      <w:tr>
        <w:tblPrEx>
          <w:tblCellMar>
            <w:top w:w="0" w:type="dxa"/>
            <w:left w:w="108" w:type="dxa"/>
            <w:bottom w:w="0" w:type="dxa"/>
            <w:right w:w="108" w:type="dxa"/>
          </w:tblCellMar>
        </w:tblPrEx>
        <w:trPr>
          <w:trHeight w:val="313" w:hRule="atLeast"/>
          <w:jc w:val="center"/>
        </w:trPr>
        <w:tc>
          <w:tcPr>
            <w:tcW w:w="673" w:type="dxa"/>
            <w:tcBorders>
              <w:top w:val="nil"/>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转向型式</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方向盘</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燃油种类</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柴油</w:t>
            </w:r>
          </w:p>
        </w:tc>
      </w:tr>
      <w:tr>
        <w:tblPrEx>
          <w:tblCellMar>
            <w:top w:w="0" w:type="dxa"/>
            <w:left w:w="108" w:type="dxa"/>
            <w:bottom w:w="0" w:type="dxa"/>
            <w:right w:w="108" w:type="dxa"/>
          </w:tblCellMar>
        </w:tblPrEx>
        <w:trPr>
          <w:trHeight w:val="565"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底盘型号/生产企业</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B050"/>
                <w:kern w:val="0"/>
                <w:sz w:val="20"/>
                <w:highlight w:val="none"/>
              </w:rPr>
            </w:pPr>
            <w:r>
              <w:rPr>
                <w:rFonts w:hint="eastAsia" w:ascii="宋体" w:hAnsi="宋体" w:eastAsia="宋体" w:cs="宋体"/>
                <w:kern w:val="0"/>
                <w:sz w:val="20"/>
                <w:highlight w:val="none"/>
              </w:rPr>
              <w:t>QL1070BUKAY/庆铃汽车股份有限公司</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发动机型号/生产企业</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4KH1CN6LB</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排量（ml）</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2999</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center"/>
              <w:textAlignment w:val="center"/>
              <w:rPr>
                <w:rFonts w:ascii="宋体" w:hAnsi="宋体" w:eastAsia="宋体" w:cs="宋体"/>
                <w:kern w:val="0"/>
                <w:sz w:val="20"/>
                <w:highlight w:val="none"/>
              </w:rPr>
            </w:pPr>
          </w:p>
        </w:tc>
        <w:tc>
          <w:tcPr>
            <w:tcW w:w="3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额定功率/净功率（kw）</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88/87</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highlight w:val="none"/>
              </w:rPr>
            </w:pPr>
            <w:r>
              <w:rPr>
                <w:rFonts w:hint="eastAsia" w:ascii="宋体" w:hAnsi="宋体" w:eastAsia="宋体" w:cs="宋体"/>
                <w:b/>
                <w:bCs/>
                <w:kern w:val="0"/>
                <w:sz w:val="20"/>
                <w:highlight w:val="none"/>
              </w:rPr>
              <w:t>托举机构</w:t>
            </w: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最大托举质量（kg）（上装/整车）</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3000</w:t>
            </w:r>
          </w:p>
        </w:tc>
      </w:tr>
      <w:tr>
        <w:tblPrEx>
          <w:tblCellMar>
            <w:top w:w="0" w:type="dxa"/>
            <w:left w:w="108" w:type="dxa"/>
            <w:bottom w:w="0" w:type="dxa"/>
            <w:right w:w="108" w:type="dxa"/>
          </w:tblCellMar>
        </w:tblPrEx>
        <w:trPr>
          <w:trHeight w:val="565"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right w:val="single" w:color="auto" w:sz="4" w:space="0"/>
            </w:tcBorders>
            <w:vAlign w:val="center"/>
          </w:tcPr>
          <w:p>
            <w:pPr>
              <w:widowControl/>
              <w:jc w:val="center"/>
              <w:rPr>
                <w:rFonts w:ascii="宋体" w:hAnsi="宋体" w:eastAsia="宋体" w:cs="宋体"/>
                <w:b/>
                <w:bCs/>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全伸出最大托举质量（kg）（上装/整车）</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1500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right w:val="single" w:color="auto" w:sz="4" w:space="0"/>
            </w:tcBorders>
            <w:vAlign w:val="center"/>
          </w:tcPr>
          <w:p>
            <w:pPr>
              <w:widowControl/>
              <w:jc w:val="center"/>
              <w:rPr>
                <w:rFonts w:ascii="宋体" w:hAnsi="宋体" w:eastAsia="宋体" w:cs="宋体"/>
                <w:b/>
                <w:bCs/>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sz w:val="20"/>
                <w:highlight w:val="none"/>
              </w:rPr>
              <w:t>托臂最大有效长度 （mm）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1500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right w:val="single" w:color="auto" w:sz="4" w:space="0"/>
            </w:tcBorders>
            <w:vAlign w:val="center"/>
          </w:tcPr>
          <w:p>
            <w:pPr>
              <w:widowControl/>
              <w:jc w:val="center"/>
              <w:rPr>
                <w:rFonts w:ascii="宋体" w:hAnsi="宋体" w:eastAsia="宋体" w:cs="宋体"/>
                <w:b/>
                <w:bCs/>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托臂伸缩行程（mm）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1340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right w:val="single" w:color="auto" w:sz="4" w:space="0"/>
            </w:tcBorders>
            <w:vAlign w:val="center"/>
          </w:tcPr>
          <w:p>
            <w:pPr>
              <w:widowControl/>
              <w:jc w:val="center"/>
              <w:rPr>
                <w:rFonts w:ascii="宋体" w:hAnsi="宋体" w:eastAsia="宋体" w:cs="宋体"/>
                <w:b/>
                <w:bCs/>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折叠⻆度（°）</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8.5/-4.5</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highlight w:val="none"/>
              </w:rPr>
            </w:pPr>
          </w:p>
        </w:tc>
        <w:tc>
          <w:tcPr>
            <w:tcW w:w="53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全伸出托叉口离地最大距离（mm）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800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b/>
                <w:bCs/>
                <w:kern w:val="0"/>
                <w:sz w:val="20"/>
                <w:highlight w:val="none"/>
              </w:rPr>
            </w:pPr>
            <w:r>
              <w:rPr>
                <w:rFonts w:hint="eastAsia" w:ascii="宋体" w:hAnsi="宋体" w:eastAsia="宋体" w:cs="宋体"/>
                <w:b/>
                <w:bCs/>
                <w:kern w:val="0"/>
                <w:sz w:val="20"/>
                <w:highlight w:val="none"/>
              </w:rPr>
              <w:t>平板机构</w:t>
            </w: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平板承载质量（kg）</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3000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right w:val="single" w:color="auto" w:sz="4" w:space="0"/>
            </w:tcBorders>
            <w:vAlign w:val="center"/>
          </w:tcPr>
          <w:p>
            <w:pPr>
              <w:widowControl/>
              <w:jc w:val="center"/>
              <w:rPr>
                <w:rFonts w:ascii="宋体" w:hAnsi="宋体" w:eastAsia="宋体" w:cs="宋体"/>
                <w:b/>
                <w:bCs/>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平板外框规格长×宽（mm）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5600*2300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平板内框规格长×宽（mm）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5560*2220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板面离地高度（mm）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1035</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kern w:val="0"/>
                <w:sz w:val="20"/>
                <w:highlight w:val="none"/>
              </w:rPr>
            </w:pPr>
          </w:p>
        </w:tc>
        <w:tc>
          <w:tcPr>
            <w:tcW w:w="531"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平板与地面的最小角度（°）</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7</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highlight w:val="none"/>
              </w:rPr>
            </w:pPr>
          </w:p>
        </w:tc>
        <w:tc>
          <w:tcPr>
            <w:tcW w:w="5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r>
              <w:rPr>
                <w:rFonts w:hint="eastAsia" w:ascii="宋体" w:hAnsi="宋体" w:eastAsia="宋体" w:cs="宋体"/>
                <w:b/>
                <w:bCs/>
                <w:kern w:val="0"/>
                <w:sz w:val="20"/>
                <w:highlight w:val="none"/>
              </w:rPr>
              <w:t>绞盘</w:t>
            </w: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数量（只）</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highlight w:val="none"/>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每只额定牵引力（kN）</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40</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highlight w:val="none"/>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钢丝绳规格</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φ11mm*21m</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highlight w:val="none"/>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钢丝绳直径（mm）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11</w:t>
            </w:r>
          </w:p>
        </w:tc>
      </w:tr>
      <w:tr>
        <w:tblPrEx>
          <w:tblCellMar>
            <w:top w:w="0" w:type="dxa"/>
            <w:left w:w="108" w:type="dxa"/>
            <w:bottom w:w="0" w:type="dxa"/>
            <w:right w:w="108" w:type="dxa"/>
          </w:tblCellMar>
        </w:tblPrEx>
        <w:trPr>
          <w:trHeight w:val="313"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highlight w:val="none"/>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钢丝绳长度（m）</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21</w:t>
            </w:r>
          </w:p>
        </w:tc>
      </w:tr>
      <w:tr>
        <w:tblPrEx>
          <w:tblCellMar>
            <w:top w:w="0" w:type="dxa"/>
            <w:left w:w="108" w:type="dxa"/>
            <w:bottom w:w="0" w:type="dxa"/>
            <w:right w:w="108" w:type="dxa"/>
          </w:tblCellMar>
        </w:tblPrEx>
        <w:trPr>
          <w:trHeight w:val="324" w:hRule="atLeast"/>
          <w:jc w:val="center"/>
        </w:trPr>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5"/>
              </w:numPr>
              <w:jc w:val="left"/>
              <w:textAlignment w:val="center"/>
              <w:rPr>
                <w:rFonts w:ascii="宋体" w:hAnsi="宋体" w:eastAsia="宋体" w:cs="宋体"/>
                <w:color w:val="000000"/>
                <w:kern w:val="0"/>
                <w:sz w:val="20"/>
                <w:highlight w:val="none"/>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highlight w:val="none"/>
              </w:rPr>
            </w:pPr>
          </w:p>
        </w:tc>
        <w:tc>
          <w:tcPr>
            <w:tcW w:w="31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钢丝绳最小线速度（m/min）</w:t>
            </w:r>
          </w:p>
        </w:tc>
        <w:tc>
          <w:tcPr>
            <w:tcW w:w="30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highlight w:val="none"/>
              </w:rPr>
            </w:pPr>
            <w:r>
              <w:rPr>
                <w:rFonts w:hint="eastAsia" w:ascii="宋体" w:hAnsi="宋体" w:eastAsia="宋体" w:cs="宋体"/>
                <w:kern w:val="0"/>
                <w:sz w:val="20"/>
                <w:highlight w:val="none"/>
              </w:rPr>
              <w:t>5</w:t>
            </w:r>
          </w:p>
        </w:tc>
      </w:tr>
    </w:tbl>
    <w:p>
      <w:pPr>
        <w:spacing w:line="360" w:lineRule="exact"/>
        <w:ind w:firstLine="480" w:firstLineChars="200"/>
        <w:rPr>
          <w:rFonts w:asciiTheme="minorEastAsia" w:hAnsiTheme="minorEastAsia" w:eastAsiaTheme="minorEastAsia" w:cstheme="minorEastAsia"/>
          <w:bCs/>
          <w:sz w:val="24"/>
          <w:szCs w:val="24"/>
          <w:highlight w:val="none"/>
        </w:rPr>
      </w:pPr>
    </w:p>
    <w:p>
      <w:pPr>
        <w:jc w:val="center"/>
        <w:rPr>
          <w:rFonts w:ascii="宋体" w:hAnsi="宋体" w:cs="宋体"/>
          <w:b/>
          <w:highlight w:val="none"/>
        </w:rPr>
      </w:pPr>
    </w:p>
    <w:p>
      <w:pPr>
        <w:jc w:val="center"/>
        <w:rPr>
          <w:rFonts w:asciiTheme="minorEastAsia" w:hAnsiTheme="minorEastAsia" w:eastAsiaTheme="minorEastAsia"/>
          <w:b/>
          <w:w w:val="80"/>
          <w:sz w:val="32"/>
          <w:szCs w:val="32"/>
          <w:highlight w:val="none"/>
        </w:rPr>
      </w:pPr>
      <w:r>
        <w:rPr>
          <w:rFonts w:hint="eastAsia" w:asciiTheme="minorEastAsia" w:hAnsiTheme="minorEastAsia" w:eastAsiaTheme="minorEastAsia"/>
          <w:b/>
          <w:w w:val="80"/>
          <w:sz w:val="32"/>
          <w:szCs w:val="32"/>
          <w:highlight w:val="none"/>
        </w:rPr>
        <w:br w:type="page"/>
      </w:r>
      <w:r>
        <w:rPr>
          <w:rFonts w:hint="eastAsia" w:asciiTheme="minorEastAsia" w:hAnsiTheme="minorEastAsia" w:eastAsiaTheme="minorEastAsia"/>
          <w:b/>
          <w:w w:val="80"/>
          <w:sz w:val="32"/>
          <w:szCs w:val="32"/>
          <w:highlight w:val="none"/>
        </w:rPr>
        <w:t xml:space="preserve">第四章  </w:t>
      </w:r>
      <w:bookmarkStart w:id="5" w:name="_Toc182848996"/>
      <w:r>
        <w:rPr>
          <w:rFonts w:hint="eastAsia" w:asciiTheme="minorEastAsia" w:hAnsiTheme="minorEastAsia" w:eastAsiaTheme="minorEastAsia"/>
          <w:b/>
          <w:w w:val="80"/>
          <w:sz w:val="32"/>
          <w:szCs w:val="32"/>
          <w:highlight w:val="none"/>
        </w:rPr>
        <w:t>评审程序和方法</w:t>
      </w:r>
    </w:p>
    <w:bookmarkEnd w:id="5"/>
    <w:p>
      <w:pPr>
        <w:snapToGrid w:val="0"/>
        <w:spacing w:line="420" w:lineRule="exact"/>
        <w:ind w:firstLine="482" w:firstLineChars="200"/>
        <w:outlineLvl w:val="1"/>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一、评标小组组成</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1、依法成立评标委员会，成员人数为</w:t>
      </w:r>
      <w:r>
        <w:rPr>
          <w:rFonts w:hint="eastAsia" w:asciiTheme="minorEastAsia" w:hAnsiTheme="minorEastAsia" w:eastAsiaTheme="minorEastAsia"/>
          <w:b/>
          <w:sz w:val="24"/>
          <w:szCs w:val="24"/>
          <w:highlight w:val="none"/>
        </w:rPr>
        <w:t>3</w:t>
      </w:r>
      <w:r>
        <w:rPr>
          <w:rFonts w:hint="eastAsia" w:asciiTheme="minorEastAsia" w:hAnsiTheme="minorEastAsia" w:eastAsiaTheme="minorEastAsia"/>
          <w:sz w:val="24"/>
          <w:szCs w:val="24"/>
          <w:highlight w:val="none"/>
        </w:rPr>
        <w:t>人或以上单数。</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二、评标小组的职责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评标小组负责具体的评审事务，并履行以下职责：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1、审查投标文件是否符合招标文件的要求，并做出评价；</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2、可以要求投标人对投标文件内的有关事项做出解释或澄清；</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3、推荐中标候选人或按次序排列的中标候选人名单；</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4、评标小组成员应当履行下列义务：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（1）遵纪守法，客观、公正、廉洁地履行职责；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（4）评审程序中的有关记录由评标小组成员签名，存档备查。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（6）评标小组成员在评审过程中受到非法干涉的，应当及时向财政、监察等部门举报。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（7）评标小组成员有义务及责任配合招标人答复投标人提出的质疑，配合财政部门的投诉处理和监督检查工作。</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三、开标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1、招标代理机构主持开标并记录，及时处理投标人代表提出的询问或者回避申请。</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2、投标人不足3家的不得开标。</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四、评审原则及方法</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1、评审程序：资格符合性评审→技术标评审→商务标评审→确定中标候选人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2、本项目采用</w:t>
      </w:r>
      <w:r>
        <w:rPr>
          <w:rFonts w:hint="eastAsia" w:asciiTheme="minorEastAsia" w:hAnsiTheme="minorEastAsia" w:eastAsiaTheme="minorEastAsia"/>
          <w:sz w:val="24"/>
          <w:szCs w:val="24"/>
          <w:u w:val="single"/>
        </w:rPr>
        <w:t xml:space="preserve">  综合评分法  </w:t>
      </w:r>
      <w:r>
        <w:rPr>
          <w:rFonts w:hint="eastAsia" w:asciiTheme="minorEastAsia" w:hAnsiTheme="minorEastAsia" w:eastAsiaTheme="minorEastAsia"/>
          <w:sz w:val="24"/>
          <w:szCs w:val="24"/>
        </w:rPr>
        <w:t>，即指投标文件满足本项目招标文件全部实质性要求，且按照评审因素的量化指标，经评审后得分最高的投标人推荐为中标人的评标方法。</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委员会成员：对符合资格的投标人的投标文件进行符合性审查，以确定其是否满足招标文件的实质性要求；按照招标文件中规定的评标方法和标准，对符合性审查合格的投标文件进行技术和商务评估，综合比较与评价。</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4、对投标文件的评审判定，只依据投标文件内容本身，不依靠开标后任何外来证明文件。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5、本次项目技术标和价格标评审总分值为100分。评审因素比重如下：</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（1）“技术标分值”占总分值的比重为</w:t>
      </w:r>
      <w:r>
        <w:rPr>
          <w:rFonts w:hint="eastAsia" w:asciiTheme="minorEastAsia" w:hAnsiTheme="minorEastAsia" w:eastAsiaTheme="minorEastAsia"/>
          <w:sz w:val="24"/>
          <w:szCs w:val="24"/>
          <w:u w:val="single"/>
        </w:rPr>
        <w:t xml:space="preserve">  70%（权重）  </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（2）“价格标分值”占总分值的比重为</w:t>
      </w:r>
      <w:r>
        <w:rPr>
          <w:rFonts w:hint="eastAsia" w:asciiTheme="minorEastAsia" w:hAnsiTheme="minorEastAsia" w:eastAsiaTheme="minorEastAsia"/>
          <w:sz w:val="24"/>
          <w:szCs w:val="24"/>
          <w:u w:val="single"/>
        </w:rPr>
        <w:t xml:space="preserve">  30%（权重）  </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6、评标委员会评委独立对每个进入打分程序的有效投标人的投标文件技术部分以打分的形式进行评审和评价（计算结果均四舍五入保留两位小数）。</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7、当评标委员会评委为5人以上的，技术分是在去掉一个最高分和一个最低分后均算而成，当评委少于5人（含5人）时，技术分按算术平均值计算，分值小数点后保留两位。</w:t>
      </w:r>
    </w:p>
    <w:p>
      <w:pPr>
        <w:snapToGrid w:val="0"/>
        <w:spacing w:line="420" w:lineRule="exact"/>
        <w:ind w:firstLine="484" w:firstLineChars="202"/>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8、开启投标人的商务报价标。</w:t>
      </w:r>
    </w:p>
    <w:p>
      <w:pPr>
        <w:snapToGrid w:val="0"/>
        <w:spacing w:line="420" w:lineRule="exact"/>
        <w:ind w:firstLine="484" w:firstLineChars="202"/>
        <w:rPr>
          <w:rFonts w:ascii="宋体" w:hAnsi="宋体" w:eastAsia="宋体" w:cs="宋体"/>
          <w:bCs/>
          <w:kern w:val="0"/>
          <w:sz w:val="24"/>
          <w:szCs w:val="24"/>
        </w:rPr>
      </w:pPr>
      <w:r>
        <w:rPr>
          <w:rFonts w:hint="eastAsia" w:asciiTheme="minorEastAsia" w:hAnsiTheme="minorEastAsia" w:eastAsiaTheme="minorEastAsia"/>
          <w:sz w:val="24"/>
          <w:szCs w:val="24"/>
        </w:rPr>
        <w:t>9、</w:t>
      </w:r>
      <w:r>
        <w:rPr>
          <w:rFonts w:hint="eastAsia" w:ascii="宋体" w:hAnsi="宋体" w:eastAsia="宋体" w:cs="宋体"/>
          <w:bCs/>
          <w:kern w:val="0"/>
          <w:sz w:val="24"/>
          <w:szCs w:val="24"/>
        </w:rPr>
        <w:t>取综合得分（综合得分为技术标得分、商务标得分的总和）第一名的作为第一中标候选人，中标价为其投标报价，如有异议则增补排名靠后的中标候选人替补。综合得分相同，以投标报价低的优先；投标报价也相同的，则由招标人采取现场抽签的方式确定中标候选人。</w:t>
      </w:r>
    </w:p>
    <w:p>
      <w:pPr>
        <w:snapToGrid w:val="0"/>
        <w:spacing w:line="420" w:lineRule="exact"/>
        <w:ind w:firstLine="484" w:firstLineChars="202"/>
        <w:rPr>
          <w:rFonts w:ascii="宋体" w:hAnsi="宋体" w:eastAsia="宋体" w:cs="宋体"/>
          <w:bCs/>
          <w:kern w:val="0"/>
          <w:sz w:val="24"/>
          <w:szCs w:val="24"/>
        </w:rPr>
      </w:pPr>
      <w:r>
        <w:rPr>
          <w:rFonts w:hint="eastAsia" w:ascii="宋体" w:hAnsi="宋体" w:eastAsia="宋体" w:cs="宋体"/>
          <w:bCs/>
          <w:kern w:val="0"/>
          <w:sz w:val="24"/>
          <w:szCs w:val="24"/>
        </w:rPr>
        <w:t>10、本工程第一名中标候选人原则上为中标人。当标候选人放弃中标、因不可抗力等原因不能履行合同或者被查实存在影响中标结果的违法行为等情形，不符合中标条件的，招标人可以按照评标委员会提出的中标候选人名单排序依次确定其他中标候选人为中标人，也可以重新招标。</w:t>
      </w:r>
    </w:p>
    <w:p>
      <w:pPr>
        <w:pStyle w:val="21"/>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eastAsiaTheme="minorEastAsia"/>
          <w:bCs/>
          <w:sz w:val="24"/>
          <w:szCs w:val="24"/>
        </w:rPr>
        <w:t xml:space="preserve">  </w:t>
      </w:r>
    </w:p>
    <w:p>
      <w:pPr>
        <w:pStyle w:val="21"/>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五、评审因素</w:t>
      </w:r>
    </w:p>
    <w:p>
      <w:pPr>
        <w:adjustRightInd w:val="0"/>
        <w:snapToGrid w:val="0"/>
        <w:spacing w:line="440" w:lineRule="exact"/>
        <w:outlineLvl w:val="4"/>
        <w:rPr>
          <w:rFonts w:asciiTheme="minorEastAsia" w:hAnsiTheme="minorEastAsia" w:eastAsiaTheme="minorEastAsia"/>
          <w:b/>
          <w:sz w:val="24"/>
          <w:szCs w:val="24"/>
        </w:rPr>
      </w:pPr>
      <w:r>
        <w:rPr>
          <w:rFonts w:hint="eastAsia" w:asciiTheme="minorEastAsia" w:hAnsiTheme="minorEastAsia" w:eastAsiaTheme="minorEastAsia"/>
          <w:b/>
          <w:sz w:val="24"/>
          <w:szCs w:val="24"/>
        </w:rPr>
        <w:t>（一）技术标评审：（70分）</w:t>
      </w:r>
    </w:p>
    <w:tbl>
      <w:tblPr>
        <w:tblStyle w:val="57"/>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5431"/>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评审类别</w:t>
            </w:r>
          </w:p>
        </w:tc>
        <w:tc>
          <w:tcPr>
            <w:tcW w:w="5431" w:type="dxa"/>
            <w:shd w:val="clear" w:color="auto" w:fill="auto"/>
            <w:vAlign w:val="center"/>
          </w:tcPr>
          <w:p>
            <w:pPr>
              <w:pStyle w:val="348"/>
              <w:spacing w:line="360" w:lineRule="exac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评审内容</w:t>
            </w:r>
          </w:p>
        </w:tc>
        <w:tc>
          <w:tcPr>
            <w:tcW w:w="1084" w:type="dxa"/>
            <w:shd w:val="clear" w:color="auto" w:fill="auto"/>
            <w:vAlign w:val="center"/>
          </w:tcPr>
          <w:p>
            <w:pPr>
              <w:pStyle w:val="348"/>
              <w:spacing w:line="360" w:lineRule="exact"/>
              <w:jc w:val="center"/>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w:t>
            </w:r>
          </w:p>
        </w:tc>
        <w:tc>
          <w:tcPr>
            <w:tcW w:w="5431" w:type="dxa"/>
            <w:shd w:val="clear" w:color="auto" w:fill="auto"/>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技术要求的符合性，即对提供货物的技术参数、配置、性能是否符合招标文件要求进行评价。符合技术要求的得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分；技术参数中每有一项负偏离的，扣0.5分；扣完为止。</w:t>
            </w:r>
          </w:p>
          <w:p>
            <w:pPr>
              <w:spacing w:line="360" w:lineRule="exac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注：提供技术参数的相关证明材料（如相关厂家图册介绍等），并注明对应条款供评审小组评判，否则评审小组有权视相应技术参数负偏离。</w:t>
            </w: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投标人业绩</w:t>
            </w:r>
          </w:p>
        </w:tc>
        <w:tc>
          <w:tcPr>
            <w:tcW w:w="5431" w:type="dxa"/>
            <w:shd w:val="clear" w:color="auto" w:fill="auto"/>
            <w:vAlign w:val="center"/>
          </w:tcPr>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近五年（自开标之日往前推算）以来投标人完成的类似本项目的业绩，每提供一份合同得3分，最高得9分。</w:t>
            </w:r>
          </w:p>
          <w:p>
            <w:pPr>
              <w:pStyle w:val="348"/>
              <w:spacing w:line="360" w:lineRule="exact"/>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注：提供合同复印件并加盖投标人公章，否则不得分。</w:t>
            </w: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综合实力</w:t>
            </w:r>
          </w:p>
        </w:tc>
        <w:tc>
          <w:tcPr>
            <w:tcW w:w="5431" w:type="dxa"/>
            <w:shd w:val="clear" w:color="auto" w:fill="auto"/>
            <w:vAlign w:val="center"/>
          </w:tcPr>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1.投标人具有有效的质量管理体系认证、环境管理体系认证、职业健康安全管理体系认证的，每有一份得2分，最高得6分。</w:t>
            </w:r>
          </w:p>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注：提供以上证书复印件及在官方网站上http://www.cnca.gov.cn/查询状态显示“有效”的截图，均需加盖投标人公章，否则不得分。</w:t>
            </w:r>
          </w:p>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2.投标人具有有效的AAA级企业资信等级证书、五星级及以上售后服务体系认证证书的，每有一份得3分，最高得6分。</w:t>
            </w:r>
          </w:p>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注：提供证书复印件并加盖投标人公章，否则不得分。</w:t>
            </w:r>
          </w:p>
          <w:p>
            <w:pPr>
              <w:pStyle w:val="348"/>
              <w:spacing w:line="360" w:lineRule="exact"/>
              <w:rPr>
                <w:rFonts w:asciiTheme="minorEastAsia" w:hAnsiTheme="minorEastAsia" w:eastAsiaTheme="minorEastAsia" w:cstheme="minorEastAsia"/>
                <w:b/>
                <w:sz w:val="21"/>
                <w:szCs w:val="21"/>
              </w:rPr>
            </w:pP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奖项荣誉</w:t>
            </w:r>
          </w:p>
        </w:tc>
        <w:tc>
          <w:tcPr>
            <w:tcW w:w="5431" w:type="dxa"/>
            <w:shd w:val="clear" w:color="auto" w:fill="auto"/>
            <w:vAlign w:val="center"/>
          </w:tcPr>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投标人获得过相关奖项荣誉的，每提供一份得2分，最高得4分。</w:t>
            </w:r>
          </w:p>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注：提供奖项荣誉复印件并加盖公章，否则不得分。</w:t>
            </w: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实施方案</w:t>
            </w:r>
          </w:p>
        </w:tc>
        <w:tc>
          <w:tcPr>
            <w:tcW w:w="5431" w:type="dxa"/>
            <w:shd w:val="clear" w:color="auto" w:fill="auto"/>
          </w:tcPr>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根据供应商提供本项目实施方案，包括但不限于采购、生产、质检、运输、验收等。根据实施方案的全面性、完整性、科学性，由评审专家酌情评分。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项目实施方案全面周到、具有详细内容，可行性强的得8-6分；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项目实施方案较全面、有具体内容，有一定可行性的5-3分；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项目实施方案有内容，但欠全面，可行性较差的得2-1分；</w:t>
            </w:r>
          </w:p>
          <w:p>
            <w:pPr>
              <w:pStyle w:val="348"/>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质量保证</w:t>
            </w:r>
          </w:p>
        </w:tc>
        <w:tc>
          <w:tcPr>
            <w:tcW w:w="5431" w:type="dxa"/>
            <w:shd w:val="clear" w:color="auto" w:fill="auto"/>
            <w:vAlign w:val="center"/>
          </w:tcPr>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针对本项目的质量保证措施：保障措施科学、合理，质量目标明确，保证措施详尽，针对性强的得7-6分；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保障措施较科学、合理，质量目标较明确，保证措施较详尽，针对性较强的得5-3分；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措施简单、笼统，一般的得2-1分；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培训方案</w:t>
            </w:r>
          </w:p>
        </w:tc>
        <w:tc>
          <w:tcPr>
            <w:tcW w:w="5431" w:type="dxa"/>
            <w:shd w:val="clear" w:color="auto" w:fill="auto"/>
            <w:vAlign w:val="center"/>
          </w:tcPr>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提供产品操作及使用技术培训方案，培训方案科学、合理、内容全面、易于掌握：</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方案完整，架构完善，科学合理，有针对性得7-6分；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方案较完整，架构较完善，比较全面、科学的得5-3分；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方案完整程度一般，架构不够完善，缺乏科学性，内容欠缺较多的得2-1分；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4" w:type="dxa"/>
            <w:shd w:val="clear" w:color="auto" w:fill="auto"/>
            <w:vAlign w:val="center"/>
          </w:tcPr>
          <w:p>
            <w:pPr>
              <w:pStyle w:val="348"/>
              <w:spacing w:line="360" w:lineRule="exact"/>
              <w:jc w:val="cente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售后服务</w:t>
            </w:r>
          </w:p>
        </w:tc>
        <w:tc>
          <w:tcPr>
            <w:tcW w:w="5431" w:type="dxa"/>
            <w:shd w:val="clear" w:color="auto" w:fill="auto"/>
            <w:vAlign w:val="center"/>
          </w:tcPr>
          <w:p>
            <w:pPr>
              <w:autoSpaceDE w:val="0"/>
              <w:autoSpaceDN w:val="0"/>
              <w:spacing w:line="360" w:lineRule="exac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根据项目实际需求，提供详细的售后服务方案，包括售后人员配置、技术能力和时间响应保障等方面；</w:t>
            </w:r>
          </w:p>
          <w:p>
            <w:pPr>
              <w:autoSpaceDE w:val="0"/>
              <w:autoSpaceDN w:val="0"/>
              <w:spacing w:line="360" w:lineRule="exac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售后服务方案科学合理、有效、可靠，对本项目针对性强、具有实际可操作性的得8-6分；</w:t>
            </w:r>
          </w:p>
          <w:p>
            <w:pPr>
              <w:autoSpaceDE w:val="0"/>
              <w:autoSpaceDN w:val="0"/>
              <w:spacing w:line="360" w:lineRule="exac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售后服务方案较为科学合理，能满足本项目需求的，且得5-3分；</w:t>
            </w:r>
          </w:p>
          <w:p>
            <w:pPr>
              <w:autoSpaceDE w:val="0"/>
              <w:autoSpaceDN w:val="0"/>
              <w:spacing w:line="360" w:lineRule="exact"/>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售后服务方案缺项，只有部分需求明确响应的得2-1分；</w:t>
            </w:r>
          </w:p>
          <w:p>
            <w:pPr>
              <w:autoSpaceDE w:val="0"/>
              <w:autoSpaceDN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内容差或无方案不得分。</w:t>
            </w:r>
          </w:p>
        </w:tc>
        <w:tc>
          <w:tcPr>
            <w:tcW w:w="1084" w:type="dxa"/>
            <w:shd w:val="clear" w:color="auto" w:fill="auto"/>
            <w:vAlign w:val="center"/>
          </w:tcPr>
          <w:p>
            <w:pPr>
              <w:pStyle w:val="201"/>
              <w:spacing w:line="360" w:lineRule="exact"/>
              <w:ind w:firstLine="0" w:firstLineChars="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r>
    </w:tbl>
    <w:p>
      <w:pPr>
        <w:adjustRightInd w:val="0"/>
        <w:snapToGrid w:val="0"/>
        <w:spacing w:line="440" w:lineRule="exact"/>
        <w:ind w:firstLine="482" w:firstLineChars="200"/>
        <w:jc w:val="left"/>
        <w:outlineLvl w:val="4"/>
        <w:rPr>
          <w:rFonts w:asciiTheme="minorEastAsia" w:hAnsiTheme="minorEastAsia" w:eastAsiaTheme="minorEastAsia"/>
          <w:b/>
          <w:sz w:val="24"/>
          <w:szCs w:val="24"/>
        </w:rPr>
      </w:pPr>
    </w:p>
    <w:p>
      <w:pPr>
        <w:adjustRightInd w:val="0"/>
        <w:snapToGrid w:val="0"/>
        <w:spacing w:line="440" w:lineRule="exact"/>
        <w:ind w:firstLine="482" w:firstLineChars="200"/>
        <w:jc w:val="left"/>
        <w:outlineLvl w:val="4"/>
        <w:rPr>
          <w:rFonts w:asciiTheme="minorEastAsia" w:hAnsiTheme="minorEastAsia" w:eastAsiaTheme="minorEastAsia"/>
          <w:b/>
          <w:sz w:val="24"/>
          <w:szCs w:val="24"/>
        </w:rPr>
      </w:pPr>
      <w:r>
        <w:rPr>
          <w:rFonts w:hint="eastAsia" w:asciiTheme="minorEastAsia" w:hAnsiTheme="minorEastAsia" w:eastAsiaTheme="minorEastAsia"/>
          <w:b/>
          <w:sz w:val="24"/>
          <w:szCs w:val="24"/>
        </w:rPr>
        <w:t>注：技术标评审涉及的相关证书、合同、证明材料等复印件需加盖公章。</w:t>
      </w:r>
    </w:p>
    <w:p>
      <w:pPr>
        <w:adjustRightInd w:val="0"/>
        <w:snapToGrid w:val="0"/>
        <w:spacing w:line="36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（二）价格标评分：（30分）</w:t>
      </w:r>
    </w:p>
    <w:p>
      <w:pPr>
        <w:widowControl/>
        <w:spacing w:line="360" w:lineRule="auto"/>
        <w:ind w:firstLine="566" w:firstLineChars="236"/>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r>
        <w:rPr>
          <w:rFonts w:ascii="宋体" w:hAnsi="宋体" w:eastAsia="宋体" w:cs="宋体"/>
          <w:bCs/>
          <w:kern w:val="0"/>
          <w:sz w:val="24"/>
          <w:szCs w:val="24"/>
          <w:highlight w:val="none"/>
        </w:rPr>
        <w:t>确定有效报价：</w:t>
      </w:r>
      <w:r>
        <w:rPr>
          <w:rFonts w:hint="eastAsia" w:ascii="宋体" w:hAnsi="宋体" w:eastAsia="宋体" w:cs="宋体"/>
          <w:bCs/>
          <w:kern w:val="0"/>
          <w:sz w:val="24"/>
          <w:szCs w:val="24"/>
          <w:highlight w:val="none"/>
        </w:rPr>
        <w:t>有效报价是指投标人投标报价低于或等于招标人设定的最高限价，投标报价高于最高限价的为无效报价，作废标处理。</w:t>
      </w:r>
    </w:p>
    <w:p>
      <w:pPr>
        <w:widowControl/>
        <w:spacing w:line="360" w:lineRule="auto"/>
        <w:ind w:firstLine="566" w:firstLineChars="236"/>
        <w:jc w:val="left"/>
        <w:rPr>
          <w:rFonts w:asciiTheme="minorEastAsia" w:hAnsiTheme="minorEastAsia" w:eastAsiaTheme="minorEastAsia"/>
          <w:sz w:val="24"/>
          <w:highlight w:val="none"/>
        </w:rPr>
      </w:pPr>
      <w:bookmarkStart w:id="6" w:name="_Hlk116650957"/>
      <w:r>
        <w:rPr>
          <w:rFonts w:hint="eastAsia" w:asciiTheme="minorEastAsia" w:hAnsiTheme="minorEastAsia" w:eastAsiaTheme="minorEastAsia"/>
          <w:sz w:val="24"/>
          <w:highlight w:val="none"/>
        </w:rPr>
        <w:t>2、</w:t>
      </w:r>
      <w:r>
        <w:rPr>
          <w:rFonts w:ascii="宋体" w:hAnsi="宋体" w:eastAsia="宋体"/>
          <w:sz w:val="24"/>
          <w:highlight w:val="none"/>
        </w:rPr>
        <w:t>确定评标基准价</w:t>
      </w:r>
      <w:r>
        <w:rPr>
          <w:rFonts w:hint="eastAsia" w:asciiTheme="minorEastAsia" w:hAnsiTheme="minorEastAsia" w:eastAsiaTheme="minorEastAsia"/>
          <w:sz w:val="24"/>
          <w:highlight w:val="none"/>
        </w:rPr>
        <w:t>：所有有效投标人投标报价的最低价为评标基准价。</w:t>
      </w:r>
    </w:p>
    <w:p>
      <w:pPr>
        <w:widowControl/>
        <w:spacing w:line="360" w:lineRule="auto"/>
        <w:ind w:firstLine="1041" w:firstLineChars="434"/>
        <w:jc w:val="left"/>
        <w:rPr>
          <w:rFonts w:asciiTheme="minorEastAsia" w:hAnsiTheme="minorEastAsia" w:eastAsiaTheme="minorEastAsia"/>
          <w:sz w:val="24"/>
        </w:rPr>
      </w:pPr>
      <w:r>
        <w:rPr>
          <w:rFonts w:hint="eastAsia" w:asciiTheme="minorEastAsia" w:hAnsiTheme="minorEastAsia" w:eastAsiaTheme="minorEastAsia"/>
          <w:sz w:val="24"/>
        </w:rPr>
        <w:t>报价得分 =（评标基准价/投标报价）×所占分值%×100</w:t>
      </w:r>
    </w:p>
    <w:bookmarkEnd w:id="6"/>
    <w:p>
      <w:pPr>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（三）评标时评委对评标细则若有争议，由评标委员会评委集体讨论确定，并对未尽情况有最终解释权。</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（四）对落标的投标人不做落标原因的解释。</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六、出现下列情形之一的，作无效投标处理：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未按照招标文件的规定提交投标保证金的；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投标文件未按招标文件要求签署、盖章的；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不具备招标文件中规定的资格要求的；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报价超过招标文件中规定的预算金额或者最高限价的；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投标文件含有招标人不能接受的附加条件的</w:t>
      </w:r>
      <w:r>
        <w:rPr>
          <w:rFonts w:hint="eastAsia"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法律、法规和招标文件规定的其他无效情形。</w:t>
      </w:r>
    </w:p>
    <w:p>
      <w:pPr>
        <w:snapToGrid w:val="0"/>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七、有下列情形之一的，视为投标人串通投标，其投标无效</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1、不同投标人的投标文件由同一单位或者个人编制；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2、不同投标人委托同一单位或者个人办理投标事宜；</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5、不同投标人的投标文件相互混装；</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6、不同投标人的投标保证金从同一单位或者个人的账户转出。</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八、出现下列情形之一的，作废标处理：</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、出现影响采购公正的违法违规行为的；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、所有投标人报价超出采购预算价的；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、因重大变故，采购任务被取消的；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、评标委员会依据法律法规可以认定为废标的其他情况。</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九、中标通知</w:t>
      </w:r>
    </w:p>
    <w:p>
      <w:pPr>
        <w:spacing w:line="420" w:lineRule="exact"/>
        <w:ind w:firstLine="484" w:firstLineChars="202"/>
        <w:rPr>
          <w:rFonts w:asciiTheme="minorEastAsia" w:hAnsiTheme="minorEastAsia" w:eastAsiaTheme="minorEastAsia"/>
          <w:kern w:val="0"/>
          <w:sz w:val="24"/>
          <w:szCs w:val="24"/>
        </w:rPr>
      </w:pPr>
      <w:r>
        <w:rPr>
          <w:rFonts w:asciiTheme="minorEastAsia" w:hAnsiTheme="minorEastAsia" w:eastAsiaTheme="minorEastAsia"/>
          <w:kern w:val="0"/>
          <w:sz w:val="24"/>
          <w:szCs w:val="24"/>
        </w:rPr>
        <w:t>1、开标结束后，招标</w:t>
      </w:r>
      <w:r>
        <w:rPr>
          <w:rFonts w:hint="eastAsia" w:asciiTheme="minorEastAsia" w:hAnsiTheme="minorEastAsia" w:eastAsiaTheme="minorEastAsia"/>
          <w:kern w:val="0"/>
          <w:sz w:val="24"/>
          <w:szCs w:val="24"/>
        </w:rPr>
        <w:t>采购单位自中标人确定之日起2个工作日内</w:t>
      </w:r>
      <w:r>
        <w:rPr>
          <w:rFonts w:asciiTheme="minorEastAsia" w:hAnsiTheme="minorEastAsia" w:eastAsiaTheme="minorEastAsia"/>
          <w:kern w:val="0"/>
          <w:sz w:val="24"/>
          <w:szCs w:val="24"/>
        </w:rPr>
        <w:t>在指定媒体上</w:t>
      </w:r>
      <w:r>
        <w:rPr>
          <w:rFonts w:hint="eastAsia" w:asciiTheme="minorEastAsia" w:hAnsiTheme="minorEastAsia" w:eastAsiaTheme="minorEastAsia"/>
          <w:kern w:val="0"/>
          <w:sz w:val="24"/>
          <w:szCs w:val="24"/>
        </w:rPr>
        <w:t>公告中标结果。</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2、中标公告期限为3日，期限</w:t>
      </w:r>
      <w:r>
        <w:rPr>
          <w:rFonts w:asciiTheme="minorEastAsia" w:hAnsiTheme="minorEastAsia" w:eastAsiaTheme="minorEastAsia"/>
          <w:kern w:val="0"/>
          <w:sz w:val="24"/>
          <w:szCs w:val="24"/>
        </w:rPr>
        <w:t>结束后向中标人发出《中标通知书》。</w:t>
      </w:r>
    </w:p>
    <w:p>
      <w:pPr>
        <w:spacing w:line="420" w:lineRule="exact"/>
        <w:ind w:firstLine="484" w:firstLineChars="202"/>
        <w:rPr>
          <w:rFonts w:asciiTheme="minorEastAsia" w:hAnsiTheme="minorEastAsia" w:eastAsiaTheme="minorEastAsia"/>
          <w:b/>
          <w:w w:val="80"/>
          <w:sz w:val="32"/>
          <w:szCs w:val="32"/>
        </w:rPr>
      </w:pPr>
      <w:r>
        <w:rPr>
          <w:rFonts w:asciiTheme="minorEastAsia" w:hAnsiTheme="minorEastAsia" w:eastAsiaTheme="minorEastAsia"/>
          <w:kern w:val="0"/>
          <w:sz w:val="24"/>
          <w:szCs w:val="24"/>
        </w:rPr>
        <w:t>3、《中标通知书》一经发出，即具有法律效力。招标人、中标人依法承担法律责任。</w:t>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sz w:val="32"/>
          <w:szCs w:val="32"/>
        </w:rPr>
        <w:br w:type="page"/>
      </w:r>
      <w:r>
        <w:rPr>
          <w:rFonts w:hint="eastAsia" w:asciiTheme="minorEastAsia" w:hAnsiTheme="minorEastAsia" w:eastAsiaTheme="minorEastAsia"/>
          <w:b/>
          <w:w w:val="80"/>
          <w:sz w:val="32"/>
          <w:szCs w:val="32"/>
        </w:rPr>
        <w:t>第五章  合同授予及主要</w:t>
      </w:r>
      <w:r>
        <w:rPr>
          <w:rFonts w:asciiTheme="minorEastAsia" w:hAnsiTheme="minorEastAsia" w:eastAsiaTheme="minorEastAsia"/>
          <w:b/>
          <w:w w:val="80"/>
          <w:sz w:val="32"/>
          <w:szCs w:val="32"/>
        </w:rPr>
        <w:t>条款</w:t>
      </w:r>
    </w:p>
    <w:bookmarkEnd w:id="4"/>
    <w:p>
      <w:pPr>
        <w:spacing w:line="360" w:lineRule="auto"/>
        <w:rPr>
          <w:rFonts w:asciiTheme="minorEastAsia" w:hAnsiTheme="minorEastAsia" w:eastAsiaTheme="minorEastAsia" w:cstheme="minorEastAsia"/>
          <w:sz w:val="24"/>
          <w:szCs w:val="24"/>
        </w:rPr>
      </w:pPr>
      <w:bookmarkStart w:id="7" w:name="_Toc94585343"/>
      <w:bookmarkStart w:id="8" w:name="_Toc363573858"/>
      <w:r>
        <w:rPr>
          <w:rFonts w:hint="eastAsia" w:asciiTheme="minorEastAsia" w:hAnsiTheme="minorEastAsia" w:eastAsiaTheme="minorEastAsia" w:cstheme="minorEastAsia"/>
          <w:sz w:val="24"/>
          <w:szCs w:val="24"/>
        </w:rPr>
        <w:t>甲 方：（招标人）</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乙 方：（中标人）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项目</w:t>
      </w:r>
      <w:r>
        <w:rPr>
          <w:rFonts w:hint="eastAsia" w:asciiTheme="minorEastAsia" w:hAnsiTheme="minorEastAsia" w:eastAsiaTheme="minorEastAsia" w:cstheme="minorEastAsia"/>
          <w:sz w:val="24"/>
          <w:szCs w:val="24"/>
        </w:rPr>
        <w:t>进行采购，于2024年  月  日通过公开招标（ 号），确定乙方为中标人。为了保护供需各方合法权益,根据《中华人民共和国政府采购法》、《中华人民共和国民法典》等相关法律、法规的规定，并严格遵循政府采购项目采购文件的相关规定,经甲乙双方协商一致，订立本合同。</w:t>
      </w:r>
    </w:p>
    <w:p>
      <w:pPr>
        <w:widowControl/>
        <w:shd w:val="clear" w:color="auto" w:fill="FFFFFF"/>
        <w:spacing w:line="560" w:lineRule="exact"/>
        <w:ind w:firstLine="482"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一、合同文件</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下列内容是构成本合同不可分割的部分：</w:t>
      </w:r>
    </w:p>
    <w:p>
      <w:pPr>
        <w:widowControl/>
        <w:numPr>
          <w:ilvl w:val="0"/>
          <w:numId w:val="6"/>
        </w:numPr>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乙方参加             招标</w:t>
      </w:r>
    </w:p>
    <w:p>
      <w:pPr>
        <w:widowControl/>
        <w:numPr>
          <w:ilvl w:val="0"/>
          <w:numId w:val="6"/>
        </w:numPr>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乙方在投标文件中约定的内容（优惠政策及服务承诺）。</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 甲方、乙方商定的其他必要文件。</w:t>
      </w:r>
    </w:p>
    <w:p>
      <w:pPr>
        <w:widowControl/>
        <w:shd w:val="clear" w:color="auto" w:fill="FFFFFF"/>
        <w:spacing w:line="56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w:t>
      </w:r>
      <w:r>
        <w:rPr>
          <w:rFonts w:hint="eastAsia" w:asciiTheme="minorEastAsia" w:hAnsiTheme="minorEastAsia" w:eastAsiaTheme="minorEastAsia" w:cstheme="minorEastAsia"/>
          <w:b/>
          <w:bCs/>
          <w:sz w:val="24"/>
          <w:szCs w:val="24"/>
        </w:rPr>
        <w:t>、项目清单</w:t>
      </w:r>
    </w:p>
    <w:tbl>
      <w:tblPr>
        <w:tblStyle w:val="5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919"/>
        <w:gridCol w:w="1361"/>
        <w:gridCol w:w="1212"/>
        <w:gridCol w:w="786"/>
        <w:gridCol w:w="82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商品类别</w:t>
            </w:r>
          </w:p>
        </w:tc>
        <w:tc>
          <w:tcPr>
            <w:tcW w:w="9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商品名称</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型号</w:t>
            </w: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颜色</w:t>
            </w:r>
          </w:p>
        </w:tc>
        <w:tc>
          <w:tcPr>
            <w:tcW w:w="8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13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heme="minorEastAsia" w:hAnsiTheme="minorEastAsia" w:eastAsiaTheme="minorEastAsia" w:cstheme="minorEastAsia"/>
                <w:kern w:val="0"/>
                <w:sz w:val="24"/>
                <w:szCs w:val="24"/>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heme="minorEastAsia" w:hAnsiTheme="minorEastAsia" w:eastAsiaTheme="minorEastAsia" w:cstheme="minorEastAsia"/>
                <w:kern w:val="0"/>
                <w:sz w:val="24"/>
                <w:szCs w:val="24"/>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asciiTheme="minorEastAsia" w:hAnsiTheme="minorEastAsia" w:eastAsiaTheme="minorEastAsia" w:cstheme="minorEastAsia"/>
                <w:kern w:val="0"/>
                <w:sz w:val="24"/>
                <w:szCs w:val="24"/>
              </w:rPr>
            </w:pPr>
          </w:p>
        </w:tc>
        <w:tc>
          <w:tcPr>
            <w:tcW w:w="12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asciiTheme="minorEastAsia" w:hAnsiTheme="minorEastAsia" w:eastAsiaTheme="minorEastAsia" w:cstheme="minorEastAsia"/>
                <w:sz w:val="24"/>
                <w:szCs w:val="24"/>
                <w:shd w:val="clear" w:color="auto" w:fill="FFFFFF"/>
              </w:rPr>
            </w:pPr>
          </w:p>
        </w:tc>
        <w:tc>
          <w:tcPr>
            <w:tcW w:w="7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asciiTheme="minorEastAsia" w:hAnsiTheme="minorEastAsia" w:eastAsiaTheme="minorEastAsia" w:cstheme="minorEastAsia"/>
                <w:kern w:val="0"/>
                <w:sz w:val="24"/>
                <w:szCs w:val="24"/>
              </w:rPr>
            </w:pPr>
          </w:p>
        </w:tc>
        <w:tc>
          <w:tcPr>
            <w:tcW w:w="8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asciiTheme="minorEastAsia" w:hAnsiTheme="minorEastAsia" w:eastAsiaTheme="minorEastAsia" w:cstheme="minorEastAsia"/>
                <w:kern w:val="0"/>
                <w:sz w:val="24"/>
                <w:szCs w:val="24"/>
              </w:rPr>
            </w:pPr>
          </w:p>
        </w:tc>
        <w:tc>
          <w:tcPr>
            <w:tcW w:w="13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78"/>
              <w:jc w:val="center"/>
              <w:rPr>
                <w:rFonts w:asciiTheme="minorEastAsia" w:hAnsiTheme="minorEastAsia" w:eastAsiaTheme="minorEastAsia" w:cstheme="minorEastAsia"/>
                <w:kern w:val="0"/>
                <w:sz w:val="24"/>
                <w:szCs w:val="24"/>
              </w:rPr>
            </w:pPr>
          </w:p>
        </w:tc>
      </w:tr>
    </w:tbl>
    <w:p>
      <w:pP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xml:space="preserve"> </w:t>
      </w:r>
    </w:p>
    <w:p>
      <w:pPr>
        <w:ind w:firstLine="241" w:firstLineChars="100"/>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合同金额总价：                      （人民币：   元整）</w:t>
      </w:r>
    </w:p>
    <w:p>
      <w:pPr>
        <w:widowControl/>
        <w:shd w:val="clear" w:color="auto" w:fill="FFFFFF"/>
        <w:spacing w:line="560" w:lineRule="exact"/>
        <w:ind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rPr>
        <w:t>三、服务承诺</w:t>
      </w:r>
      <w:r>
        <w:rPr>
          <w:rFonts w:hint="eastAsia" w:asciiTheme="minorEastAsia" w:hAnsiTheme="minorEastAsia" w:eastAsiaTheme="minorEastAsia" w:cstheme="minorEastAsia"/>
          <w:kern w:val="0"/>
          <w:sz w:val="24"/>
          <w:szCs w:val="24"/>
        </w:rPr>
        <w:t xml:space="preserve"> ：</w:t>
      </w:r>
    </w:p>
    <w:p>
      <w:pPr>
        <w:widowControl/>
        <w:shd w:val="clear" w:color="auto" w:fill="FFFFFF"/>
        <w:spacing w:line="560" w:lineRule="exact"/>
        <w:ind w:firstLine="482"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四、合同金额(大写)：</w:t>
      </w:r>
    </w:p>
    <w:p>
      <w:pPr>
        <w:widowControl/>
        <w:shd w:val="clear" w:color="auto" w:fill="FFFFFF"/>
        <w:spacing w:line="560" w:lineRule="exact"/>
        <w:ind w:firstLine="482" w:firstLineChars="200"/>
        <w:jc w:val="left"/>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五、付款条件、</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highlight w:val="none"/>
        </w:rPr>
      </w:pPr>
      <w:bookmarkStart w:id="11" w:name="_GoBack"/>
      <w:r>
        <w:rPr>
          <w:rFonts w:hint="eastAsia" w:asciiTheme="minorEastAsia" w:hAnsiTheme="minorEastAsia" w:eastAsiaTheme="minorEastAsia" w:cstheme="minorEastAsia"/>
          <w:kern w:val="0"/>
          <w:sz w:val="24"/>
          <w:szCs w:val="24"/>
          <w:highlight w:val="none"/>
        </w:rPr>
        <w:t>交付车辆（提车时）验收合格后,付清车款。</w:t>
      </w:r>
    </w:p>
    <w:p>
      <w:pPr>
        <w:widowControl/>
        <w:shd w:val="clear" w:color="auto" w:fill="FFFFFF"/>
        <w:spacing w:line="560" w:lineRule="exact"/>
        <w:ind w:firstLine="482"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六、交货时间和地点</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highlight w:val="none"/>
        </w:rPr>
        <w:t>本合同货物的交付时间为：</w:t>
      </w:r>
      <w:r>
        <w:rPr>
          <w:rFonts w:hint="eastAsia" w:asciiTheme="minorEastAsia" w:hAnsiTheme="minorEastAsia" w:eastAsiaTheme="minorEastAsia" w:cstheme="minorEastAsia"/>
          <w:sz w:val="24"/>
          <w:szCs w:val="24"/>
          <w:highlight w:val="none"/>
        </w:rPr>
        <w:t>自合同签订之日起 30 天内完成</w:t>
      </w:r>
      <w:bookmarkEnd w:id="11"/>
      <w:r>
        <w:rPr>
          <w:rFonts w:hint="eastAsia" w:asciiTheme="minorEastAsia" w:hAnsiTheme="minorEastAsia" w:eastAsiaTheme="minorEastAsia" w:cstheme="minorEastAsia"/>
          <w:sz w:val="24"/>
          <w:szCs w:val="24"/>
        </w:rPr>
        <w:t>供货、安装、调试。</w:t>
      </w:r>
    </w:p>
    <w:p>
      <w:pPr>
        <w:widowControl/>
        <w:shd w:val="clear" w:color="auto" w:fill="FFFFFF"/>
        <w:spacing w:line="560" w:lineRule="exact"/>
        <w:ind w:firstLine="482"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七、质量保证</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所提供货物必须符合国家有关标准；保证货物是全新、未使用过的原装合格正品，并保证货物在正常使用和保养条件下，符合其产品的质量保证要求。在使用过程中，一旦发现乙方所提供的货物不是原装合格正品，经查实后，乙方必须无条件接受退货，并按原价货款退还甲方，同时，甲方按有关规定有权要求索赔。</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乙方保证所供货物能够在甲方所在地车管部门上牌。</w:t>
      </w:r>
    </w:p>
    <w:p>
      <w:pPr>
        <w:widowControl/>
        <w:shd w:val="clear" w:color="auto" w:fill="FFFFFF"/>
        <w:spacing w:line="560" w:lineRule="exact"/>
        <w:ind w:firstLine="482" w:firstLineChars="200"/>
        <w:jc w:val="lef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八、验收</w:t>
      </w:r>
    </w:p>
    <w:p>
      <w:pPr>
        <w:tabs>
          <w:tab w:val="left" w:pos="900"/>
        </w:tabs>
        <w:spacing w:line="36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货物若有国家标准按照国家标准验收，若无国家标准按行业标准验收，为原制造商制造的全新产品，整机无污染，无侵权行为、表面无划损、无任何缺陷隐患，在中国境内可依常规安全合法使用。 </w:t>
      </w:r>
    </w:p>
    <w:p>
      <w:pPr>
        <w:tabs>
          <w:tab w:val="left" w:pos="900"/>
        </w:tabs>
        <w:spacing w:line="36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产品必须具备原产地证明和商检局的检验证明及合法进货渠道证明。评审小组在各供应商的报价有限期内有权要求供应商提供 货物的报关单。</w:t>
      </w:r>
    </w:p>
    <w:p>
      <w:pPr>
        <w:tabs>
          <w:tab w:val="left" w:pos="900"/>
        </w:tabs>
        <w:spacing w:line="36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货物为原厂商未启封全新包装，具出厂合格证，序列号、包装箱号与出厂批号一致，并可追索查阅。所有随设备的附件必须齐全。</w:t>
      </w:r>
    </w:p>
    <w:p>
      <w:pPr>
        <w:tabs>
          <w:tab w:val="left" w:pos="900"/>
        </w:tabs>
        <w:spacing w:line="36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乙方应将关键主机设备的用户手册、保修手册、有关单证资料及配备件、随机工具等交付给甲方，使用操作及安全须知等重要资料应附有中文说明。</w:t>
      </w:r>
    </w:p>
    <w:p>
      <w:pPr>
        <w:tabs>
          <w:tab w:val="left" w:pos="900"/>
        </w:tabs>
        <w:spacing w:line="36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widowControl/>
        <w:shd w:val="clear" w:color="auto" w:fill="FFFFFF"/>
        <w:spacing w:line="560" w:lineRule="exact"/>
        <w:ind w:firstLine="482"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九、乙方声明</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对本合同违约责任的承担，不能排除所供车辆生产厂家的责任。乙方承诺所供车辆价格不高于所供车辆生产厂家规定的标准。所承诺服务不低于所供车辆生产厂家规定的标准。乙方承诺作为生产厂家执行供货的代表，忠实履行生产厂家与乙方所签订的供货协议内容。</w:t>
      </w:r>
    </w:p>
    <w:p>
      <w:pPr>
        <w:widowControl/>
        <w:shd w:val="clear" w:color="auto" w:fill="FFFFFF"/>
        <w:spacing w:line="560" w:lineRule="exact"/>
        <w:ind w:firstLine="482"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十、合同纠纷处理</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因履行本合同发生争议协商解决不成的提交常州仲裁委员会仲裁。因本合同产生的以及与本合同有关的一切纠纷，均由常州仲裁委员会仲裁。该裁决是终局的，对双方均具有约束力。</w:t>
      </w:r>
    </w:p>
    <w:p>
      <w:pPr>
        <w:widowControl/>
        <w:shd w:val="clear" w:color="auto" w:fill="FFFFFF"/>
        <w:spacing w:line="560" w:lineRule="exact"/>
        <w:ind w:firstLine="482"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十一、合同生效及其他</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本合同未再声明的其他各项内容均见本合同第一款“合同文件”中；</w:t>
      </w:r>
    </w:p>
    <w:p>
      <w:pPr>
        <w:widowControl/>
        <w:shd w:val="clear" w:color="auto" w:fill="FFFFFF"/>
        <w:spacing w:line="56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本合同经甲方、乙方两方法定代表人或授权代表签字盖章之日起生效。本合同一式四份，甲方、乙方各持贰份。</w:t>
      </w:r>
    </w:p>
    <w:p>
      <w:pPr>
        <w:widowControl/>
        <w:shd w:val="clear" w:color="auto" w:fill="FFFFFF"/>
        <w:spacing w:line="560" w:lineRule="exact"/>
        <w:ind w:firstLine="480" w:firstLineChars="200"/>
        <w:jc w:val="left"/>
        <w:rPr>
          <w:rFonts w:asciiTheme="minorEastAsia" w:hAnsiTheme="minorEastAsia" w:eastAsiaTheme="minorEastAsia" w:cstheme="minorEastAsia"/>
          <w:sz w:val="24"/>
          <w:szCs w:val="24"/>
        </w:rPr>
      </w:pPr>
    </w:p>
    <w:p>
      <w:pPr>
        <w:widowControl/>
        <w:shd w:val="clear" w:color="auto" w:fill="FFFFFF"/>
        <w:spacing w:line="560" w:lineRule="exact"/>
        <w:ind w:firstLine="480" w:firstLineChars="200"/>
        <w:jc w:val="left"/>
        <w:rPr>
          <w:rFonts w:asciiTheme="minorEastAsia" w:hAnsiTheme="minorEastAsia" w:eastAsiaTheme="minorEastAsia" w:cstheme="minorEastAsia"/>
          <w:sz w:val="24"/>
          <w:szCs w:val="24"/>
        </w:rPr>
      </w:pPr>
    </w:p>
    <w:tbl>
      <w:tblPr>
        <w:tblStyle w:val="57"/>
        <w:tblW w:w="9345" w:type="dxa"/>
        <w:tblInd w:w="9" w:type="dxa"/>
        <w:tblLayout w:type="autofit"/>
        <w:tblCellMar>
          <w:top w:w="15" w:type="dxa"/>
          <w:left w:w="15" w:type="dxa"/>
          <w:bottom w:w="15" w:type="dxa"/>
          <w:right w:w="15" w:type="dxa"/>
        </w:tblCellMar>
      </w:tblPr>
      <w:tblGrid>
        <w:gridCol w:w="4373"/>
        <w:gridCol w:w="4972"/>
      </w:tblGrid>
      <w:tr>
        <w:tblPrEx>
          <w:tblCellMar>
            <w:top w:w="15" w:type="dxa"/>
            <w:left w:w="15" w:type="dxa"/>
            <w:bottom w:w="15" w:type="dxa"/>
            <w:right w:w="15" w:type="dxa"/>
          </w:tblCellMar>
        </w:tblPrEx>
        <w:tc>
          <w:tcPr>
            <w:tcW w:w="4373" w:type="dxa"/>
            <w:tcBorders>
              <w:top w:val="nil"/>
              <w:left w:val="nil"/>
              <w:bottom w:val="nil"/>
              <w:right w:val="nil"/>
            </w:tcBorders>
          </w:tcPr>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法定代表人/委托人：</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单位地址：</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电话：</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邮政编码： </w:t>
            </w:r>
          </w:p>
        </w:tc>
        <w:tc>
          <w:tcPr>
            <w:tcW w:w="4972" w:type="dxa"/>
            <w:tcBorders>
              <w:top w:val="nil"/>
              <w:left w:val="nil"/>
              <w:bottom w:val="nil"/>
              <w:right w:val="nil"/>
            </w:tcBorders>
          </w:tcPr>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法定代表人/委托人：</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签订日期：</w:t>
            </w:r>
          </w:p>
          <w:p>
            <w:pPr>
              <w:widowControl/>
              <w:spacing w:line="560" w:lineRule="exact"/>
              <w:ind w:left="1200" w:hanging="1200" w:hangingChars="5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单位地址：</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电话： </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账号：</w:t>
            </w:r>
          </w:p>
          <w:p>
            <w:pPr>
              <w:widowControl/>
              <w:spacing w:line="56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邮政编码： </w:t>
            </w:r>
          </w:p>
          <w:p>
            <w:pPr>
              <w:widowControl/>
              <w:spacing w:line="560" w:lineRule="exact"/>
              <w:jc w:val="left"/>
              <w:rPr>
                <w:rFonts w:asciiTheme="minorEastAsia" w:hAnsiTheme="minorEastAsia" w:eastAsiaTheme="minorEastAsia" w:cstheme="minorEastAsia"/>
                <w:kern w:val="0"/>
                <w:sz w:val="24"/>
                <w:szCs w:val="24"/>
              </w:rPr>
            </w:pPr>
          </w:p>
        </w:tc>
      </w:tr>
    </w:tbl>
    <w:p>
      <w:pPr>
        <w:widowControl/>
        <w:jc w:val="right"/>
        <w:rPr>
          <w:rFonts w:asciiTheme="minorEastAsia" w:hAnsiTheme="minorEastAsia" w:eastAsiaTheme="minorEastAsia"/>
          <w:b/>
          <w:w w:val="80"/>
          <w:sz w:val="32"/>
          <w:szCs w:val="32"/>
        </w:rPr>
      </w:pPr>
      <w:r>
        <w:rPr>
          <w:rFonts w:asciiTheme="minorEastAsia" w:hAnsiTheme="minorEastAsia" w:eastAsiaTheme="minorEastAsia"/>
          <w:b/>
          <w:w w:val="80"/>
          <w:sz w:val="32"/>
          <w:szCs w:val="32"/>
        </w:rPr>
        <w:br w:type="page"/>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第六章  </w:t>
      </w:r>
      <w:bookmarkEnd w:id="7"/>
      <w:r>
        <w:rPr>
          <w:rFonts w:hint="eastAsia" w:asciiTheme="minorEastAsia" w:hAnsiTheme="minorEastAsia" w:eastAsiaTheme="minorEastAsia"/>
          <w:b/>
          <w:w w:val="80"/>
          <w:sz w:val="32"/>
          <w:szCs w:val="32"/>
        </w:rPr>
        <w:t>履约验收及付款</w:t>
      </w:r>
      <w:bookmarkEnd w:id="8"/>
    </w:p>
    <w:p>
      <w:pPr>
        <w:spacing w:line="420" w:lineRule="exact"/>
        <w:ind w:firstLine="484" w:firstLineChars="202"/>
        <w:rPr>
          <w:rFonts w:asciiTheme="minorEastAsia" w:hAnsiTheme="minorEastAsia" w:eastAsiaTheme="minorEastAsia"/>
          <w:kern w:val="0"/>
          <w:sz w:val="24"/>
          <w:szCs w:val="24"/>
        </w:rPr>
      </w:pPr>
      <w:bookmarkStart w:id="9" w:name="_Toc363573859"/>
      <w:r>
        <w:rPr>
          <w:rFonts w:hint="eastAsia" w:asciiTheme="minorEastAsia" w:hAnsiTheme="minorEastAsia" w:eastAsiaTheme="minorEastAsia"/>
          <w:kern w:val="0"/>
          <w:sz w:val="24"/>
          <w:szCs w:val="24"/>
        </w:rPr>
        <w:t>一、招标人和中标人应相互配合，按采购合同约定积极组织本项目的实施，确保按时履约提供服务。</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二、履约完成后，中标人应以书面形式向招标人提出验收申请，招标人接到申请后应及时组织验收。</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招标人、中标人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pPr>
        <w:spacing w:line="420" w:lineRule="exact"/>
        <w:ind w:firstLine="484" w:firstLineChars="202"/>
        <w:rPr>
          <w:rFonts w:asciiTheme="minorEastAsia" w:hAnsiTheme="minorEastAsia" w:eastAsiaTheme="minorEastAsia"/>
          <w:kern w:val="0"/>
          <w:sz w:val="24"/>
          <w:szCs w:val="24"/>
        </w:rPr>
      </w:pP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b/>
          <w:w w:val="80"/>
          <w:sz w:val="32"/>
          <w:szCs w:val="32"/>
        </w:rPr>
        <w:t>第</w:t>
      </w:r>
      <w:r>
        <w:rPr>
          <w:rFonts w:hint="eastAsia" w:asciiTheme="minorEastAsia" w:hAnsiTheme="minorEastAsia" w:eastAsiaTheme="minorEastAsia"/>
          <w:b/>
          <w:w w:val="80"/>
          <w:sz w:val="32"/>
          <w:szCs w:val="32"/>
        </w:rPr>
        <w:t>七</w:t>
      </w:r>
      <w:r>
        <w:rPr>
          <w:rFonts w:asciiTheme="minorEastAsia" w:hAnsiTheme="minorEastAsia" w:eastAsiaTheme="minorEastAsia"/>
          <w:b/>
          <w:w w:val="80"/>
          <w:sz w:val="32"/>
          <w:szCs w:val="32"/>
        </w:rPr>
        <w:t xml:space="preserve">章 </w:t>
      </w:r>
      <w:r>
        <w:rPr>
          <w:rFonts w:hint="eastAsia" w:asciiTheme="minorEastAsia" w:hAnsiTheme="minorEastAsia" w:eastAsiaTheme="minorEastAsia"/>
          <w:b/>
          <w:w w:val="80"/>
          <w:sz w:val="32"/>
          <w:szCs w:val="32"/>
        </w:rPr>
        <w:t xml:space="preserve"> 质疑与投诉</w:t>
      </w:r>
      <w:bookmarkEnd w:id="9"/>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一、质疑的提出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1、质疑必须是直接参加本次招投标活动的当事人。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2、取得招标文件的投标人应根据招标文件第二章 “投标人须知”中“第一条第4款”的约定提出质疑。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投标文件接收截止后未进行投标登记的投标人，不能就投标文件接收截止后的招标过程、中标结果提出质疑。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3、提出质疑时，必须坚持“谁主张，谁举证”、“实事求是”的原则，不能臆测。</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招标人、招标代理机构不具有法定调查、认定的权限。</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4、对本次招投标有质疑的，须实名制以书面形式提出，不得进行匿名、虚假、恶意质疑。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质疑人应在质疑有效期内以书面形式提出《质疑函》。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《质疑函》内容应包括质疑事项、主要内容、事实依据、适应法规条款、佐证材料等。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质疑人应保证其提出的质疑内容及相关佐证材料的真实性及来源的合法性，并承担相应的法律责任。</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对不能提供相关佐证材料的、涉及商业秘密的、非书面形式的、非送达的、匿名的《质疑函》将不予受理，视作无效质疑。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相关佐证材料要具备客观性、关联性、合法性，无法查实的（如宣传册、媒体报道、猜测、推理等）不能作为佐证材料。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招标人、招标代理机构不负责搜集相关佐证材料等工作。</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二、《质疑函》的受理和回复</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1、《质疑函》须由质疑人的法定代表人或参加本次招标授权人送达采购单位和招标人。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4、招标人负责将质疑人提交的质疑相关材料提供给相关专家或评标委员会审核，并将审核意见回复质疑人。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必要时，可向被质疑投标人（以下称被质疑人）转发《质疑函》及相关佐证材料。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被质疑人应当在要求的时间日期内，以书面形式作出说明回复，并提交相关证据。</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被质疑人在规定时间内，无正当理由未提交相关证据的，视同放弃说明权利，认可被质疑事项。</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三、质疑处理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1、质疑成立的处理。招标人终止采购，并建议有关部门给相关当事人予以处理。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2、质疑不成立的处理：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（1）质疑人书面《申请撤回质疑函》。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（2）质疑人在规定的时间内不配合进行质疑调查处理的，按自动撤回《质疑函》处理。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（3）质疑人不按《质疑函》格式就提出质疑的，视情列入不良投标人名单。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对明显有违背事实的、经相关专家或评委认定无依据的、经其他投标人举证无依据的质疑，列入不良投标人名单；同时，对其中每一项不成立的质疑给予质疑人1年内禁入采购活动的处理，依次类推；视情在南通市公共资源交易网、省、国家级相关媒体予以披露。</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（6）质疑人承担使用虚假材料或恶意方式质疑的法律责任。</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四、无佐证材料的举报作违约处理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投标人不得进行不提供相关佐证材料向有关部门的举报，否则对其在1至3年内禁入招标人单位的采购活动。</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无法查实的如宣传册、媒体报道、猜测、推理等，不作为相关佐证材料。</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五、投诉的提出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六、投诉不成立的作违约处理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投标人进行质疑后，招标人回复质疑不成立，投标人仍进行投诉的，并最终投诉不成立的，对其在1至3年内禁入招标人单位的采购活动。</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七、质疑、举报、投诉不成立的等相关情况</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《质疑函》、《质疑回复函》，质疑、举报、投诉不成立的等相关情况，视情在省市、国家级等相关媒体予以披露。并建议相关采购机构对该投标人同步实施1至3年内禁入。</w:t>
      </w:r>
    </w:p>
    <w:p>
      <w:pPr>
        <w:pStyle w:val="21"/>
        <w:rPr>
          <w:rFonts w:asciiTheme="minorEastAsia" w:hAnsiTheme="minorEastAsia" w:eastAsiaTheme="minorEastAsia"/>
          <w:kern w:val="0"/>
          <w:sz w:val="24"/>
          <w:szCs w:val="24"/>
        </w:rPr>
      </w:pPr>
    </w:p>
    <w:p>
      <w:pPr>
        <w:widowControl/>
        <w:jc w:val="left"/>
        <w:rPr>
          <w:rFonts w:asciiTheme="minorEastAsia" w:hAnsiTheme="minorEastAsia" w:eastAsiaTheme="minorEastAsia"/>
          <w:b/>
          <w:w w:val="80"/>
          <w:sz w:val="32"/>
          <w:szCs w:val="32"/>
        </w:rPr>
      </w:pPr>
      <w:bookmarkStart w:id="10" w:name="_Toc363573860"/>
      <w:r>
        <w:rPr>
          <w:rFonts w:asciiTheme="minorEastAsia" w:hAnsiTheme="minorEastAsia" w:eastAsiaTheme="minorEastAsia"/>
          <w:b/>
          <w:w w:val="80"/>
          <w:sz w:val="32"/>
          <w:szCs w:val="32"/>
        </w:rPr>
        <w:br w:type="page"/>
      </w:r>
    </w:p>
    <w:p>
      <w:pPr>
        <w:tabs>
          <w:tab w:val="left" w:pos="1050"/>
          <w:tab w:val="right" w:leader="dot" w:pos="9402"/>
        </w:tabs>
        <w:spacing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第八章  </w:t>
      </w:r>
      <w:bookmarkEnd w:id="10"/>
      <w:r>
        <w:rPr>
          <w:rFonts w:hint="eastAsia" w:asciiTheme="minorEastAsia" w:hAnsiTheme="minorEastAsia" w:eastAsiaTheme="minorEastAsia"/>
          <w:b/>
          <w:w w:val="80"/>
          <w:sz w:val="32"/>
          <w:szCs w:val="32"/>
        </w:rPr>
        <w:t>投标文件的组成及格式</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一、投标响应文件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A、</w:t>
      </w:r>
      <w:r>
        <w:rPr>
          <w:rFonts w:asciiTheme="minorEastAsia" w:hAnsiTheme="minorEastAsia" w:eastAsiaTheme="minorEastAsia"/>
          <w:bCs/>
          <w:sz w:val="24"/>
          <w:szCs w:val="24"/>
        </w:rPr>
        <w:t>资格后审材料文件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B、</w:t>
      </w:r>
      <w:r>
        <w:rPr>
          <w:rFonts w:asciiTheme="minorEastAsia" w:hAnsiTheme="minorEastAsia" w:eastAsiaTheme="minorEastAsia"/>
          <w:bCs/>
          <w:sz w:val="24"/>
          <w:szCs w:val="24"/>
        </w:rPr>
        <w:t>技术标响应文件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C、</w:t>
      </w:r>
      <w:r>
        <w:rPr>
          <w:rFonts w:asciiTheme="minorEastAsia" w:hAnsiTheme="minorEastAsia" w:eastAsiaTheme="minorEastAsia"/>
          <w:bCs/>
          <w:sz w:val="24"/>
          <w:szCs w:val="24"/>
        </w:rPr>
        <w:t>价格标响应文件</w:t>
      </w:r>
      <w:r>
        <w:rPr>
          <w:rFonts w:hint="eastAsia" w:asciiTheme="minorEastAsia" w:hAnsiTheme="minorEastAsia" w:eastAsiaTheme="minorEastAsia"/>
          <w:sz w:val="24"/>
          <w:szCs w:val="24"/>
        </w:rPr>
        <w:t>（一个密封包，含一正二副文件）</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二、投标响应文件封面范例</w:t>
      </w: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44"/>
          <w:szCs w:val="44"/>
        </w:rPr>
      </w:pPr>
      <w:r>
        <w:rPr>
          <w:rFonts w:hint="eastAsia" w:asciiTheme="minorEastAsia" w:hAnsiTheme="minorEastAsia" w:eastAsiaTheme="minorEastAsia"/>
          <w:sz w:val="36"/>
          <w:szCs w:val="22"/>
          <w:u w:val="single"/>
        </w:rPr>
        <w:t xml:space="preserve"> </w:t>
      </w:r>
      <w:r>
        <w:rPr>
          <w:rFonts w:asciiTheme="minorEastAsia" w:hAnsiTheme="minorEastAsia" w:eastAsiaTheme="minorEastAsia"/>
          <w:sz w:val="36"/>
          <w:szCs w:val="22"/>
          <w:u w:val="single"/>
        </w:rPr>
        <w:t xml:space="preserve">                  </w:t>
      </w:r>
      <w:r>
        <w:rPr>
          <w:rFonts w:hint="eastAsia" w:asciiTheme="minorEastAsia" w:hAnsiTheme="minorEastAsia" w:eastAsiaTheme="minorEastAsia"/>
          <w:sz w:val="36"/>
          <w:szCs w:val="22"/>
        </w:rPr>
        <w:t>项目</w:t>
      </w: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投标响应文件</w:t>
      </w:r>
    </w:p>
    <w:p>
      <w:pPr>
        <w:spacing w:line="420" w:lineRule="exact"/>
        <w:ind w:firstLine="1920" w:firstLineChars="800"/>
        <w:rPr>
          <w:rFonts w:asciiTheme="minorEastAsia" w:hAnsiTheme="minorEastAsia" w:eastAsiaTheme="minorEastAsia"/>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投标标文件，相应填写：</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技术标响应文件</w:t>
      </w:r>
    </w:p>
    <w:p>
      <w:pPr>
        <w:spacing w:line="420" w:lineRule="exact"/>
        <w:ind w:firstLine="5040" w:firstLine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价格标响应文件</w:t>
      </w:r>
    </w:p>
    <w:p>
      <w:pPr>
        <w:spacing w:line="420" w:lineRule="exact"/>
        <w:jc w:val="center"/>
        <w:rPr>
          <w:rFonts w:asciiTheme="minorEastAsia" w:hAnsiTheme="minorEastAsia" w:eastAsiaTheme="minorEastAsia"/>
          <w:b/>
          <w:sz w:val="24"/>
          <w:szCs w:val="24"/>
        </w:rPr>
      </w:pPr>
    </w:p>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w:t>
      </w: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00" w:lineRule="exact"/>
        <w:jc w:val="center"/>
        <w:rPr>
          <w:rFonts w:asciiTheme="minorEastAsia" w:hAnsiTheme="minorEastAsia" w:eastAsiaTheme="minorEastAsia"/>
          <w:sz w:val="32"/>
          <w:szCs w:val="32"/>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spacing w:line="420" w:lineRule="exact"/>
        <w:jc w:val="center"/>
        <w:rPr>
          <w:rFonts w:cs="宋体" w:asciiTheme="minorEastAsia" w:hAnsiTheme="minorEastAsia" w:eastAsiaTheme="minorEastAsia"/>
          <w:bCs/>
          <w:sz w:val="24"/>
          <w:szCs w:val="24"/>
        </w:rPr>
      </w:pPr>
    </w:p>
    <w:p>
      <w:pPr>
        <w:adjustRightInd w:val="0"/>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投标人：投标人全称</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spacing w:line="400" w:lineRule="exact"/>
        <w:jc w:val="center"/>
        <w:rPr>
          <w:rFonts w:asciiTheme="minorEastAsia" w:hAnsiTheme="minorEastAsia" w:eastAsiaTheme="minorEastAsia"/>
          <w:sz w:val="32"/>
          <w:szCs w:val="32"/>
        </w:rPr>
      </w:pPr>
    </w:p>
    <w:p>
      <w:pPr>
        <w:widowControl/>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adjustRightInd w:val="0"/>
        <w:snapToGrid w:val="0"/>
        <w:spacing w:line="420" w:lineRule="exact"/>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三、投标响应文件</w:t>
      </w: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r>
        <w:rPr>
          <w:rFonts w:hint="eastAsia" w:asciiTheme="minorEastAsia" w:hAnsiTheme="minorEastAsia" w:eastAsiaTheme="minorEastAsia"/>
          <w:sz w:val="24"/>
          <w:szCs w:val="24"/>
        </w:rPr>
        <w:t>（一个密封包，含一正二副文件）</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adjustRightInd w:val="0"/>
        <w:snapToGrid w:val="0"/>
        <w:spacing w:line="420" w:lineRule="exact"/>
        <w:jc w:val="left"/>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B.1、目录</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1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513"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 清单</w:t>
            </w:r>
          </w:p>
        </w:tc>
        <w:tc>
          <w:tcPr>
            <w:tcW w:w="1559"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自行判断有否提供（√）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7513" w:type="dxa"/>
            <w:vAlign w:val="center"/>
          </w:tcPr>
          <w:p>
            <w:pPr>
              <w:widowControl/>
              <w:adjustRightInd w:val="0"/>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投标人是制造商投标的，须提供营业执照原件的复印件（须加盖投标人公章）。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513" w:type="dxa"/>
            <w:vAlign w:val="center"/>
          </w:tcPr>
          <w:p>
            <w:pPr>
              <w:widowControl/>
              <w:adjustRightInd w:val="0"/>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投标人是代理商投标的，须提供代理商营业执照原件的复印件（须加盖投标人公章）</w:t>
            </w:r>
            <w:r>
              <w:rPr>
                <w:rFonts w:hint="eastAsia" w:asciiTheme="minorEastAsia" w:hAnsiTheme="minorEastAsia" w:eastAsiaTheme="minorEastAsia"/>
                <w:b/>
                <w:bCs/>
                <w:sz w:val="24"/>
                <w:szCs w:val="24"/>
              </w:rPr>
              <w:t>。</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投标人须提供参与本次项目采购活动前三年内，在经营活动中没有违法记录的书面《无违法记录承诺函》（须加盖公章）。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tc>
        <w:tc>
          <w:tcPr>
            <w:tcW w:w="1559" w:type="dxa"/>
            <w:vAlign w:val="center"/>
          </w:tcPr>
          <w:p>
            <w:pPr>
              <w:spacing w:line="420" w:lineRule="exact"/>
              <w:jc w:val="center"/>
              <w:rPr>
                <w:rFonts w:asciiTheme="minorEastAsia" w:hAnsiTheme="minorEastAsia" w:eastAsiaTheme="minorEastAsia"/>
                <w:sz w:val="24"/>
                <w:szCs w:val="24"/>
              </w:rPr>
            </w:pPr>
          </w:p>
        </w:tc>
      </w:tr>
    </w:tbl>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（加盖投标人公章）</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（1）以上由投标人填写，作为提供的资格后审资料包内的资料首页清单目录。</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（2）所有资格证明复印件、相关的格式文件及表格，须加盖公章装订成册，正本1份副本2份，供审查及留存！</w:t>
      </w:r>
    </w:p>
    <w:p>
      <w:pPr>
        <w:adjustRightInd w:val="0"/>
        <w:snapToGrid w:val="0"/>
        <w:spacing w:line="42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A.2、</w:t>
      </w:r>
      <w:r>
        <w:rPr>
          <w:rFonts w:asciiTheme="minorEastAsia" w:hAnsiTheme="minorEastAsia" w:eastAsiaTheme="minorEastAsia"/>
          <w:b/>
          <w:sz w:val="24"/>
          <w:szCs w:val="24"/>
        </w:rPr>
        <w:t>资格</w:t>
      </w:r>
      <w:r>
        <w:rPr>
          <w:rFonts w:hint="eastAsia" w:asciiTheme="minorEastAsia" w:hAnsiTheme="minorEastAsia" w:eastAsiaTheme="minorEastAsia"/>
          <w:b/>
          <w:sz w:val="24"/>
          <w:szCs w:val="24"/>
        </w:rPr>
        <w:t>后</w:t>
      </w:r>
      <w:r>
        <w:rPr>
          <w:rFonts w:asciiTheme="minorEastAsia" w:hAnsiTheme="minorEastAsia" w:eastAsiaTheme="minorEastAsia"/>
          <w:b/>
          <w:sz w:val="24"/>
          <w:szCs w:val="24"/>
        </w:rPr>
        <w:t>审</w:t>
      </w:r>
      <w:r>
        <w:rPr>
          <w:rFonts w:hint="eastAsia" w:asciiTheme="minorEastAsia" w:hAnsiTheme="minorEastAsia" w:eastAsiaTheme="minorEastAsia"/>
          <w:b/>
          <w:sz w:val="24"/>
          <w:szCs w:val="24"/>
        </w:rPr>
        <w:t>材料相关格式文件</w:t>
      </w:r>
    </w:p>
    <w:p>
      <w:pPr>
        <w:snapToGrid w:val="0"/>
        <w:spacing w:beforeLines="100"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、法定代表人身份证明</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南通市红旗机动车驾驶员培训有限责任公司：</w:t>
      </w: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先生／女士：</w:t>
      </w:r>
      <w:r>
        <w:rPr>
          <w:rFonts w:hint="eastAsia" w:asciiTheme="minorEastAsia" w:hAnsiTheme="minorEastAsia" w:eastAsiaTheme="minorEastAsia"/>
          <w:sz w:val="24"/>
          <w:szCs w:val="24"/>
        </w:rPr>
        <w:t>现任我单位</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职务，为法定代表人，特此证明。</w:t>
      </w:r>
    </w:p>
    <w:p>
      <w:pPr>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r>
        <w:rPr>
          <w:rFonts w:hint="eastAsia" w:asciiTheme="minorEastAsia" w:hAnsiTheme="minorEastAsia" w:eastAsiaTheme="minorEastAsia"/>
          <w:sz w:val="24"/>
          <w:szCs w:val="24"/>
          <w:u w:val="single"/>
        </w:rPr>
        <w:t xml:space="preserve">                       </w:t>
      </w:r>
    </w:p>
    <w:p>
      <w:pPr>
        <w:snapToGrid w:val="0"/>
        <w:spacing w:line="420" w:lineRule="exact"/>
        <w:jc w:val="center"/>
        <w:rPr>
          <w:rFonts w:asciiTheme="minorEastAsia" w:hAnsiTheme="minorEastAsia" w:eastAsiaTheme="minorEastAsia"/>
          <w:sz w:val="24"/>
          <w:szCs w:val="24"/>
        </w:rPr>
      </w:pP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注：提供法定代表人的身份证复印件并加盖公章</w:t>
      </w: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、法定代表人授权委托书</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南通市红旗机动车驾驶员培训有限责任公司</w:t>
      </w:r>
      <w:r>
        <w:rPr>
          <w:rFonts w:hint="eastAsia" w:asciiTheme="minorEastAsia" w:hAnsiTheme="minorEastAsia" w:eastAsiaTheme="minorEastAsia"/>
          <w:bCs/>
          <w:sz w:val="24"/>
          <w:szCs w:val="24"/>
        </w:rPr>
        <w:t>：</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（姓名）系</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（投标人名称）的法定代表人，现授权委托　　   （姓名）为我公司代理人，以本公司的名义参加本项目的投标活动。代理人在开标、评标、合同谈判过程中所签署的一切文件和处理与之有关的一切事务，我均予以承认。</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被委托受权人无转委权。</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特此委托。</w:t>
      </w:r>
    </w:p>
    <w:p>
      <w:pPr>
        <w:snapToGrid w:val="0"/>
        <w:spacing w:line="420" w:lineRule="exact"/>
        <w:ind w:firstLine="972" w:firstLineChars="405"/>
        <w:rPr>
          <w:rFonts w:asciiTheme="minorEastAsia" w:hAnsiTheme="minorEastAsia" w:eastAsiaTheme="minorEastAsia"/>
          <w:sz w:val="24"/>
          <w:szCs w:val="24"/>
        </w:rPr>
      </w:pP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被委托受权人身份证号：</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被委托受权人签字：</w:t>
      </w:r>
    </w:p>
    <w:p>
      <w:pPr>
        <w:snapToGrid w:val="0"/>
        <w:spacing w:line="420" w:lineRule="exact"/>
        <w:ind w:firstLine="484" w:firstLineChars="202"/>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snapToGrid w:val="0"/>
        <w:spacing w:line="420" w:lineRule="exact"/>
        <w:ind w:firstLine="484" w:firstLineChars="202"/>
        <w:jc w:val="right"/>
        <w:rPr>
          <w:rFonts w:asciiTheme="minorEastAsia" w:hAnsiTheme="minorEastAsia" w:eastAsiaTheme="minorEastAsia"/>
          <w:bCs/>
          <w:sz w:val="24"/>
          <w:szCs w:val="24"/>
        </w:rPr>
      </w:pPr>
      <w:r>
        <w:rPr>
          <w:rFonts w:hint="eastAsia" w:asciiTheme="minorEastAsia" w:hAnsiTheme="minorEastAsia" w:eastAsiaTheme="minorEastAsia"/>
          <w:bCs/>
          <w:sz w:val="24"/>
          <w:szCs w:val="24"/>
        </w:rPr>
        <w:t>年    月    日</w:t>
      </w:r>
    </w:p>
    <w:p>
      <w:pPr>
        <w:snapToGrid w:val="0"/>
        <w:spacing w:line="420" w:lineRule="exact"/>
        <w:ind w:firstLine="321" w:firstLineChars="13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注：提供被委托受权人的身份证复印件盖公章</w:t>
      </w:r>
    </w:p>
    <w:p>
      <w:pPr>
        <w:snapToGrid w:val="0"/>
        <w:spacing w:line="420" w:lineRule="exact"/>
        <w:ind w:firstLine="321" w:firstLineChars="134"/>
        <w:jc w:val="center"/>
        <w:rPr>
          <w:rFonts w:asciiTheme="minorEastAsia" w:hAnsiTheme="minorEastAsia" w:eastAsiaTheme="minorEastAsia"/>
          <w:sz w:val="24"/>
          <w:szCs w:val="24"/>
        </w:rPr>
      </w:pPr>
    </w:p>
    <w:p>
      <w:pPr>
        <w:spacing w:line="420" w:lineRule="exact"/>
        <w:rPr>
          <w:rFonts w:asciiTheme="minorEastAsia" w:hAnsiTheme="minorEastAsia" w:eastAsiaTheme="minorEastAsia"/>
          <w:sz w:val="24"/>
          <w:szCs w:val="24"/>
        </w:rPr>
      </w:pPr>
    </w:p>
    <w:p>
      <w:pPr>
        <w:snapToGrid w:val="0"/>
        <w:spacing w:line="420" w:lineRule="exact"/>
        <w:jc w:val="center"/>
        <w:outlineLvl w:val="3"/>
        <w:rPr>
          <w:rFonts w:asciiTheme="minorEastAsia" w:hAnsiTheme="minorEastAsia" w:eastAsiaTheme="minorEastAsia"/>
          <w:sz w:val="24"/>
          <w:szCs w:val="24"/>
        </w:rPr>
      </w:pPr>
      <w:r>
        <w:rPr>
          <w:rFonts w:hint="eastAsia" w:asciiTheme="minorEastAsia" w:hAnsiTheme="minorEastAsia" w:eastAsiaTheme="minorEastAsia"/>
          <w:b/>
          <w:bCs/>
          <w:sz w:val="24"/>
          <w:szCs w:val="24"/>
        </w:rPr>
        <w:t>3、关于资格文件的声明函</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南通市红旗机动车驾驶员培训有限责任公司</w:t>
      </w:r>
      <w:r>
        <w:rPr>
          <w:rFonts w:hint="eastAsia" w:asciiTheme="minorEastAsia" w:hAnsiTheme="minorEastAsia" w:eastAsiaTheme="minorEastAsia"/>
          <w:bCs/>
          <w:sz w:val="24"/>
          <w:szCs w:val="24"/>
        </w:rPr>
        <w:t>：</w:t>
      </w:r>
    </w:p>
    <w:p>
      <w:pPr>
        <w:overflowPunct w:val="0"/>
        <w:adjustRightInd w:val="0"/>
        <w:spacing w:line="420" w:lineRule="exact"/>
        <w:ind w:firstLine="66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本公司愿就由贵公司组织实施的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的招标活动进行投标。本公司所提交的投标文件中所有关于投标资格的文件、证明和陈述均是真实的、准确的。若与真实情况不符，本公司愿意承担由此而产生的一切后果。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（投标人）法定代表人或被委托受权人（签字或盖章）：</w:t>
      </w:r>
    </w:p>
    <w:p>
      <w:pPr>
        <w:overflowPunct w:val="0"/>
        <w:adjustRightInd w:val="0"/>
        <w:spacing w:line="420" w:lineRule="exact"/>
        <w:ind w:left="1700" w:firstLine="425"/>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（投标人）公章：               </w:t>
      </w:r>
    </w:p>
    <w:p>
      <w:pPr>
        <w:wordWrap w:val="0"/>
        <w:overflowPunct w:val="0"/>
        <w:adjustRightInd w:val="0"/>
        <w:spacing w:line="420" w:lineRule="exact"/>
        <w:ind w:firstLine="425"/>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snapToGrid w:val="0"/>
        <w:spacing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4、投标人一般情况</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10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企业名称</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地址</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当地</w:t>
            </w:r>
            <w:r>
              <w:rPr>
                <w:rFonts w:hint="eastAsia" w:asciiTheme="minorEastAsia" w:hAnsiTheme="minorEastAsia" w:eastAsiaTheme="minorEastAsia"/>
                <w:sz w:val="24"/>
                <w:szCs w:val="24"/>
              </w:rPr>
              <w:t>分支机构</w:t>
            </w:r>
            <w:r>
              <w:rPr>
                <w:rFonts w:asciiTheme="minorEastAsia" w:hAnsiTheme="minorEastAsia" w:eastAsiaTheme="minorEastAsia"/>
                <w:sz w:val="24"/>
                <w:szCs w:val="24"/>
              </w:rPr>
              <w:t>地址</w:t>
            </w:r>
            <w:r>
              <w:rPr>
                <w:rFonts w:hint="eastAsia" w:asciiTheme="minorEastAsia" w:hAnsiTheme="minorEastAsia" w:eastAsiaTheme="minorEastAsia"/>
                <w:sz w:val="24"/>
                <w:szCs w:val="24"/>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传真</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电子邮件</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注册地</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注册年份</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w:t>
            </w:r>
            <w:r>
              <w:rPr>
                <w:rFonts w:asciiTheme="minorEastAsia" w:hAnsiTheme="minorEastAsia" w:eastAsiaTheme="minorEastAsia"/>
                <w:sz w:val="24"/>
                <w:szCs w:val="24"/>
                <w:u w:val="single"/>
              </w:rPr>
              <w:t xml:space="preserve">   （是否通过，何种）   </w:t>
            </w:r>
            <w:r>
              <w:rPr>
                <w:rFonts w:asciiTheme="minorEastAsia" w:hAnsiTheme="minorEastAsia" w:eastAsiaTheme="minorEastAsia"/>
                <w:sz w:val="24"/>
                <w:szCs w:val="24"/>
              </w:rPr>
              <w:t>质量保证体系认证（如通过请附相关证书复印件）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经</w:t>
            </w:r>
            <w:r>
              <w:rPr>
                <w:rFonts w:asciiTheme="minorEastAsia" w:hAnsiTheme="minorEastAsia" w:eastAsiaTheme="minorEastAsia"/>
                <w:sz w:val="24"/>
                <w:szCs w:val="24"/>
              </w:rPr>
              <w:t>营范围</w:t>
            </w:r>
            <w:r>
              <w:rPr>
                <w:rFonts w:hint="eastAsia" w:asciiTheme="minorEastAsia" w:hAnsiTheme="minorEastAsia" w:eastAsiaTheme="minorEastAsia"/>
                <w:sz w:val="24"/>
                <w:szCs w:val="24"/>
              </w:rPr>
              <w:t>：</w:t>
            </w:r>
          </w:p>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1.</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；2.</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投标人从事投标项目的</w:t>
            </w:r>
            <w:r>
              <w:rPr>
                <w:rFonts w:asciiTheme="minorEastAsia" w:hAnsiTheme="minorEastAsia" w:eastAsiaTheme="minorEastAsia"/>
                <w:sz w:val="24"/>
                <w:szCs w:val="24"/>
              </w:rPr>
              <w:t>年数</w:t>
            </w:r>
          </w:p>
        </w:tc>
        <w:tc>
          <w:tcPr>
            <w:tcW w:w="3543" w:type="dxa"/>
            <w:vAlign w:val="center"/>
          </w:tcPr>
          <w:p>
            <w:pPr>
              <w:tabs>
                <w:tab w:val="left" w:pos="993"/>
              </w:tabs>
              <w:spacing w:line="42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其他需要说明的情况</w:t>
            </w:r>
            <w:r>
              <w:rPr>
                <w:rFonts w:hint="eastAsia" w:asciiTheme="minorEastAsia" w:hAnsiTheme="minorEastAsia" w:eastAsiaTheme="minorEastAsia"/>
                <w:sz w:val="24"/>
                <w:szCs w:val="24"/>
              </w:rPr>
              <w:t>，可自行添加</w:t>
            </w:r>
          </w:p>
        </w:tc>
      </w:tr>
    </w:tbl>
    <w:p>
      <w:pPr>
        <w:pStyle w:val="7"/>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 xml:space="preserve">投标人：（盖章）             </w:t>
      </w:r>
    </w:p>
    <w:p>
      <w:pPr>
        <w:pStyle w:val="7"/>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法定代表人或被委托受权人（签字）：</w:t>
      </w:r>
    </w:p>
    <w:p>
      <w:pPr>
        <w:pStyle w:val="7"/>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日期：</w:t>
      </w:r>
    </w:p>
    <w:p>
      <w:pPr>
        <w:adjustRightInd w:val="0"/>
        <w:snapToGrid w:val="0"/>
        <w:spacing w:line="420" w:lineRule="exact"/>
        <w:ind w:left="1159" w:leftChars="1" w:hanging="1156" w:hangingChars="48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注：本表不是格式化表格，投标人可根据需要，自行添加删除。</w:t>
      </w: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技术招标响应文件</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w:t>
      </w:r>
      <w:r>
        <w:rPr>
          <w:rFonts w:hint="eastAsia" w:asciiTheme="minorEastAsia" w:hAnsiTheme="minorEastAsia" w:eastAsiaTheme="minorEastAsia"/>
          <w:sz w:val="24"/>
          <w:szCs w:val="24"/>
          <w:u w:color="FF0000"/>
        </w:rPr>
        <w:t>投标人应根据本标书第三章“项目需求”提供的主要技术规范要求和服务标准等，仔细阅读并在理解的基础上</w:t>
      </w:r>
      <w:r>
        <w:rPr>
          <w:rFonts w:hint="eastAsia" w:asciiTheme="minorEastAsia" w:hAnsiTheme="minorEastAsia" w:eastAsiaTheme="minorEastAsia"/>
          <w:sz w:val="24"/>
          <w:szCs w:val="24"/>
          <w:u w:val="thick" w:color="FF0000"/>
        </w:rPr>
        <w:t>结合第四章评审方法内的评审细则</w:t>
      </w:r>
      <w:r>
        <w:rPr>
          <w:rFonts w:hint="eastAsia" w:asciiTheme="minorEastAsia" w:hAnsiTheme="minorEastAsia" w:eastAsiaTheme="minorEastAsia"/>
          <w:sz w:val="24"/>
          <w:szCs w:val="24"/>
          <w:u w:color="FF0000"/>
        </w:rPr>
        <w:t>，编写编制技术响应文件</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color="FF0000"/>
        </w:rPr>
        <w:t>以下技术标响应文件的内容，不得有缺项或漏项，否则将有可能被视为未实质性响应招标文件要求而作无效投标处理，或可能直接影响技术标评审的得分。</w:t>
      </w:r>
    </w:p>
    <w:p>
      <w:pPr>
        <w:snapToGrid w:val="0"/>
        <w:spacing w:beforeLines="100"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投标</w:t>
      </w:r>
      <w:r>
        <w:rPr>
          <w:rFonts w:asciiTheme="minorEastAsia" w:hAnsiTheme="minorEastAsia" w:eastAsiaTheme="minorEastAsia"/>
          <w:b/>
          <w:bCs/>
          <w:sz w:val="24"/>
          <w:szCs w:val="24"/>
        </w:rPr>
        <w:t>响应函</w:t>
      </w:r>
    </w:p>
    <w:p>
      <w:pPr>
        <w:snapToGrid w:val="0"/>
        <w:spacing w:beforeLines="100" w:afterLines="100"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南通市红旗机动车驾驶员培训有限责任公司</w:t>
      </w:r>
      <w:r>
        <w:rPr>
          <w:rFonts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依据贵单位</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项目名称)项目</w:t>
      </w:r>
      <w:r>
        <w:rPr>
          <w:rFonts w:hint="eastAsia" w:asciiTheme="minorEastAsia" w:hAnsiTheme="minorEastAsia" w:eastAsiaTheme="minorEastAsia"/>
          <w:sz w:val="24"/>
          <w:szCs w:val="24"/>
        </w:rPr>
        <w:t>公开招标</w:t>
      </w:r>
      <w:r>
        <w:rPr>
          <w:rFonts w:asciiTheme="minorEastAsia" w:hAnsiTheme="minorEastAsia" w:eastAsiaTheme="minorEastAsia"/>
          <w:sz w:val="24"/>
          <w:szCs w:val="24"/>
        </w:rPr>
        <w:t>的邀请，我方授权</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（姓名）</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（职务）为全权代表参加该项目的投标工作，全权处理本次</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的有关事宜。同时，我公司声明如下：</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我方愿意按照招标文件的一切要求，提供完成该项目的全部内容，我方的投标总价是根据招标文件所确定的南通市红旗机动车驾驶员培训有限责任公司清障车采购项目外包范围内的全部工作人员和内容的价格体现，是为完成招标文件规定的工作所涉及到的一切费用。包括但不限于货物的制造（采购）、运输、装卸、安装调试、检测、验收、技术培训、售后服务等所有相关费用以及投标人企业利润、税费、招标代理服务费等全部费用和政策性文件规定及合同包含的所有风险、责任等各项应有费用。</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2、我方已经详细审查了全部招标文件，我方已完全清晰理解招标文件的要求，不存在任何含糊不清和误解之处，同意放弃对这些文件所提出的异议和质疑的权利。</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3、我方愿意提供招标文件中要求的所有资料。承诺所有资料文件无论是原件还是复印件均真实有效，绝无任何虚假、伪造和夸大的成份。否则，愿承担相应的后果和法律责任。</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4、我方提供的投标文件从接收截止之日算起，45个日历天内有效。</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、我方尊重评审小组所作的评定结果，认为你方有权决定中标人，还认为你方有权接受或拒绝所有的投标人，同时也清楚理解到投标报价最低并非意味着必定获得中标资格。</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、我方愿意按招标文件的规定交纳投标保证金，并同意投标人须知中关于没收投标保证金的规定。</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、一旦我方中标，我方将根据招标文件的规定，严格履行招标文件中规定的每一项要求，按期、按质、按量履行合同的义务。</w:t>
      </w:r>
    </w:p>
    <w:p>
      <w:pPr>
        <w:snapToGrid w:val="0"/>
        <w:spacing w:line="420" w:lineRule="exact"/>
        <w:ind w:firstLine="480" w:firstLineChars="200"/>
        <w:rPr>
          <w:rFonts w:asciiTheme="minorEastAsia" w:hAnsiTheme="minorEastAsia" w:eastAsiaTheme="minorEastAsia"/>
          <w:sz w:val="24"/>
          <w:szCs w:val="24"/>
        </w:rPr>
      </w:pPr>
    </w:p>
    <w:p>
      <w:pPr>
        <w:snapToGrid w:val="0"/>
        <w:spacing w:line="420" w:lineRule="exact"/>
        <w:ind w:firstLine="2400" w:firstLineChars="10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（加盖公章）</w:t>
      </w:r>
    </w:p>
    <w:p>
      <w:pPr>
        <w:snapToGrid w:val="0"/>
        <w:spacing w:line="420" w:lineRule="exact"/>
        <w:ind w:firstLine="2400" w:firstLineChars="1000"/>
        <w:jc w:val="righ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（签字）</w:t>
      </w:r>
    </w:p>
    <w:p>
      <w:pPr>
        <w:snapToGrid w:val="0"/>
        <w:spacing w:line="4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spacing w:line="420" w:lineRule="exact"/>
        <w:jc w:val="center"/>
        <w:outlineLvl w:val="3"/>
        <w:rPr>
          <w:rFonts w:asciiTheme="minorEastAsia" w:hAnsiTheme="minorEastAsia" w:eastAsiaTheme="minorEastAsia"/>
          <w:b/>
          <w:sz w:val="24"/>
          <w:szCs w:val="24"/>
        </w:rPr>
      </w:pPr>
    </w:p>
    <w:p>
      <w:pPr>
        <w:overflowPunct w:val="0"/>
        <w:adjustRightInd w:val="0"/>
        <w:spacing w:line="420" w:lineRule="exact"/>
        <w:ind w:left="1700" w:firstLine="425"/>
        <w:jc w:val="left"/>
        <w:textAlignment w:val="baseline"/>
        <w:rPr>
          <w:rFonts w:ascii="宋体" w:hAnsi="宋体" w:eastAsia="宋体"/>
          <w:sz w:val="24"/>
          <w:szCs w:val="24"/>
        </w:rPr>
      </w:pPr>
      <w:r>
        <w:rPr>
          <w:rFonts w:hint="eastAsia" w:ascii="宋体" w:hAnsi="宋体" w:eastAsia="宋体"/>
          <w:sz w:val="24"/>
          <w:szCs w:val="24"/>
        </w:rPr>
        <w:t xml:space="preserve">       </w:t>
      </w:r>
    </w:p>
    <w:p>
      <w:pPr>
        <w:snapToGrid w:val="0"/>
        <w:spacing w:line="500" w:lineRule="exact"/>
        <w:jc w:val="center"/>
        <w:outlineLvl w:val="2"/>
        <w:rPr>
          <w:rFonts w:ascii="宋体" w:hAnsi="宋体" w:eastAsia="宋体"/>
          <w:b/>
          <w:sz w:val="24"/>
          <w:szCs w:val="21"/>
        </w:rPr>
      </w:pPr>
      <w:r>
        <w:rPr>
          <w:rFonts w:hint="eastAsia" w:ascii="宋体" w:hAnsi="宋体" w:eastAsia="宋体"/>
          <w:b/>
          <w:sz w:val="24"/>
          <w:szCs w:val="21"/>
        </w:rPr>
        <w:t>2、</w:t>
      </w:r>
      <w:r>
        <w:rPr>
          <w:rFonts w:ascii="宋体" w:hAnsi="宋体" w:eastAsia="宋体"/>
          <w:b/>
          <w:sz w:val="24"/>
          <w:szCs w:val="21"/>
        </w:rPr>
        <w:t>技术条款响应一览表</w:t>
      </w:r>
    </w:p>
    <w:tbl>
      <w:tblPr>
        <w:tblStyle w:val="5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277"/>
        <w:gridCol w:w="1456"/>
        <w:gridCol w:w="1750"/>
        <w:gridCol w:w="2335"/>
        <w:gridCol w:w="1401"/>
        <w:gridCol w:w="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408" w:type="pct"/>
            <w:tcBorders>
              <w:top w:val="single" w:color="auto" w:sz="12" w:space="0"/>
              <w:left w:val="single" w:color="auto" w:sz="12" w:space="0"/>
              <w:bottom w:val="single" w:color="auto" w:sz="4" w:space="0"/>
              <w:right w:val="single" w:color="auto" w:sz="4" w:space="0"/>
            </w:tcBorders>
            <w:vAlign w:val="center"/>
          </w:tcPr>
          <w:p>
            <w:pPr>
              <w:spacing w:line="500" w:lineRule="exact"/>
              <w:jc w:val="center"/>
              <w:rPr>
                <w:rFonts w:ascii="宋体" w:hAnsi="宋体" w:eastAsia="宋体"/>
                <w:sz w:val="24"/>
                <w:szCs w:val="21"/>
              </w:rPr>
            </w:pPr>
            <w:r>
              <w:rPr>
                <w:rFonts w:ascii="宋体" w:hAnsi="宋体" w:eastAsia="宋体"/>
                <w:sz w:val="24"/>
                <w:szCs w:val="21"/>
              </w:rPr>
              <w:t>序号</w:t>
            </w:r>
          </w:p>
        </w:tc>
        <w:tc>
          <w:tcPr>
            <w:tcW w:w="648" w:type="pct"/>
            <w:tcBorders>
              <w:top w:val="single" w:color="auto" w:sz="12"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r>
              <w:rPr>
                <w:rFonts w:ascii="宋体" w:hAnsi="宋体" w:eastAsia="宋体"/>
                <w:sz w:val="24"/>
                <w:szCs w:val="21"/>
              </w:rPr>
              <w:t>货物名称</w:t>
            </w:r>
          </w:p>
        </w:tc>
        <w:tc>
          <w:tcPr>
            <w:tcW w:w="739" w:type="pct"/>
            <w:tcBorders>
              <w:top w:val="single" w:color="auto" w:sz="12"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r>
              <w:rPr>
                <w:rFonts w:ascii="宋体" w:hAnsi="宋体" w:eastAsia="宋体"/>
                <w:sz w:val="24"/>
                <w:szCs w:val="21"/>
              </w:rPr>
              <w:t>所投</w:t>
            </w:r>
          </w:p>
          <w:p>
            <w:pPr>
              <w:spacing w:line="500" w:lineRule="exact"/>
              <w:jc w:val="center"/>
              <w:rPr>
                <w:rFonts w:ascii="宋体" w:hAnsi="宋体" w:eastAsia="宋体"/>
                <w:dstrike/>
                <w:sz w:val="24"/>
                <w:szCs w:val="21"/>
              </w:rPr>
            </w:pPr>
            <w:r>
              <w:rPr>
                <w:rFonts w:ascii="宋体" w:hAnsi="宋体" w:eastAsia="宋体"/>
                <w:sz w:val="24"/>
                <w:szCs w:val="21"/>
              </w:rPr>
              <w:t>品牌型号</w:t>
            </w:r>
          </w:p>
        </w:tc>
        <w:tc>
          <w:tcPr>
            <w:tcW w:w="888" w:type="pct"/>
            <w:tcBorders>
              <w:top w:val="single" w:color="auto" w:sz="12"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r>
              <w:rPr>
                <w:rFonts w:ascii="宋体" w:hAnsi="宋体" w:eastAsia="宋体"/>
                <w:sz w:val="24"/>
                <w:szCs w:val="21"/>
              </w:rPr>
              <w:t>招标文件</w:t>
            </w:r>
          </w:p>
          <w:p>
            <w:pPr>
              <w:spacing w:line="500" w:lineRule="exact"/>
              <w:jc w:val="center"/>
              <w:rPr>
                <w:rFonts w:ascii="宋体" w:hAnsi="宋体" w:eastAsia="宋体"/>
                <w:sz w:val="24"/>
                <w:szCs w:val="21"/>
              </w:rPr>
            </w:pPr>
            <w:r>
              <w:rPr>
                <w:rFonts w:ascii="宋体" w:hAnsi="宋体" w:eastAsia="宋体"/>
                <w:sz w:val="24"/>
                <w:szCs w:val="21"/>
              </w:rPr>
              <w:t>设备参数要求</w:t>
            </w:r>
          </w:p>
        </w:tc>
        <w:tc>
          <w:tcPr>
            <w:tcW w:w="1185" w:type="pct"/>
            <w:tcBorders>
              <w:top w:val="single" w:color="auto" w:sz="12"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r>
              <w:rPr>
                <w:rFonts w:ascii="宋体" w:hAnsi="宋体" w:eastAsia="宋体"/>
                <w:sz w:val="24"/>
                <w:szCs w:val="21"/>
              </w:rPr>
              <w:t>所投设备</w:t>
            </w:r>
          </w:p>
          <w:p>
            <w:pPr>
              <w:spacing w:line="500" w:lineRule="exact"/>
              <w:jc w:val="center"/>
              <w:rPr>
                <w:rFonts w:ascii="宋体" w:hAnsi="宋体" w:eastAsia="宋体"/>
                <w:sz w:val="24"/>
                <w:szCs w:val="21"/>
              </w:rPr>
            </w:pPr>
            <w:r>
              <w:rPr>
                <w:rFonts w:ascii="宋体" w:hAnsi="宋体" w:eastAsia="宋体"/>
                <w:sz w:val="24"/>
                <w:szCs w:val="21"/>
              </w:rPr>
              <w:t>技术响应参数</w:t>
            </w:r>
          </w:p>
        </w:tc>
        <w:tc>
          <w:tcPr>
            <w:tcW w:w="711" w:type="pct"/>
            <w:tcBorders>
              <w:top w:val="single" w:color="auto" w:sz="12"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r>
              <w:rPr>
                <w:rFonts w:ascii="宋体" w:hAnsi="宋体" w:eastAsia="宋体"/>
                <w:sz w:val="24"/>
                <w:szCs w:val="21"/>
              </w:rPr>
              <w:t>偏离/响应</w:t>
            </w:r>
          </w:p>
        </w:tc>
        <w:tc>
          <w:tcPr>
            <w:tcW w:w="421" w:type="pct"/>
            <w:tcBorders>
              <w:top w:val="single" w:color="auto" w:sz="12" w:space="0"/>
              <w:left w:val="single" w:color="auto" w:sz="4" w:space="0"/>
              <w:bottom w:val="single" w:color="auto" w:sz="4" w:space="0"/>
              <w:right w:val="single" w:color="auto" w:sz="12" w:space="0"/>
            </w:tcBorders>
            <w:vAlign w:val="center"/>
          </w:tcPr>
          <w:p>
            <w:pPr>
              <w:spacing w:line="500" w:lineRule="exact"/>
              <w:jc w:val="center"/>
              <w:rPr>
                <w:rFonts w:ascii="宋体" w:hAnsi="宋体" w:eastAsia="宋体"/>
                <w:sz w:val="24"/>
                <w:szCs w:val="21"/>
              </w:rPr>
            </w:pPr>
            <w:r>
              <w:rPr>
                <w:rFonts w:ascii="宋体" w:hAnsi="宋体" w:eastAsia="宋体"/>
                <w:sz w:val="24"/>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4" w:space="0"/>
              <w:right w:val="single" w:color="auto" w:sz="12" w:space="0"/>
            </w:tcBorders>
            <w:vAlign w:val="center"/>
          </w:tcPr>
          <w:p>
            <w:pPr>
              <w:spacing w:line="500" w:lineRule="exact"/>
              <w:jc w:val="center"/>
              <w:rPr>
                <w:rFonts w:ascii="宋体" w:hAnsi="宋体" w:eastAsia="宋体"/>
                <w:sz w:val="24"/>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08" w:type="pct"/>
            <w:tcBorders>
              <w:top w:val="single" w:color="auto" w:sz="4" w:space="0"/>
              <w:left w:val="single" w:color="auto" w:sz="12" w:space="0"/>
              <w:bottom w:val="single" w:color="auto" w:sz="12" w:space="0"/>
              <w:right w:val="single" w:color="auto" w:sz="4" w:space="0"/>
            </w:tcBorders>
          </w:tcPr>
          <w:p>
            <w:pPr>
              <w:spacing w:line="500" w:lineRule="exact"/>
              <w:jc w:val="center"/>
              <w:rPr>
                <w:rFonts w:ascii="宋体" w:hAnsi="宋体" w:eastAsia="宋体"/>
                <w:sz w:val="24"/>
                <w:szCs w:val="21"/>
              </w:rPr>
            </w:pPr>
            <w:r>
              <w:rPr>
                <w:rFonts w:ascii="宋体" w:hAnsi="宋体" w:eastAsia="宋体"/>
                <w:sz w:val="24"/>
                <w:szCs w:val="21"/>
              </w:rPr>
              <w:t>……</w:t>
            </w:r>
          </w:p>
        </w:tc>
        <w:tc>
          <w:tcPr>
            <w:tcW w:w="648" w:type="pct"/>
            <w:tcBorders>
              <w:top w:val="single" w:color="auto" w:sz="4" w:space="0"/>
              <w:left w:val="single" w:color="auto" w:sz="4" w:space="0"/>
              <w:bottom w:val="single" w:color="auto" w:sz="12" w:space="0"/>
              <w:right w:val="single" w:color="auto" w:sz="4" w:space="0"/>
            </w:tcBorders>
            <w:vAlign w:val="center"/>
          </w:tcPr>
          <w:p>
            <w:pPr>
              <w:spacing w:line="500" w:lineRule="exact"/>
              <w:jc w:val="center"/>
              <w:rPr>
                <w:rFonts w:ascii="宋体" w:hAnsi="宋体" w:eastAsia="宋体"/>
                <w:sz w:val="24"/>
                <w:szCs w:val="21"/>
              </w:rPr>
            </w:pPr>
          </w:p>
        </w:tc>
        <w:tc>
          <w:tcPr>
            <w:tcW w:w="739" w:type="pct"/>
            <w:tcBorders>
              <w:top w:val="single" w:color="auto" w:sz="4" w:space="0"/>
              <w:left w:val="single" w:color="auto" w:sz="4" w:space="0"/>
              <w:bottom w:val="single" w:color="auto" w:sz="12" w:space="0"/>
              <w:right w:val="single" w:color="auto" w:sz="4" w:space="0"/>
            </w:tcBorders>
          </w:tcPr>
          <w:p>
            <w:pPr>
              <w:spacing w:line="500" w:lineRule="exact"/>
              <w:jc w:val="center"/>
              <w:rPr>
                <w:rFonts w:ascii="宋体" w:hAnsi="宋体" w:eastAsia="宋体"/>
                <w:sz w:val="24"/>
                <w:szCs w:val="21"/>
              </w:rPr>
            </w:pPr>
          </w:p>
        </w:tc>
        <w:tc>
          <w:tcPr>
            <w:tcW w:w="888" w:type="pct"/>
            <w:tcBorders>
              <w:top w:val="single" w:color="auto" w:sz="4" w:space="0"/>
              <w:left w:val="single" w:color="auto" w:sz="4" w:space="0"/>
              <w:bottom w:val="single" w:color="auto" w:sz="12" w:space="0"/>
              <w:right w:val="single" w:color="auto" w:sz="4" w:space="0"/>
            </w:tcBorders>
            <w:vAlign w:val="center"/>
          </w:tcPr>
          <w:p>
            <w:pPr>
              <w:spacing w:line="500" w:lineRule="exact"/>
              <w:jc w:val="center"/>
              <w:rPr>
                <w:rFonts w:ascii="宋体" w:hAnsi="宋体" w:eastAsia="宋体"/>
                <w:sz w:val="24"/>
                <w:szCs w:val="21"/>
              </w:rPr>
            </w:pPr>
          </w:p>
        </w:tc>
        <w:tc>
          <w:tcPr>
            <w:tcW w:w="1185" w:type="pct"/>
            <w:tcBorders>
              <w:top w:val="single" w:color="auto" w:sz="4" w:space="0"/>
              <w:left w:val="single" w:color="auto" w:sz="4" w:space="0"/>
              <w:bottom w:val="single" w:color="auto" w:sz="12" w:space="0"/>
              <w:right w:val="single" w:color="auto" w:sz="4" w:space="0"/>
            </w:tcBorders>
            <w:vAlign w:val="center"/>
          </w:tcPr>
          <w:p>
            <w:pPr>
              <w:spacing w:line="500" w:lineRule="exact"/>
              <w:jc w:val="center"/>
              <w:rPr>
                <w:rFonts w:ascii="宋体" w:hAnsi="宋体" w:eastAsia="宋体"/>
                <w:sz w:val="24"/>
                <w:szCs w:val="21"/>
              </w:rPr>
            </w:pPr>
          </w:p>
        </w:tc>
        <w:tc>
          <w:tcPr>
            <w:tcW w:w="711" w:type="pct"/>
            <w:tcBorders>
              <w:top w:val="single" w:color="auto" w:sz="4" w:space="0"/>
              <w:left w:val="single" w:color="auto" w:sz="4" w:space="0"/>
              <w:bottom w:val="single" w:color="auto" w:sz="12" w:space="0"/>
              <w:right w:val="single" w:color="auto" w:sz="4" w:space="0"/>
            </w:tcBorders>
            <w:vAlign w:val="center"/>
          </w:tcPr>
          <w:p>
            <w:pPr>
              <w:spacing w:line="500" w:lineRule="exact"/>
              <w:jc w:val="center"/>
              <w:rPr>
                <w:rFonts w:ascii="宋体" w:hAnsi="宋体" w:eastAsia="宋体"/>
                <w:sz w:val="24"/>
                <w:szCs w:val="21"/>
              </w:rPr>
            </w:pPr>
          </w:p>
        </w:tc>
        <w:tc>
          <w:tcPr>
            <w:tcW w:w="421" w:type="pct"/>
            <w:tcBorders>
              <w:top w:val="single" w:color="auto" w:sz="4" w:space="0"/>
              <w:left w:val="single" w:color="auto" w:sz="4" w:space="0"/>
              <w:bottom w:val="single" w:color="auto" w:sz="12" w:space="0"/>
              <w:right w:val="single" w:color="auto" w:sz="12" w:space="0"/>
            </w:tcBorders>
            <w:vAlign w:val="center"/>
          </w:tcPr>
          <w:p>
            <w:pPr>
              <w:spacing w:line="500" w:lineRule="exact"/>
              <w:jc w:val="center"/>
              <w:rPr>
                <w:rFonts w:ascii="宋体" w:hAnsi="宋体" w:eastAsia="宋体"/>
                <w:sz w:val="24"/>
                <w:szCs w:val="21"/>
              </w:rPr>
            </w:pPr>
          </w:p>
        </w:tc>
      </w:tr>
    </w:tbl>
    <w:p>
      <w:pPr>
        <w:spacing w:line="360" w:lineRule="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1、投标供应商必须响应招标文件中针对招标货物提出的全部技术规格与要求。</w:t>
      </w:r>
    </w:p>
    <w:p>
      <w:pPr>
        <w:spacing w:line="360" w:lineRule="auto"/>
        <w:ind w:firstLine="480" w:firstLineChars="200"/>
        <w:rPr>
          <w:rFonts w:ascii="宋体" w:hAnsi="宋体" w:eastAsia="宋体"/>
          <w:sz w:val="24"/>
          <w:szCs w:val="24"/>
        </w:rPr>
      </w:pPr>
      <w:r>
        <w:rPr>
          <w:rFonts w:ascii="宋体" w:hAnsi="宋体" w:eastAsia="宋体"/>
          <w:sz w:val="24"/>
          <w:szCs w:val="24"/>
        </w:rPr>
        <w:t>2、投标供应商应对照招标文件第三章项目需求内的要求，逐一填写</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3、投标人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投标人提供的货物和服务同采购单位提出的项目需求说明中的技术要求不同的，必须在《技术响应一览表》上明示，如不明示的视同完全响应。</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4、该表不作为投标供应商对所投标的物关于技术要求等详细描述和说明的替代。</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5、投标供应商如果虚假响应，将承担一切可能的风险。</w:t>
      </w:r>
    </w:p>
    <w:p>
      <w:pPr>
        <w:snapToGrid w:val="0"/>
        <w:spacing w:line="360" w:lineRule="auto"/>
        <w:ind w:firstLine="480" w:firstLineChars="200"/>
        <w:contextualSpacing/>
        <w:rPr>
          <w:rFonts w:ascii="宋体" w:hAnsi="宋体" w:eastAsia="宋体"/>
          <w:sz w:val="24"/>
          <w:szCs w:val="24"/>
        </w:rPr>
      </w:pPr>
      <w:r>
        <w:rPr>
          <w:rFonts w:ascii="宋体" w:hAnsi="宋体" w:eastAsia="宋体"/>
          <w:sz w:val="24"/>
          <w:szCs w:val="24"/>
        </w:rPr>
        <w:t>6、投标供应商若提供其他增值服务，可以在表中自行据实填写。</w:t>
      </w:r>
    </w:p>
    <w:p>
      <w:pPr>
        <w:snapToGrid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7、所投品牌型号，必须确定、唯一。</w:t>
      </w:r>
    </w:p>
    <w:p>
      <w:pPr>
        <w:pStyle w:val="56"/>
        <w:ind w:firstLine="480"/>
      </w:pPr>
    </w:p>
    <w:p>
      <w:pPr>
        <w:pStyle w:val="56"/>
        <w:ind w:firstLine="480"/>
      </w:pPr>
    </w:p>
    <w:p>
      <w:pPr>
        <w:spacing w:line="500" w:lineRule="exact"/>
        <w:ind w:firstLine="480" w:firstLineChars="200"/>
        <w:contextualSpacing/>
        <w:rPr>
          <w:rFonts w:ascii="宋体" w:hAnsi="宋体" w:eastAsia="宋体"/>
          <w:sz w:val="24"/>
          <w:szCs w:val="21"/>
        </w:rPr>
      </w:pPr>
      <w:r>
        <w:rPr>
          <w:rFonts w:ascii="宋体" w:hAnsi="宋体" w:eastAsia="宋体"/>
          <w:sz w:val="24"/>
          <w:szCs w:val="21"/>
        </w:rPr>
        <w:t xml:space="preserve">             </w:t>
      </w:r>
      <w:r>
        <w:rPr>
          <w:rFonts w:hint="eastAsia" w:ascii="宋体" w:hAnsi="宋体" w:eastAsia="宋体"/>
          <w:sz w:val="24"/>
          <w:szCs w:val="21"/>
        </w:rPr>
        <w:t xml:space="preserve">          </w:t>
      </w:r>
      <w:r>
        <w:rPr>
          <w:rFonts w:ascii="宋体" w:hAnsi="宋体" w:eastAsia="宋体"/>
          <w:sz w:val="24"/>
          <w:szCs w:val="21"/>
        </w:rPr>
        <w:t>投标供应商：</w:t>
      </w:r>
      <w:r>
        <w:rPr>
          <w:rFonts w:ascii="宋体" w:hAnsi="宋体" w:eastAsia="宋体"/>
          <w:sz w:val="24"/>
          <w:szCs w:val="21"/>
          <w:u w:val="single"/>
        </w:rPr>
        <w:t xml:space="preserve">                    </w:t>
      </w:r>
      <w:r>
        <w:rPr>
          <w:rFonts w:ascii="宋体" w:hAnsi="宋体" w:eastAsia="宋体"/>
          <w:sz w:val="24"/>
          <w:szCs w:val="21"/>
        </w:rPr>
        <w:t>（加盖公章）</w:t>
      </w:r>
    </w:p>
    <w:p>
      <w:pPr>
        <w:spacing w:line="500" w:lineRule="exact"/>
        <w:ind w:firstLine="480" w:firstLineChars="200"/>
        <w:contextualSpacing/>
        <w:rPr>
          <w:rFonts w:ascii="宋体" w:hAnsi="宋体" w:eastAsia="宋体"/>
          <w:sz w:val="24"/>
          <w:szCs w:val="21"/>
        </w:rPr>
      </w:pPr>
      <w:r>
        <w:rPr>
          <w:rFonts w:hint="eastAsia" w:ascii="宋体" w:hAnsi="宋体" w:eastAsia="宋体"/>
          <w:sz w:val="24"/>
          <w:szCs w:val="21"/>
        </w:rPr>
        <w:t xml:space="preserve">                       </w:t>
      </w:r>
      <w:r>
        <w:rPr>
          <w:rFonts w:ascii="宋体" w:hAnsi="宋体" w:eastAsia="宋体"/>
          <w:sz w:val="24"/>
          <w:szCs w:val="21"/>
        </w:rPr>
        <w:t>法定代表人或被授权人：</w:t>
      </w:r>
      <w:r>
        <w:rPr>
          <w:rFonts w:ascii="宋体" w:hAnsi="宋体" w:eastAsia="宋体"/>
          <w:sz w:val="24"/>
          <w:szCs w:val="21"/>
          <w:u w:val="single"/>
        </w:rPr>
        <w:t xml:space="preserve">         </w:t>
      </w:r>
      <w:r>
        <w:rPr>
          <w:rFonts w:ascii="宋体" w:hAnsi="宋体" w:eastAsia="宋体"/>
          <w:sz w:val="24"/>
          <w:szCs w:val="21"/>
        </w:rPr>
        <w:t>（签字或盖章）</w:t>
      </w:r>
    </w:p>
    <w:p>
      <w:pPr>
        <w:spacing w:line="500" w:lineRule="exact"/>
        <w:ind w:firstLine="480" w:firstLineChars="200"/>
        <w:contextualSpacing/>
        <w:jc w:val="center"/>
        <w:rPr>
          <w:rFonts w:ascii="宋体" w:hAnsi="宋体" w:eastAsia="宋体"/>
          <w:sz w:val="24"/>
          <w:szCs w:val="21"/>
        </w:rPr>
      </w:pPr>
      <w:r>
        <w:rPr>
          <w:rFonts w:hint="eastAsia" w:ascii="宋体" w:hAnsi="宋体" w:eastAsia="宋体"/>
          <w:sz w:val="24"/>
          <w:szCs w:val="21"/>
        </w:rPr>
        <w:t xml:space="preserve">                                           </w:t>
      </w:r>
      <w:r>
        <w:rPr>
          <w:rFonts w:ascii="宋体" w:hAnsi="宋体" w:eastAsia="宋体"/>
          <w:sz w:val="24"/>
          <w:szCs w:val="21"/>
        </w:rPr>
        <w:t>年    月    日</w:t>
      </w:r>
    </w:p>
    <w:p>
      <w:pPr>
        <w:spacing w:line="420" w:lineRule="exact"/>
        <w:ind w:firstLine="487" w:firstLineChars="202"/>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3、招标文件第四章评审程序和方法要求提交的其它材料</w:t>
      </w:r>
    </w:p>
    <w:p>
      <w:pPr>
        <w:pStyle w:val="21"/>
        <w:rPr>
          <w:rFonts w:asciiTheme="minorEastAsia" w:hAnsiTheme="minorEastAsia" w:eastAsiaTheme="minorEastAsia"/>
        </w:rPr>
      </w:pPr>
    </w:p>
    <w:p>
      <w:pPr>
        <w:snapToGrid w:val="0"/>
        <w:spacing w:line="420" w:lineRule="exact"/>
        <w:outlineLvl w:val="2"/>
        <w:rPr>
          <w:rFonts w:asciiTheme="minorEastAsia" w:hAnsiTheme="minorEastAsia" w:eastAsiaTheme="minorEastAsia"/>
          <w:b/>
          <w:sz w:val="24"/>
          <w:szCs w:val="24"/>
        </w:rPr>
      </w:pPr>
    </w:p>
    <w:p>
      <w:pPr>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、投标响应报价总表</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261" w:type="dxa"/>
            <w:tcBorders>
              <w:top w:val="single" w:color="auto" w:sz="18" w:space="0"/>
              <w:left w:val="single" w:color="auto" w:sz="18"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6378" w:type="dxa"/>
            <w:tcBorders>
              <w:top w:val="single" w:color="auto" w:sz="18" w:space="0"/>
              <w:right w:val="single" w:color="auto" w:sz="18"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3261" w:type="dxa"/>
            <w:tcBorders>
              <w:left w:val="single" w:color="auto" w:sz="18" w:space="0"/>
            </w:tcBorders>
            <w:vAlign w:val="center"/>
          </w:tcPr>
          <w:p>
            <w:pPr>
              <w:snapToGrid w:val="0"/>
              <w:spacing w:line="420" w:lineRule="exact"/>
              <w:ind w:left="2"/>
              <w:rPr>
                <w:rFonts w:asciiTheme="minorEastAsia" w:hAnsiTheme="minorEastAsia" w:eastAsiaTheme="minorEastAsia"/>
                <w:sz w:val="24"/>
                <w:szCs w:val="24"/>
              </w:rPr>
            </w:pPr>
            <w:r>
              <w:rPr>
                <w:rFonts w:hint="eastAsia" w:asciiTheme="minorEastAsia" w:hAnsiTheme="minorEastAsia" w:eastAsiaTheme="minorEastAsia"/>
                <w:sz w:val="24"/>
                <w:szCs w:val="24"/>
              </w:rPr>
              <w:t>南通市红旗机动车驾驶员培训有限责任公司清障车采购项目</w:t>
            </w:r>
          </w:p>
        </w:tc>
        <w:tc>
          <w:tcPr>
            <w:tcW w:w="6378" w:type="dxa"/>
            <w:tcBorders>
              <w:right w:val="single" w:color="auto" w:sz="18" w:space="0"/>
            </w:tcBorders>
            <w:vAlign w:val="center"/>
          </w:tcPr>
          <w:p>
            <w:pPr>
              <w:snapToGrid w:val="0"/>
              <w:spacing w:line="420" w:lineRule="exact"/>
              <w:jc w:val="center"/>
              <w:rPr>
                <w:rFonts w:asciiTheme="minorEastAsia" w:hAnsiTheme="minorEastAsia" w:eastAsiaTheme="minorEastAsia"/>
                <w:sz w:val="24"/>
                <w:szCs w:val="24"/>
              </w:rPr>
            </w:pPr>
            <w:r>
              <w:rPr>
                <w:rFonts w:hint="eastAsia" w:ascii="宋体" w:hAnsi="宋体" w:eastAsia="宋体"/>
                <w:sz w:val="24"/>
                <w:u w:val="single"/>
              </w:rPr>
              <w:t xml:space="preserve">      </w:t>
            </w:r>
            <w:r>
              <w:rPr>
                <w:rFonts w:ascii="宋体" w:hAnsi="宋体" w:eastAsia="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3261" w:type="dxa"/>
            <w:tcBorders>
              <w:left w:val="single" w:color="auto" w:sz="18" w:space="0"/>
              <w:bottom w:val="single" w:color="auto" w:sz="18" w:space="0"/>
            </w:tcBorders>
            <w:vAlign w:val="center"/>
          </w:tcPr>
          <w:p>
            <w:pPr>
              <w:snapToGrid w:val="0"/>
              <w:spacing w:line="420" w:lineRule="exact"/>
              <w:ind w:left="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商务付款条件</w:t>
            </w:r>
          </w:p>
        </w:tc>
        <w:tc>
          <w:tcPr>
            <w:tcW w:w="6378" w:type="dxa"/>
            <w:tcBorders>
              <w:bottom w:val="single" w:color="auto" w:sz="18" w:space="0"/>
              <w:right w:val="single" w:color="auto" w:sz="18" w:space="0"/>
            </w:tcBorders>
            <w:vAlign w:val="center"/>
          </w:tcPr>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完全接受并响应本项目招标文件的要求。</w:t>
            </w:r>
          </w:p>
        </w:tc>
      </w:tr>
    </w:tbl>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投标人：（盖章）             </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napToGrid w:val="0"/>
        <w:spacing w:line="420" w:lineRule="exact"/>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pStyle w:val="201"/>
        <w:numPr>
          <w:ilvl w:val="0"/>
          <w:numId w:val="7"/>
        </w:numPr>
        <w:snapToGrid w:val="0"/>
        <w:spacing w:line="420" w:lineRule="exact"/>
        <w:ind w:firstLineChars="0"/>
        <w:rPr>
          <w:rFonts w:asciiTheme="minorEastAsia" w:hAnsiTheme="minorEastAsia" w:eastAsiaTheme="minorEastAsia"/>
          <w:sz w:val="24"/>
        </w:rPr>
      </w:pPr>
      <w:r>
        <w:rPr>
          <w:rFonts w:hint="eastAsia" w:asciiTheme="minorEastAsia" w:hAnsiTheme="minorEastAsia" w:eastAsiaTheme="minorEastAsia"/>
          <w:sz w:val="24"/>
        </w:rPr>
        <w:t>本表为格式表，不得自行改动，必须提供，否则视为未实质性响应招标文件。</w:t>
      </w:r>
    </w:p>
    <w:p>
      <w:pPr>
        <w:snapToGrid w:val="0"/>
        <w:spacing w:line="42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（2）说明：各投标人的报价不得高于最高限价，超过最高限价的，均作无效投标处理。</w:t>
      </w:r>
    </w:p>
    <w:p>
      <w:pPr>
        <w:snapToGrid w:val="0"/>
        <w:spacing w:line="42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投标报价包含招标文件所确定的南通市红旗机动车驾驶员培训有限责任公司清障车采购项目外包范围内的全部工作人员和内容的价格体现，是为完成招标文件规定的工作所涉及到的一切费用。包括但不限于货物的制造（采购）、运输、装卸、安装调试、检测、验收、技术培训、售后服务等所有相关费用以及投标人企业利润、税费、招标代理服务费等全部费用和政策性文件规定及合同包含的所有风险、责任等各项应有费用。</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2、投标报价明细表</w:t>
      </w:r>
    </w:p>
    <w:tbl>
      <w:tblPr>
        <w:tblStyle w:val="5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934" w:type="dxa"/>
            <w:vMerge w:val="restart"/>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w:t>
            </w:r>
          </w:p>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名称</w:t>
            </w:r>
          </w:p>
        </w:tc>
        <w:tc>
          <w:tcPr>
            <w:tcW w:w="780" w:type="dxa"/>
            <w:vMerge w:val="restart"/>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品牌</w:t>
            </w:r>
          </w:p>
        </w:tc>
        <w:tc>
          <w:tcPr>
            <w:tcW w:w="1117" w:type="dxa"/>
            <w:vMerge w:val="restart"/>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规格型号</w:t>
            </w:r>
          </w:p>
        </w:tc>
        <w:tc>
          <w:tcPr>
            <w:tcW w:w="1799" w:type="dxa"/>
            <w:vMerge w:val="restart"/>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技术参数</w:t>
            </w:r>
          </w:p>
        </w:tc>
        <w:tc>
          <w:tcPr>
            <w:tcW w:w="613" w:type="dxa"/>
            <w:vMerge w:val="restart"/>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618" w:type="dxa"/>
            <w:vMerge w:val="restart"/>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w:t>
            </w:r>
          </w:p>
        </w:tc>
        <w:tc>
          <w:tcPr>
            <w:tcW w:w="1991" w:type="dxa"/>
            <w:gridSpan w:val="2"/>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934" w:type="dxa"/>
            <w:vMerge w:val="continue"/>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780" w:type="dxa"/>
            <w:vMerge w:val="continue"/>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117" w:type="dxa"/>
            <w:vMerge w:val="continue"/>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799" w:type="dxa"/>
            <w:vMerge w:val="continue"/>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3" w:type="dxa"/>
            <w:vMerge w:val="continue"/>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8" w:type="dxa"/>
            <w:vMerge w:val="continue"/>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单价</w:t>
            </w:r>
          </w:p>
        </w:tc>
        <w:tc>
          <w:tcPr>
            <w:tcW w:w="1072"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934" w:type="dxa"/>
            <w:vAlign w:val="center"/>
          </w:tcPr>
          <w:p>
            <w:pPr>
              <w:widowControl/>
              <w:snapToGrid w:val="0"/>
              <w:spacing w:line="360" w:lineRule="auto"/>
              <w:jc w:val="center"/>
              <w:rPr>
                <w:rFonts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934" w:type="dxa"/>
            <w:vAlign w:val="center"/>
          </w:tcPr>
          <w:p>
            <w:pPr>
              <w:widowControl/>
              <w:snapToGrid w:val="0"/>
              <w:spacing w:line="360" w:lineRule="auto"/>
              <w:jc w:val="center"/>
              <w:rPr>
                <w:rFonts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934" w:type="dxa"/>
            <w:vAlign w:val="center"/>
          </w:tcPr>
          <w:p>
            <w:pPr>
              <w:widowControl/>
              <w:snapToGrid w:val="0"/>
              <w:spacing w:line="360" w:lineRule="auto"/>
              <w:jc w:val="center"/>
              <w:rPr>
                <w:rFonts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934" w:type="dxa"/>
            <w:vAlign w:val="center"/>
          </w:tcPr>
          <w:p>
            <w:pPr>
              <w:widowControl/>
              <w:snapToGrid w:val="0"/>
              <w:spacing w:line="360" w:lineRule="auto"/>
              <w:jc w:val="center"/>
              <w:rPr>
                <w:rFonts w:asciiTheme="minorEastAsia" w:hAnsiTheme="minorEastAsia" w:eastAsiaTheme="minorEastAsia" w:cstheme="minorEastAsia"/>
                <w:b/>
                <w:bCs/>
                <w:kern w:val="0"/>
                <w:sz w:val="24"/>
                <w:szCs w:val="24"/>
              </w:rPr>
            </w:pPr>
          </w:p>
        </w:tc>
        <w:tc>
          <w:tcPr>
            <w:tcW w:w="780"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117"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79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3"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618"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91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     计</w:t>
            </w:r>
          </w:p>
        </w:tc>
        <w:tc>
          <w:tcPr>
            <w:tcW w:w="919"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c>
          <w:tcPr>
            <w:tcW w:w="1072" w:type="dxa"/>
            <w:vAlign w:val="center"/>
          </w:tcPr>
          <w:p>
            <w:pPr>
              <w:widowControl/>
              <w:snapToGrid w:val="0"/>
              <w:spacing w:line="360" w:lineRule="auto"/>
              <w:jc w:val="center"/>
              <w:rPr>
                <w:rFonts w:asciiTheme="minorEastAsia" w:hAnsiTheme="minorEastAsia" w:eastAsiaTheme="minorEastAsia" w:cstheme="minorEastAsia"/>
                <w:kern w:val="0"/>
                <w:sz w:val="24"/>
                <w:szCs w:val="24"/>
              </w:rPr>
            </w:pPr>
          </w:p>
        </w:tc>
      </w:tr>
    </w:tbl>
    <w:p>
      <w:pPr>
        <w:overflowPunct w:val="0"/>
        <w:spacing w:line="420" w:lineRule="exact"/>
        <w:jc w:val="center"/>
        <w:textAlignment w:val="baseline"/>
        <w:rPr>
          <w:rFonts w:asciiTheme="minorEastAsia" w:hAnsiTheme="minorEastAsia" w:eastAsiaTheme="minorEastAsia"/>
          <w:bCs/>
          <w:sz w:val="24"/>
          <w:szCs w:val="24"/>
        </w:rPr>
      </w:pPr>
      <w:r>
        <w:rPr>
          <w:rFonts w:hint="eastAsia" w:asciiTheme="minorEastAsia" w:hAnsiTheme="minorEastAsia" w:eastAsiaTheme="minorEastAsia"/>
          <w:bCs/>
          <w:sz w:val="24"/>
          <w:szCs w:val="24"/>
        </w:rPr>
        <w:t>……全文结束……</w:t>
      </w:r>
    </w:p>
    <w:sectPr>
      <w:footerReference r:id="rId13" w:type="first"/>
      <w:headerReference r:id="rId11" w:type="default"/>
      <w:footerReference r:id="rId12" w:type="default"/>
      <w:pgSz w:w="11906" w:h="16838"/>
      <w:pgMar w:top="1239" w:right="851" w:bottom="851" w:left="1418" w:header="851" w:footer="522" w:gutter="0"/>
      <w:pgNumType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Menlo">
    <w:altName w:val="微软雅黑"/>
    <w:panose1 w:val="00000000000000000000"/>
    <w:charset w:val="00"/>
    <w:family w:val="auto"/>
    <w:pitch w:val="default"/>
    <w:sig w:usb0="00000000" w:usb1="00000000" w:usb2="00000000" w:usb3="00000000" w:csb0="00040001" w:csb1="0000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4"/>
      <w:rPr>
        <w:szCs w:val="18"/>
      </w:rPr>
    </w:pPr>
    <w:r>
      <w:pict>
        <v:shape id="文本框 1026"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path/>
          <v:fill on="f" focussize="0,0"/>
          <v:stroke on="f" joinstyle="miter"/>
          <v:imagedata o:title=""/>
          <o:lock v:ext="edit"/>
          <v:textbox inset="0mm,0mm,0mm,0mm" style="mso-fit-shape-to-text:t;">
            <w:txbxContent>
              <w:p>
                <w:pPr>
                  <w:pStyle w:val="34"/>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path/>
          <v:fill on="f" focussize="0,0"/>
          <v:stroke on="f" joinstyle="miter"/>
          <v:imagedata o:title=""/>
          <o:lock v:ext="edit"/>
          <v:textbox inset="0mm,0mm,0mm,0mm" style="mso-fit-shape-to-text:t;">
            <w:txbxContent>
              <w:p>
                <w:pPr>
                  <w:pStyle w:val="34"/>
                  <w:ind w:right="180"/>
                  <w:jc w:val="both"/>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4"/>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w:pict>
        <v:shape id="文本框 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path/>
          <v:fill on="f" focussize="0,0"/>
          <v:stroke on="f" joinstyle="miter"/>
          <v:imagedata o:title=""/>
          <o:lock v:ext="edit"/>
          <v:textbox inset="0mm,0mm,0mm,0mm" style="mso-fit-shape-to-text:t;">
            <w:txbxContent>
              <w:p>
                <w:pPr>
                  <w:pStyle w:val="34"/>
                  <w:ind w:right="180"/>
                  <w:jc w:val="both"/>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16"/>
        <w:tab w:val="clear" w:pos="4153"/>
        <w:tab w:val="clear" w:pos="8306"/>
      </w:tabs>
      <w:ind w:right="4"/>
      <w:rPr>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180"/>
      <w:jc w:val="center"/>
      <w:rPr>
        <w:kern w:val="0"/>
        <w:szCs w:val="18"/>
      </w:rPr>
    </w:pPr>
    <w:r>
      <w:pict>
        <v:shape id="文本框 1030"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lg8sBAACc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dia/PcF/gP+4hN5N5ShQF2LIxDy+zGBUtb8fCesy4/1f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YQJYPLAQAAnAMAAA4AAAAAAAAAAQAgAAAAHgEAAGRycy9lMm9E&#10;b2MueG1sUEsFBgAAAAAGAAYAWQEAAFsFAAAAAA==&#10;">
          <v:path/>
          <v:fill on="f" focussize="0,0"/>
          <v:stroke on="f" joinstyle="miter"/>
          <v:imagedata o:title=""/>
          <o:lock v:ext="edit"/>
          <v:textbox inset="0mm,0mm,0mm,0mm" style="mso-fit-shape-to-text:t;">
            <w:txbxContent>
              <w:p>
                <w:pPr>
                  <w:pStyle w:val="34"/>
                  <w:ind w:right="180"/>
                  <w:jc w:val="both"/>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szCs w:val="18"/>
      </w:rPr>
    </w:pPr>
    <w:r>
      <w:rPr>
        <w:rFonts w:hint="eastAsia"/>
        <w:szCs w:val="18"/>
      </w:rPr>
      <w:t>南通市红旗机动车驾驶员培训有限责任公司清障车采购项目</w:t>
    </w:r>
    <w:r>
      <w:rPr>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rPr>
        <w:szCs w:val="18"/>
      </w:rPr>
    </w:pPr>
    <w:r>
      <w:rPr>
        <w:rFonts w:hint="eastAsia"/>
        <w:szCs w:val="18"/>
      </w:rPr>
      <w:t>南通市红旗机动车驾驶员培训有限责任公司清障车采购项目</w:t>
    </w:r>
    <w:r>
      <w:rPr>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8307"/>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55CB5"/>
    <w:multiLevelType w:val="singleLevel"/>
    <w:tmpl w:val="AEE55CB5"/>
    <w:lvl w:ilvl="0" w:tentative="0">
      <w:start w:val="1"/>
      <w:numFmt w:val="decimal"/>
      <w:lvlText w:val="%1"/>
      <w:lvlJc w:val="center"/>
      <w:pPr>
        <w:tabs>
          <w:tab w:val="left" w:pos="397"/>
        </w:tabs>
        <w:ind w:left="454" w:hanging="284"/>
      </w:pPr>
      <w:rPr>
        <w:rFonts w:hint="default"/>
      </w:rPr>
    </w:lvl>
  </w:abstractNum>
  <w:abstractNum w:abstractNumId="1">
    <w:nsid w:val="B3F51E55"/>
    <w:multiLevelType w:val="singleLevel"/>
    <w:tmpl w:val="B3F51E55"/>
    <w:lvl w:ilvl="0" w:tentative="0">
      <w:start w:val="1"/>
      <w:numFmt w:val="decimal"/>
      <w:lvlText w:val="%1."/>
      <w:lvlJc w:val="left"/>
      <w:pPr>
        <w:ind w:left="425" w:hanging="425"/>
      </w:pPr>
      <w:rPr>
        <w:rFonts w:hint="default"/>
      </w:rPr>
    </w:lvl>
  </w:abstractNum>
  <w:abstractNum w:abstractNumId="2">
    <w:nsid w:val="0000000B"/>
    <w:multiLevelType w:val="multilevel"/>
    <w:tmpl w:val="0000000B"/>
    <w:lvl w:ilvl="0" w:tentative="0">
      <w:start w:val="1"/>
      <w:numFmt w:val="decimal"/>
      <w:suff w:val="nothing"/>
      <w:lvlText w:val="%1、"/>
      <w:lvlJc w:val="left"/>
      <w:pPr>
        <w:ind w:left="8" w:firstLine="560"/>
      </w:pPr>
      <w:rPr>
        <w:rFonts w:hint="default"/>
        <w:b w:val="0"/>
        <w:sz w:val="24"/>
        <w:szCs w:val="24"/>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A4228F0"/>
    <w:multiLevelType w:val="multilevel"/>
    <w:tmpl w:val="0A4228F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4">
    <w:nsid w:val="19E93177"/>
    <w:multiLevelType w:val="multilevel"/>
    <w:tmpl w:val="19E93177"/>
    <w:lvl w:ilvl="0" w:tentative="0">
      <w:start w:val="1"/>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5">
    <w:nsid w:val="1FFC23BE"/>
    <w:multiLevelType w:val="singleLevel"/>
    <w:tmpl w:val="1FFC23BE"/>
    <w:lvl w:ilvl="0" w:tentative="0">
      <w:start w:val="1"/>
      <w:numFmt w:val="decimal"/>
      <w:suff w:val="space"/>
      <w:lvlText w:val="(%1)"/>
      <w:lvlJc w:val="left"/>
    </w:lvl>
  </w:abstractNum>
  <w:abstractNum w:abstractNumId="6">
    <w:nsid w:val="4B57CB40"/>
    <w:multiLevelType w:val="singleLevel"/>
    <w:tmpl w:val="4B57CB40"/>
    <w:lvl w:ilvl="0" w:tentative="0">
      <w:start w:val="1"/>
      <w:numFmt w:val="decimal"/>
      <w:suff w:val="nothing"/>
      <w:lvlText w:val="%1、"/>
      <w:lvlJc w:val="left"/>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hideSpellingErrors/>
  <w:attachedTemplate r:id="rId1"/>
  <w:documentProtection w:enforcement="0"/>
  <w:defaultTabStop w:val="425"/>
  <w:drawingGridHorizontalSpacing w:val="0"/>
  <w:drawingGridVerticalSpacing w:val="190"/>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2"/>
  </w:compat>
  <w:docVars>
    <w:docVar w:name="commondata" w:val="eyJoZGlkIjoiZmYxOTZiZTA5NGE2N2ZiZTY0YjVkMWYyZGIzNGU0MGIifQ=="/>
  </w:docVars>
  <w:rsids>
    <w:rsidRoot w:val="00172A27"/>
    <w:rsid w:val="000023C2"/>
    <w:rsid w:val="00004177"/>
    <w:rsid w:val="000165F2"/>
    <w:rsid w:val="0002194C"/>
    <w:rsid w:val="000223F7"/>
    <w:rsid w:val="0002499A"/>
    <w:rsid w:val="0002729A"/>
    <w:rsid w:val="00030745"/>
    <w:rsid w:val="000353EA"/>
    <w:rsid w:val="000374D2"/>
    <w:rsid w:val="00040B44"/>
    <w:rsid w:val="0004377F"/>
    <w:rsid w:val="00045B1D"/>
    <w:rsid w:val="00052F18"/>
    <w:rsid w:val="00054574"/>
    <w:rsid w:val="00054F1E"/>
    <w:rsid w:val="00055762"/>
    <w:rsid w:val="00055E9B"/>
    <w:rsid w:val="00055EAE"/>
    <w:rsid w:val="00057B9A"/>
    <w:rsid w:val="00067E7E"/>
    <w:rsid w:val="00071298"/>
    <w:rsid w:val="000716FD"/>
    <w:rsid w:val="0007268B"/>
    <w:rsid w:val="00072AF9"/>
    <w:rsid w:val="00081E88"/>
    <w:rsid w:val="00083BF4"/>
    <w:rsid w:val="00083EF3"/>
    <w:rsid w:val="00084DEA"/>
    <w:rsid w:val="0009184C"/>
    <w:rsid w:val="00091B9B"/>
    <w:rsid w:val="00092319"/>
    <w:rsid w:val="00093177"/>
    <w:rsid w:val="000962E6"/>
    <w:rsid w:val="00097DC7"/>
    <w:rsid w:val="000A14F5"/>
    <w:rsid w:val="000A77BD"/>
    <w:rsid w:val="000B50DC"/>
    <w:rsid w:val="000B5364"/>
    <w:rsid w:val="000B5BC9"/>
    <w:rsid w:val="000C44D4"/>
    <w:rsid w:val="000C6DD6"/>
    <w:rsid w:val="000D422E"/>
    <w:rsid w:val="000D6F04"/>
    <w:rsid w:val="000E0355"/>
    <w:rsid w:val="000E7035"/>
    <w:rsid w:val="000E784B"/>
    <w:rsid w:val="000F106E"/>
    <w:rsid w:val="000F2A02"/>
    <w:rsid w:val="000F5026"/>
    <w:rsid w:val="000F60F3"/>
    <w:rsid w:val="0010257B"/>
    <w:rsid w:val="0010360A"/>
    <w:rsid w:val="001037BE"/>
    <w:rsid w:val="001043CD"/>
    <w:rsid w:val="00105021"/>
    <w:rsid w:val="001058D4"/>
    <w:rsid w:val="00111BDD"/>
    <w:rsid w:val="001165C0"/>
    <w:rsid w:val="00117CDB"/>
    <w:rsid w:val="0012163E"/>
    <w:rsid w:val="001315C1"/>
    <w:rsid w:val="00132F1B"/>
    <w:rsid w:val="00136758"/>
    <w:rsid w:val="001431C1"/>
    <w:rsid w:val="00144017"/>
    <w:rsid w:val="001525E8"/>
    <w:rsid w:val="00156E70"/>
    <w:rsid w:val="001608DD"/>
    <w:rsid w:val="001652D1"/>
    <w:rsid w:val="00172A27"/>
    <w:rsid w:val="00182FA5"/>
    <w:rsid w:val="0018334C"/>
    <w:rsid w:val="00186674"/>
    <w:rsid w:val="001914CF"/>
    <w:rsid w:val="0019184B"/>
    <w:rsid w:val="00193486"/>
    <w:rsid w:val="001A241E"/>
    <w:rsid w:val="001A324E"/>
    <w:rsid w:val="001A4E52"/>
    <w:rsid w:val="001A6253"/>
    <w:rsid w:val="001A69B6"/>
    <w:rsid w:val="001B0B46"/>
    <w:rsid w:val="001B776F"/>
    <w:rsid w:val="001C7A48"/>
    <w:rsid w:val="001D09C1"/>
    <w:rsid w:val="001D0ED8"/>
    <w:rsid w:val="001D24A8"/>
    <w:rsid w:val="001D38BC"/>
    <w:rsid w:val="001D3D4E"/>
    <w:rsid w:val="001D7596"/>
    <w:rsid w:val="001E33FA"/>
    <w:rsid w:val="001E37AB"/>
    <w:rsid w:val="001E64FE"/>
    <w:rsid w:val="001E7111"/>
    <w:rsid w:val="001E7EDB"/>
    <w:rsid w:val="001F0E41"/>
    <w:rsid w:val="001F25D2"/>
    <w:rsid w:val="001F46CC"/>
    <w:rsid w:val="00203C97"/>
    <w:rsid w:val="00205CAD"/>
    <w:rsid w:val="00206FA3"/>
    <w:rsid w:val="00210D3F"/>
    <w:rsid w:val="00213B68"/>
    <w:rsid w:val="00221244"/>
    <w:rsid w:val="00227BEF"/>
    <w:rsid w:val="002312C3"/>
    <w:rsid w:val="00232600"/>
    <w:rsid w:val="0023768B"/>
    <w:rsid w:val="00240452"/>
    <w:rsid w:val="0024123F"/>
    <w:rsid w:val="00241F40"/>
    <w:rsid w:val="002466F2"/>
    <w:rsid w:val="002508AF"/>
    <w:rsid w:val="00252CB3"/>
    <w:rsid w:val="00252CDD"/>
    <w:rsid w:val="0025403A"/>
    <w:rsid w:val="0025782C"/>
    <w:rsid w:val="00261064"/>
    <w:rsid w:val="0026630D"/>
    <w:rsid w:val="002675A1"/>
    <w:rsid w:val="0028301F"/>
    <w:rsid w:val="00284F8E"/>
    <w:rsid w:val="00290056"/>
    <w:rsid w:val="00290B56"/>
    <w:rsid w:val="00292D3A"/>
    <w:rsid w:val="002A12C8"/>
    <w:rsid w:val="002A1FD2"/>
    <w:rsid w:val="002A7AF3"/>
    <w:rsid w:val="002B2BA5"/>
    <w:rsid w:val="002B2EF8"/>
    <w:rsid w:val="002B530B"/>
    <w:rsid w:val="002B70FD"/>
    <w:rsid w:val="002B77B8"/>
    <w:rsid w:val="002C52C7"/>
    <w:rsid w:val="002D003A"/>
    <w:rsid w:val="002D4115"/>
    <w:rsid w:val="002E3E90"/>
    <w:rsid w:val="002E440F"/>
    <w:rsid w:val="002F181A"/>
    <w:rsid w:val="002F3923"/>
    <w:rsid w:val="002F392B"/>
    <w:rsid w:val="002F3A4F"/>
    <w:rsid w:val="002F48DF"/>
    <w:rsid w:val="002F4A91"/>
    <w:rsid w:val="002F6E69"/>
    <w:rsid w:val="002F7463"/>
    <w:rsid w:val="002F7716"/>
    <w:rsid w:val="003006B4"/>
    <w:rsid w:val="003010BE"/>
    <w:rsid w:val="00301FA9"/>
    <w:rsid w:val="00312DA9"/>
    <w:rsid w:val="00314F92"/>
    <w:rsid w:val="00315AFC"/>
    <w:rsid w:val="00317BDB"/>
    <w:rsid w:val="003211E3"/>
    <w:rsid w:val="00323C3A"/>
    <w:rsid w:val="00324B6E"/>
    <w:rsid w:val="00327DFE"/>
    <w:rsid w:val="0033769F"/>
    <w:rsid w:val="0034142B"/>
    <w:rsid w:val="0034439F"/>
    <w:rsid w:val="00347699"/>
    <w:rsid w:val="0035144C"/>
    <w:rsid w:val="00351C38"/>
    <w:rsid w:val="00352A1A"/>
    <w:rsid w:val="00352B9C"/>
    <w:rsid w:val="003536CC"/>
    <w:rsid w:val="00353AC5"/>
    <w:rsid w:val="00353D59"/>
    <w:rsid w:val="00357A5B"/>
    <w:rsid w:val="00362A3A"/>
    <w:rsid w:val="0036491A"/>
    <w:rsid w:val="00365A6D"/>
    <w:rsid w:val="00365A71"/>
    <w:rsid w:val="00370FBD"/>
    <w:rsid w:val="003757EB"/>
    <w:rsid w:val="00380D2E"/>
    <w:rsid w:val="0038506E"/>
    <w:rsid w:val="00386D2E"/>
    <w:rsid w:val="00387636"/>
    <w:rsid w:val="00390658"/>
    <w:rsid w:val="003948C6"/>
    <w:rsid w:val="003A0BDF"/>
    <w:rsid w:val="003A0E40"/>
    <w:rsid w:val="003A0F5D"/>
    <w:rsid w:val="003A2531"/>
    <w:rsid w:val="003A2920"/>
    <w:rsid w:val="003A34AC"/>
    <w:rsid w:val="003A3B0E"/>
    <w:rsid w:val="003A5977"/>
    <w:rsid w:val="003A601C"/>
    <w:rsid w:val="003A69BD"/>
    <w:rsid w:val="003A6F91"/>
    <w:rsid w:val="003B3A31"/>
    <w:rsid w:val="003B4F6A"/>
    <w:rsid w:val="003B7355"/>
    <w:rsid w:val="003C040F"/>
    <w:rsid w:val="003C0D1A"/>
    <w:rsid w:val="003C781A"/>
    <w:rsid w:val="003D1FA1"/>
    <w:rsid w:val="003D25DE"/>
    <w:rsid w:val="003E01F5"/>
    <w:rsid w:val="003E0890"/>
    <w:rsid w:val="003E11A0"/>
    <w:rsid w:val="003E11AE"/>
    <w:rsid w:val="003E2522"/>
    <w:rsid w:val="003E25FF"/>
    <w:rsid w:val="003E2638"/>
    <w:rsid w:val="003E5AC2"/>
    <w:rsid w:val="003E5E1B"/>
    <w:rsid w:val="003E7310"/>
    <w:rsid w:val="003F1939"/>
    <w:rsid w:val="003F1BB6"/>
    <w:rsid w:val="003F2052"/>
    <w:rsid w:val="003F215A"/>
    <w:rsid w:val="003F2199"/>
    <w:rsid w:val="003F21FB"/>
    <w:rsid w:val="003F3B5E"/>
    <w:rsid w:val="00401527"/>
    <w:rsid w:val="004042FA"/>
    <w:rsid w:val="004051EC"/>
    <w:rsid w:val="00406A24"/>
    <w:rsid w:val="0041070D"/>
    <w:rsid w:val="00411FDD"/>
    <w:rsid w:val="0041260F"/>
    <w:rsid w:val="00413C1E"/>
    <w:rsid w:val="004174D8"/>
    <w:rsid w:val="00417FB8"/>
    <w:rsid w:val="004328BD"/>
    <w:rsid w:val="00433083"/>
    <w:rsid w:val="0043328A"/>
    <w:rsid w:val="00433AD3"/>
    <w:rsid w:val="0043580F"/>
    <w:rsid w:val="00446350"/>
    <w:rsid w:val="0044779B"/>
    <w:rsid w:val="00451E84"/>
    <w:rsid w:val="00452260"/>
    <w:rsid w:val="004536DF"/>
    <w:rsid w:val="004550AB"/>
    <w:rsid w:val="0046048F"/>
    <w:rsid w:val="004643BB"/>
    <w:rsid w:val="00465C3A"/>
    <w:rsid w:val="00465EB3"/>
    <w:rsid w:val="00467378"/>
    <w:rsid w:val="00470038"/>
    <w:rsid w:val="00471499"/>
    <w:rsid w:val="00471E9A"/>
    <w:rsid w:val="00472B6E"/>
    <w:rsid w:val="004731CC"/>
    <w:rsid w:val="004749B5"/>
    <w:rsid w:val="00476F31"/>
    <w:rsid w:val="00477980"/>
    <w:rsid w:val="00481DBC"/>
    <w:rsid w:val="00482FE8"/>
    <w:rsid w:val="00484CB4"/>
    <w:rsid w:val="0048508F"/>
    <w:rsid w:val="00494BCA"/>
    <w:rsid w:val="004A18E6"/>
    <w:rsid w:val="004A2674"/>
    <w:rsid w:val="004A30AD"/>
    <w:rsid w:val="004A3651"/>
    <w:rsid w:val="004A3F5B"/>
    <w:rsid w:val="004A6877"/>
    <w:rsid w:val="004B01E8"/>
    <w:rsid w:val="004B5E33"/>
    <w:rsid w:val="004B73B9"/>
    <w:rsid w:val="004C0167"/>
    <w:rsid w:val="004C3526"/>
    <w:rsid w:val="004C4B35"/>
    <w:rsid w:val="004C753D"/>
    <w:rsid w:val="004D520F"/>
    <w:rsid w:val="004D5AA7"/>
    <w:rsid w:val="004D5C11"/>
    <w:rsid w:val="004E0791"/>
    <w:rsid w:val="004E29AE"/>
    <w:rsid w:val="004E4B61"/>
    <w:rsid w:val="004E7A3A"/>
    <w:rsid w:val="004F011C"/>
    <w:rsid w:val="004F07CD"/>
    <w:rsid w:val="004F0AEA"/>
    <w:rsid w:val="004F0C65"/>
    <w:rsid w:val="004F31CA"/>
    <w:rsid w:val="004F4DE1"/>
    <w:rsid w:val="004F7C54"/>
    <w:rsid w:val="00502169"/>
    <w:rsid w:val="00506895"/>
    <w:rsid w:val="00512392"/>
    <w:rsid w:val="00514515"/>
    <w:rsid w:val="0051539A"/>
    <w:rsid w:val="00515CE9"/>
    <w:rsid w:val="00517C56"/>
    <w:rsid w:val="00523B1D"/>
    <w:rsid w:val="005242D3"/>
    <w:rsid w:val="005251DB"/>
    <w:rsid w:val="005257FE"/>
    <w:rsid w:val="0053257A"/>
    <w:rsid w:val="005326FB"/>
    <w:rsid w:val="00541A4E"/>
    <w:rsid w:val="00543741"/>
    <w:rsid w:val="005440AB"/>
    <w:rsid w:val="00546EF0"/>
    <w:rsid w:val="00550E36"/>
    <w:rsid w:val="00551B8F"/>
    <w:rsid w:val="00552B8C"/>
    <w:rsid w:val="005562E4"/>
    <w:rsid w:val="005659DF"/>
    <w:rsid w:val="00567176"/>
    <w:rsid w:val="0057277D"/>
    <w:rsid w:val="00574A0B"/>
    <w:rsid w:val="00575064"/>
    <w:rsid w:val="00575901"/>
    <w:rsid w:val="00575BCB"/>
    <w:rsid w:val="00575E95"/>
    <w:rsid w:val="00576309"/>
    <w:rsid w:val="00581A92"/>
    <w:rsid w:val="0058442C"/>
    <w:rsid w:val="00592949"/>
    <w:rsid w:val="005938F1"/>
    <w:rsid w:val="00594D81"/>
    <w:rsid w:val="0059710C"/>
    <w:rsid w:val="005A0DFC"/>
    <w:rsid w:val="005A5FDD"/>
    <w:rsid w:val="005A60B1"/>
    <w:rsid w:val="005A7DDD"/>
    <w:rsid w:val="005B005D"/>
    <w:rsid w:val="005B23AC"/>
    <w:rsid w:val="005B336C"/>
    <w:rsid w:val="005B3755"/>
    <w:rsid w:val="005C4811"/>
    <w:rsid w:val="005D091A"/>
    <w:rsid w:val="005D226A"/>
    <w:rsid w:val="005D3603"/>
    <w:rsid w:val="005D4022"/>
    <w:rsid w:val="005D4ADC"/>
    <w:rsid w:val="005E232A"/>
    <w:rsid w:val="005E318D"/>
    <w:rsid w:val="005E4468"/>
    <w:rsid w:val="005E70D7"/>
    <w:rsid w:val="005F2DBE"/>
    <w:rsid w:val="005F3218"/>
    <w:rsid w:val="005F3F2A"/>
    <w:rsid w:val="00601336"/>
    <w:rsid w:val="00601F5E"/>
    <w:rsid w:val="00602680"/>
    <w:rsid w:val="00613840"/>
    <w:rsid w:val="00620B2E"/>
    <w:rsid w:val="00621983"/>
    <w:rsid w:val="006267F1"/>
    <w:rsid w:val="00627CFD"/>
    <w:rsid w:val="006319CF"/>
    <w:rsid w:val="00634FCA"/>
    <w:rsid w:val="00636029"/>
    <w:rsid w:val="006362F2"/>
    <w:rsid w:val="00637CA7"/>
    <w:rsid w:val="00637FD0"/>
    <w:rsid w:val="006403B0"/>
    <w:rsid w:val="006420F4"/>
    <w:rsid w:val="0064333C"/>
    <w:rsid w:val="00652D24"/>
    <w:rsid w:val="006563A8"/>
    <w:rsid w:val="0066228F"/>
    <w:rsid w:val="0067376E"/>
    <w:rsid w:val="00675A43"/>
    <w:rsid w:val="00677FDE"/>
    <w:rsid w:val="00681636"/>
    <w:rsid w:val="006849D0"/>
    <w:rsid w:val="00685ECC"/>
    <w:rsid w:val="00686377"/>
    <w:rsid w:val="00686E7D"/>
    <w:rsid w:val="00687482"/>
    <w:rsid w:val="00687814"/>
    <w:rsid w:val="00687F62"/>
    <w:rsid w:val="00693DFF"/>
    <w:rsid w:val="00694A7B"/>
    <w:rsid w:val="00695231"/>
    <w:rsid w:val="00695362"/>
    <w:rsid w:val="00697095"/>
    <w:rsid w:val="006A3B84"/>
    <w:rsid w:val="006A4D61"/>
    <w:rsid w:val="006A4F73"/>
    <w:rsid w:val="006B3C37"/>
    <w:rsid w:val="006B6114"/>
    <w:rsid w:val="006C0A5D"/>
    <w:rsid w:val="006C0EF8"/>
    <w:rsid w:val="006C35F2"/>
    <w:rsid w:val="006C54B5"/>
    <w:rsid w:val="006C5BD5"/>
    <w:rsid w:val="006C6B70"/>
    <w:rsid w:val="006D05F7"/>
    <w:rsid w:val="006D4808"/>
    <w:rsid w:val="006E039E"/>
    <w:rsid w:val="006E0AC4"/>
    <w:rsid w:val="006E0D06"/>
    <w:rsid w:val="006E5D40"/>
    <w:rsid w:val="006F28C3"/>
    <w:rsid w:val="006F53A3"/>
    <w:rsid w:val="007011BA"/>
    <w:rsid w:val="007025F7"/>
    <w:rsid w:val="00702A91"/>
    <w:rsid w:val="007051F7"/>
    <w:rsid w:val="007052AB"/>
    <w:rsid w:val="00706A4D"/>
    <w:rsid w:val="007101C2"/>
    <w:rsid w:val="0071020F"/>
    <w:rsid w:val="00712E34"/>
    <w:rsid w:val="00724326"/>
    <w:rsid w:val="00734FB2"/>
    <w:rsid w:val="00737113"/>
    <w:rsid w:val="00740941"/>
    <w:rsid w:val="007430D0"/>
    <w:rsid w:val="0074497B"/>
    <w:rsid w:val="00745378"/>
    <w:rsid w:val="00745E40"/>
    <w:rsid w:val="00747A74"/>
    <w:rsid w:val="007510D1"/>
    <w:rsid w:val="007513E4"/>
    <w:rsid w:val="00751E13"/>
    <w:rsid w:val="00752BF1"/>
    <w:rsid w:val="00754B2E"/>
    <w:rsid w:val="007614B4"/>
    <w:rsid w:val="00764BC4"/>
    <w:rsid w:val="00764FAE"/>
    <w:rsid w:val="0076583D"/>
    <w:rsid w:val="007711BE"/>
    <w:rsid w:val="00771B86"/>
    <w:rsid w:val="007740FA"/>
    <w:rsid w:val="007747B1"/>
    <w:rsid w:val="00774B85"/>
    <w:rsid w:val="0077609C"/>
    <w:rsid w:val="0079094C"/>
    <w:rsid w:val="007925DB"/>
    <w:rsid w:val="00794CC6"/>
    <w:rsid w:val="0079516F"/>
    <w:rsid w:val="0079662B"/>
    <w:rsid w:val="00796DAC"/>
    <w:rsid w:val="007974F6"/>
    <w:rsid w:val="007A1BA2"/>
    <w:rsid w:val="007A6BD1"/>
    <w:rsid w:val="007B064C"/>
    <w:rsid w:val="007B324E"/>
    <w:rsid w:val="007B5F5E"/>
    <w:rsid w:val="007C17DC"/>
    <w:rsid w:val="007C2B42"/>
    <w:rsid w:val="007C6F19"/>
    <w:rsid w:val="007C7425"/>
    <w:rsid w:val="007D16FC"/>
    <w:rsid w:val="007D1DD2"/>
    <w:rsid w:val="007F1719"/>
    <w:rsid w:val="007F3FEE"/>
    <w:rsid w:val="007F66E5"/>
    <w:rsid w:val="007F69DC"/>
    <w:rsid w:val="00800D75"/>
    <w:rsid w:val="00805A91"/>
    <w:rsid w:val="00810FBF"/>
    <w:rsid w:val="00813551"/>
    <w:rsid w:val="00816D93"/>
    <w:rsid w:val="008216F9"/>
    <w:rsid w:val="00821756"/>
    <w:rsid w:val="008227E8"/>
    <w:rsid w:val="008232AE"/>
    <w:rsid w:val="00823C24"/>
    <w:rsid w:val="00825B46"/>
    <w:rsid w:val="008306E2"/>
    <w:rsid w:val="0083532D"/>
    <w:rsid w:val="008448F7"/>
    <w:rsid w:val="00845C08"/>
    <w:rsid w:val="00846989"/>
    <w:rsid w:val="00847CAE"/>
    <w:rsid w:val="00847F42"/>
    <w:rsid w:val="00850E9C"/>
    <w:rsid w:val="008526F8"/>
    <w:rsid w:val="00852E62"/>
    <w:rsid w:val="00853300"/>
    <w:rsid w:val="0085498C"/>
    <w:rsid w:val="0085783B"/>
    <w:rsid w:val="00860580"/>
    <w:rsid w:val="008607D0"/>
    <w:rsid w:val="00867C97"/>
    <w:rsid w:val="00867F2C"/>
    <w:rsid w:val="008729B5"/>
    <w:rsid w:val="00877A8A"/>
    <w:rsid w:val="00877CC6"/>
    <w:rsid w:val="008812AA"/>
    <w:rsid w:val="008823BC"/>
    <w:rsid w:val="00882F64"/>
    <w:rsid w:val="00885C76"/>
    <w:rsid w:val="00886D08"/>
    <w:rsid w:val="008A1D0F"/>
    <w:rsid w:val="008A4F4C"/>
    <w:rsid w:val="008A5248"/>
    <w:rsid w:val="008A645A"/>
    <w:rsid w:val="008B1D9E"/>
    <w:rsid w:val="008B1FF6"/>
    <w:rsid w:val="008B3220"/>
    <w:rsid w:val="008B3560"/>
    <w:rsid w:val="008C426E"/>
    <w:rsid w:val="008C7FF9"/>
    <w:rsid w:val="008D624A"/>
    <w:rsid w:val="008D6AA9"/>
    <w:rsid w:val="008D7EE2"/>
    <w:rsid w:val="008E0196"/>
    <w:rsid w:val="008E11CD"/>
    <w:rsid w:val="008E16C5"/>
    <w:rsid w:val="008E44CB"/>
    <w:rsid w:val="008E4556"/>
    <w:rsid w:val="008F2A9A"/>
    <w:rsid w:val="008F4C41"/>
    <w:rsid w:val="008F7DB8"/>
    <w:rsid w:val="00900A1F"/>
    <w:rsid w:val="009016E9"/>
    <w:rsid w:val="009071BA"/>
    <w:rsid w:val="009103E9"/>
    <w:rsid w:val="00911312"/>
    <w:rsid w:val="00911C56"/>
    <w:rsid w:val="00914732"/>
    <w:rsid w:val="0091799A"/>
    <w:rsid w:val="00922AAE"/>
    <w:rsid w:val="00927076"/>
    <w:rsid w:val="0093070E"/>
    <w:rsid w:val="009311A2"/>
    <w:rsid w:val="00933363"/>
    <w:rsid w:val="00934904"/>
    <w:rsid w:val="00935157"/>
    <w:rsid w:val="00936983"/>
    <w:rsid w:val="0094238C"/>
    <w:rsid w:val="00945160"/>
    <w:rsid w:val="00945E71"/>
    <w:rsid w:val="0095102F"/>
    <w:rsid w:val="00951DBA"/>
    <w:rsid w:val="009522BF"/>
    <w:rsid w:val="00952772"/>
    <w:rsid w:val="009535EA"/>
    <w:rsid w:val="009555AE"/>
    <w:rsid w:val="009562B4"/>
    <w:rsid w:val="00960A6D"/>
    <w:rsid w:val="00960D5D"/>
    <w:rsid w:val="00962EF8"/>
    <w:rsid w:val="00963CF4"/>
    <w:rsid w:val="00966313"/>
    <w:rsid w:val="00973C8D"/>
    <w:rsid w:val="00973ED2"/>
    <w:rsid w:val="0097502E"/>
    <w:rsid w:val="00976BE9"/>
    <w:rsid w:val="00981B76"/>
    <w:rsid w:val="0098318A"/>
    <w:rsid w:val="00986C08"/>
    <w:rsid w:val="0099405D"/>
    <w:rsid w:val="00996E87"/>
    <w:rsid w:val="009977FE"/>
    <w:rsid w:val="009A184C"/>
    <w:rsid w:val="009A277E"/>
    <w:rsid w:val="009A35B4"/>
    <w:rsid w:val="009A4E0B"/>
    <w:rsid w:val="009A7DB1"/>
    <w:rsid w:val="009B05D0"/>
    <w:rsid w:val="009B073A"/>
    <w:rsid w:val="009B3501"/>
    <w:rsid w:val="009C33CE"/>
    <w:rsid w:val="009C34ED"/>
    <w:rsid w:val="009C5446"/>
    <w:rsid w:val="009C5E9F"/>
    <w:rsid w:val="009C7BE8"/>
    <w:rsid w:val="009D2205"/>
    <w:rsid w:val="009D2DBD"/>
    <w:rsid w:val="009E1883"/>
    <w:rsid w:val="009E2DEF"/>
    <w:rsid w:val="009E3941"/>
    <w:rsid w:val="009E4019"/>
    <w:rsid w:val="009E5539"/>
    <w:rsid w:val="009F177D"/>
    <w:rsid w:val="009F4845"/>
    <w:rsid w:val="009F5C0D"/>
    <w:rsid w:val="009F7543"/>
    <w:rsid w:val="00A01ADD"/>
    <w:rsid w:val="00A0285C"/>
    <w:rsid w:val="00A0675F"/>
    <w:rsid w:val="00A07F4B"/>
    <w:rsid w:val="00A12188"/>
    <w:rsid w:val="00A125F4"/>
    <w:rsid w:val="00A13CD3"/>
    <w:rsid w:val="00A14414"/>
    <w:rsid w:val="00A166F7"/>
    <w:rsid w:val="00A3392F"/>
    <w:rsid w:val="00A347E5"/>
    <w:rsid w:val="00A368FF"/>
    <w:rsid w:val="00A401BC"/>
    <w:rsid w:val="00A41B80"/>
    <w:rsid w:val="00A4224D"/>
    <w:rsid w:val="00A42D60"/>
    <w:rsid w:val="00A4301D"/>
    <w:rsid w:val="00A4327D"/>
    <w:rsid w:val="00A507E9"/>
    <w:rsid w:val="00A545CC"/>
    <w:rsid w:val="00A54FD6"/>
    <w:rsid w:val="00A60E82"/>
    <w:rsid w:val="00A64AC4"/>
    <w:rsid w:val="00A67F9C"/>
    <w:rsid w:val="00A725D7"/>
    <w:rsid w:val="00A74A99"/>
    <w:rsid w:val="00A76738"/>
    <w:rsid w:val="00A8119C"/>
    <w:rsid w:val="00AA29D3"/>
    <w:rsid w:val="00AA6495"/>
    <w:rsid w:val="00AB2B18"/>
    <w:rsid w:val="00AB3237"/>
    <w:rsid w:val="00AB3672"/>
    <w:rsid w:val="00AB56A3"/>
    <w:rsid w:val="00AC4BBB"/>
    <w:rsid w:val="00AC60C5"/>
    <w:rsid w:val="00AD104E"/>
    <w:rsid w:val="00AD1E76"/>
    <w:rsid w:val="00AD2464"/>
    <w:rsid w:val="00AD262A"/>
    <w:rsid w:val="00AD72A9"/>
    <w:rsid w:val="00AE33D8"/>
    <w:rsid w:val="00AE5828"/>
    <w:rsid w:val="00AE6415"/>
    <w:rsid w:val="00AF07B4"/>
    <w:rsid w:val="00AF5235"/>
    <w:rsid w:val="00AF7210"/>
    <w:rsid w:val="00B016F6"/>
    <w:rsid w:val="00B0226F"/>
    <w:rsid w:val="00B02A75"/>
    <w:rsid w:val="00B02F8C"/>
    <w:rsid w:val="00B0389E"/>
    <w:rsid w:val="00B04D96"/>
    <w:rsid w:val="00B06FC6"/>
    <w:rsid w:val="00B104A1"/>
    <w:rsid w:val="00B11C08"/>
    <w:rsid w:val="00B13D5B"/>
    <w:rsid w:val="00B16A3F"/>
    <w:rsid w:val="00B17282"/>
    <w:rsid w:val="00B232E8"/>
    <w:rsid w:val="00B250BF"/>
    <w:rsid w:val="00B259AB"/>
    <w:rsid w:val="00B27FF3"/>
    <w:rsid w:val="00B3017A"/>
    <w:rsid w:val="00B309F4"/>
    <w:rsid w:val="00B356CD"/>
    <w:rsid w:val="00B37F55"/>
    <w:rsid w:val="00B40A2F"/>
    <w:rsid w:val="00B4623B"/>
    <w:rsid w:val="00B463D0"/>
    <w:rsid w:val="00B4714E"/>
    <w:rsid w:val="00B50B18"/>
    <w:rsid w:val="00B51AD3"/>
    <w:rsid w:val="00B537F1"/>
    <w:rsid w:val="00B56153"/>
    <w:rsid w:val="00B572B7"/>
    <w:rsid w:val="00B632C2"/>
    <w:rsid w:val="00B638CE"/>
    <w:rsid w:val="00B6414E"/>
    <w:rsid w:val="00B65FF7"/>
    <w:rsid w:val="00B67CDC"/>
    <w:rsid w:val="00B7057E"/>
    <w:rsid w:val="00B72E65"/>
    <w:rsid w:val="00B7478F"/>
    <w:rsid w:val="00B74DE2"/>
    <w:rsid w:val="00B82BC3"/>
    <w:rsid w:val="00B84A77"/>
    <w:rsid w:val="00B86C33"/>
    <w:rsid w:val="00B87367"/>
    <w:rsid w:val="00B9227D"/>
    <w:rsid w:val="00B96097"/>
    <w:rsid w:val="00B97410"/>
    <w:rsid w:val="00BA004A"/>
    <w:rsid w:val="00BA08FB"/>
    <w:rsid w:val="00BA43B0"/>
    <w:rsid w:val="00BA4932"/>
    <w:rsid w:val="00BA7939"/>
    <w:rsid w:val="00BB0346"/>
    <w:rsid w:val="00BB56C9"/>
    <w:rsid w:val="00BB74DD"/>
    <w:rsid w:val="00BB7DBA"/>
    <w:rsid w:val="00BC2FAA"/>
    <w:rsid w:val="00BC44F9"/>
    <w:rsid w:val="00BD2602"/>
    <w:rsid w:val="00BD58F6"/>
    <w:rsid w:val="00BD69B7"/>
    <w:rsid w:val="00BE2286"/>
    <w:rsid w:val="00BE5DF9"/>
    <w:rsid w:val="00BE63D7"/>
    <w:rsid w:val="00BE6885"/>
    <w:rsid w:val="00BE6EE0"/>
    <w:rsid w:val="00BE731A"/>
    <w:rsid w:val="00BF098C"/>
    <w:rsid w:val="00BF0EDA"/>
    <w:rsid w:val="00BF4AF0"/>
    <w:rsid w:val="00BF4C3F"/>
    <w:rsid w:val="00BF5CFF"/>
    <w:rsid w:val="00BF78DF"/>
    <w:rsid w:val="00C0003E"/>
    <w:rsid w:val="00C06C17"/>
    <w:rsid w:val="00C104DA"/>
    <w:rsid w:val="00C12A68"/>
    <w:rsid w:val="00C14C7D"/>
    <w:rsid w:val="00C15740"/>
    <w:rsid w:val="00C1665A"/>
    <w:rsid w:val="00C17C09"/>
    <w:rsid w:val="00C237A4"/>
    <w:rsid w:val="00C25029"/>
    <w:rsid w:val="00C3292E"/>
    <w:rsid w:val="00C370F6"/>
    <w:rsid w:val="00C435BA"/>
    <w:rsid w:val="00C44A31"/>
    <w:rsid w:val="00C4767F"/>
    <w:rsid w:val="00C51004"/>
    <w:rsid w:val="00C54C57"/>
    <w:rsid w:val="00C66AF2"/>
    <w:rsid w:val="00C67D00"/>
    <w:rsid w:val="00C71165"/>
    <w:rsid w:val="00C71F7C"/>
    <w:rsid w:val="00C76CEB"/>
    <w:rsid w:val="00C80A16"/>
    <w:rsid w:val="00C821DC"/>
    <w:rsid w:val="00C84180"/>
    <w:rsid w:val="00C900FB"/>
    <w:rsid w:val="00CA17CD"/>
    <w:rsid w:val="00CB0113"/>
    <w:rsid w:val="00CB1751"/>
    <w:rsid w:val="00CB41BF"/>
    <w:rsid w:val="00CB5641"/>
    <w:rsid w:val="00CB610C"/>
    <w:rsid w:val="00CC11D3"/>
    <w:rsid w:val="00CC2DE2"/>
    <w:rsid w:val="00CC31DA"/>
    <w:rsid w:val="00CC5FC4"/>
    <w:rsid w:val="00CD048F"/>
    <w:rsid w:val="00CD15DF"/>
    <w:rsid w:val="00CD3720"/>
    <w:rsid w:val="00CE04BB"/>
    <w:rsid w:val="00CE0C66"/>
    <w:rsid w:val="00CE263A"/>
    <w:rsid w:val="00CE5693"/>
    <w:rsid w:val="00CF0BE6"/>
    <w:rsid w:val="00CF1275"/>
    <w:rsid w:val="00CF141E"/>
    <w:rsid w:val="00CF3004"/>
    <w:rsid w:val="00CF7447"/>
    <w:rsid w:val="00CF758C"/>
    <w:rsid w:val="00D1359E"/>
    <w:rsid w:val="00D14464"/>
    <w:rsid w:val="00D2005A"/>
    <w:rsid w:val="00D2549B"/>
    <w:rsid w:val="00D27930"/>
    <w:rsid w:val="00D33378"/>
    <w:rsid w:val="00D35C88"/>
    <w:rsid w:val="00D37763"/>
    <w:rsid w:val="00D406F8"/>
    <w:rsid w:val="00D42F4F"/>
    <w:rsid w:val="00D43671"/>
    <w:rsid w:val="00D44BCE"/>
    <w:rsid w:val="00D460FC"/>
    <w:rsid w:val="00D46C2B"/>
    <w:rsid w:val="00D47465"/>
    <w:rsid w:val="00D47EB9"/>
    <w:rsid w:val="00D50533"/>
    <w:rsid w:val="00D51326"/>
    <w:rsid w:val="00D545F7"/>
    <w:rsid w:val="00D54B28"/>
    <w:rsid w:val="00D555A4"/>
    <w:rsid w:val="00D60717"/>
    <w:rsid w:val="00D60736"/>
    <w:rsid w:val="00D617BE"/>
    <w:rsid w:val="00D6433C"/>
    <w:rsid w:val="00D64867"/>
    <w:rsid w:val="00D64B4E"/>
    <w:rsid w:val="00D64F44"/>
    <w:rsid w:val="00D67448"/>
    <w:rsid w:val="00D71C9C"/>
    <w:rsid w:val="00D767FA"/>
    <w:rsid w:val="00D77C77"/>
    <w:rsid w:val="00D80087"/>
    <w:rsid w:val="00D82EF9"/>
    <w:rsid w:val="00D832D2"/>
    <w:rsid w:val="00D8493A"/>
    <w:rsid w:val="00D84E72"/>
    <w:rsid w:val="00D860E4"/>
    <w:rsid w:val="00D94D5D"/>
    <w:rsid w:val="00D97F29"/>
    <w:rsid w:val="00DA0F81"/>
    <w:rsid w:val="00DA2A57"/>
    <w:rsid w:val="00DA3338"/>
    <w:rsid w:val="00DA354E"/>
    <w:rsid w:val="00DA63B1"/>
    <w:rsid w:val="00DB7DC3"/>
    <w:rsid w:val="00DC2177"/>
    <w:rsid w:val="00DC3C81"/>
    <w:rsid w:val="00DC3F17"/>
    <w:rsid w:val="00DD22CA"/>
    <w:rsid w:val="00DD3683"/>
    <w:rsid w:val="00DD7746"/>
    <w:rsid w:val="00DD7B4E"/>
    <w:rsid w:val="00DD7DE0"/>
    <w:rsid w:val="00DE44D5"/>
    <w:rsid w:val="00DE74E9"/>
    <w:rsid w:val="00DF2D23"/>
    <w:rsid w:val="00DF7A9A"/>
    <w:rsid w:val="00E00B8A"/>
    <w:rsid w:val="00E06549"/>
    <w:rsid w:val="00E1107F"/>
    <w:rsid w:val="00E11BAD"/>
    <w:rsid w:val="00E13700"/>
    <w:rsid w:val="00E222F3"/>
    <w:rsid w:val="00E23028"/>
    <w:rsid w:val="00E231BE"/>
    <w:rsid w:val="00E248B7"/>
    <w:rsid w:val="00E24F4C"/>
    <w:rsid w:val="00E25859"/>
    <w:rsid w:val="00E330CF"/>
    <w:rsid w:val="00E354E1"/>
    <w:rsid w:val="00E3700F"/>
    <w:rsid w:val="00E408B6"/>
    <w:rsid w:val="00E42029"/>
    <w:rsid w:val="00E42884"/>
    <w:rsid w:val="00E43CE8"/>
    <w:rsid w:val="00E44ECD"/>
    <w:rsid w:val="00E462D9"/>
    <w:rsid w:val="00E511BE"/>
    <w:rsid w:val="00E5607A"/>
    <w:rsid w:val="00E60089"/>
    <w:rsid w:val="00E60E0F"/>
    <w:rsid w:val="00E62831"/>
    <w:rsid w:val="00E62EC0"/>
    <w:rsid w:val="00E631EF"/>
    <w:rsid w:val="00E65BAC"/>
    <w:rsid w:val="00E73762"/>
    <w:rsid w:val="00E75B92"/>
    <w:rsid w:val="00E80B7C"/>
    <w:rsid w:val="00E91043"/>
    <w:rsid w:val="00E92B54"/>
    <w:rsid w:val="00E9320E"/>
    <w:rsid w:val="00E93400"/>
    <w:rsid w:val="00E93E98"/>
    <w:rsid w:val="00E94BB5"/>
    <w:rsid w:val="00EA2583"/>
    <w:rsid w:val="00EA4831"/>
    <w:rsid w:val="00EB05B5"/>
    <w:rsid w:val="00EB0C9D"/>
    <w:rsid w:val="00EB0E9B"/>
    <w:rsid w:val="00EB7D09"/>
    <w:rsid w:val="00EC2092"/>
    <w:rsid w:val="00EC7633"/>
    <w:rsid w:val="00ED0E65"/>
    <w:rsid w:val="00EE08B5"/>
    <w:rsid w:val="00EE13A2"/>
    <w:rsid w:val="00EE418C"/>
    <w:rsid w:val="00EF0CAE"/>
    <w:rsid w:val="00EF385C"/>
    <w:rsid w:val="00EF540A"/>
    <w:rsid w:val="00EF682E"/>
    <w:rsid w:val="00F00267"/>
    <w:rsid w:val="00F009FD"/>
    <w:rsid w:val="00F019A0"/>
    <w:rsid w:val="00F0289A"/>
    <w:rsid w:val="00F10701"/>
    <w:rsid w:val="00F11FB9"/>
    <w:rsid w:val="00F12CD4"/>
    <w:rsid w:val="00F13001"/>
    <w:rsid w:val="00F20285"/>
    <w:rsid w:val="00F204A1"/>
    <w:rsid w:val="00F24A9C"/>
    <w:rsid w:val="00F2527D"/>
    <w:rsid w:val="00F25372"/>
    <w:rsid w:val="00F25628"/>
    <w:rsid w:val="00F261D5"/>
    <w:rsid w:val="00F26EDA"/>
    <w:rsid w:val="00F2712F"/>
    <w:rsid w:val="00F3083E"/>
    <w:rsid w:val="00F323F0"/>
    <w:rsid w:val="00F344BC"/>
    <w:rsid w:val="00F37E12"/>
    <w:rsid w:val="00F41CF5"/>
    <w:rsid w:val="00F44CA4"/>
    <w:rsid w:val="00F47801"/>
    <w:rsid w:val="00F53281"/>
    <w:rsid w:val="00F57350"/>
    <w:rsid w:val="00F60B50"/>
    <w:rsid w:val="00F638D3"/>
    <w:rsid w:val="00F650A9"/>
    <w:rsid w:val="00F669E1"/>
    <w:rsid w:val="00F7075F"/>
    <w:rsid w:val="00F70F7D"/>
    <w:rsid w:val="00F75922"/>
    <w:rsid w:val="00F763C8"/>
    <w:rsid w:val="00F77329"/>
    <w:rsid w:val="00F8024B"/>
    <w:rsid w:val="00F83E50"/>
    <w:rsid w:val="00F84CFC"/>
    <w:rsid w:val="00FA5ABD"/>
    <w:rsid w:val="00FB7686"/>
    <w:rsid w:val="00FC1EFA"/>
    <w:rsid w:val="00FC2D0E"/>
    <w:rsid w:val="00FC3E11"/>
    <w:rsid w:val="00FC3FC8"/>
    <w:rsid w:val="00FC6930"/>
    <w:rsid w:val="00FD4694"/>
    <w:rsid w:val="00FD7BF4"/>
    <w:rsid w:val="00FE2F66"/>
    <w:rsid w:val="00FF0F2F"/>
    <w:rsid w:val="00FF391A"/>
    <w:rsid w:val="00FF6BCE"/>
    <w:rsid w:val="01A7608C"/>
    <w:rsid w:val="01DD1DDB"/>
    <w:rsid w:val="027104FC"/>
    <w:rsid w:val="029A187E"/>
    <w:rsid w:val="02F23BAF"/>
    <w:rsid w:val="03520AC3"/>
    <w:rsid w:val="03BA1B83"/>
    <w:rsid w:val="03C76312"/>
    <w:rsid w:val="03D175E8"/>
    <w:rsid w:val="04907368"/>
    <w:rsid w:val="04DB23B5"/>
    <w:rsid w:val="0536626E"/>
    <w:rsid w:val="05377B18"/>
    <w:rsid w:val="058C7450"/>
    <w:rsid w:val="05934DF8"/>
    <w:rsid w:val="05FC4841"/>
    <w:rsid w:val="06006C4E"/>
    <w:rsid w:val="06911515"/>
    <w:rsid w:val="075C3970"/>
    <w:rsid w:val="07BF5A55"/>
    <w:rsid w:val="080A045C"/>
    <w:rsid w:val="086F1AAE"/>
    <w:rsid w:val="097E2834"/>
    <w:rsid w:val="09AA5D69"/>
    <w:rsid w:val="0BDA49B3"/>
    <w:rsid w:val="0CAA523C"/>
    <w:rsid w:val="0CCE2319"/>
    <w:rsid w:val="0D1F37D1"/>
    <w:rsid w:val="0DB56265"/>
    <w:rsid w:val="0DE639A6"/>
    <w:rsid w:val="0DF878E7"/>
    <w:rsid w:val="0DFD4A91"/>
    <w:rsid w:val="0E0632C6"/>
    <w:rsid w:val="0E2237CA"/>
    <w:rsid w:val="0E4D5B60"/>
    <w:rsid w:val="0E645DF2"/>
    <w:rsid w:val="0E9A7ED4"/>
    <w:rsid w:val="0F3F5AE1"/>
    <w:rsid w:val="0F975E1D"/>
    <w:rsid w:val="0FCB68ED"/>
    <w:rsid w:val="0FE47E65"/>
    <w:rsid w:val="10A44C78"/>
    <w:rsid w:val="10D96841"/>
    <w:rsid w:val="11075522"/>
    <w:rsid w:val="122F2B53"/>
    <w:rsid w:val="123C49C0"/>
    <w:rsid w:val="12847191"/>
    <w:rsid w:val="12904491"/>
    <w:rsid w:val="12BA07A5"/>
    <w:rsid w:val="12CB7703"/>
    <w:rsid w:val="131830AA"/>
    <w:rsid w:val="133D279D"/>
    <w:rsid w:val="14086DC9"/>
    <w:rsid w:val="14D062CA"/>
    <w:rsid w:val="15233B45"/>
    <w:rsid w:val="15512484"/>
    <w:rsid w:val="15CC2D06"/>
    <w:rsid w:val="15E73501"/>
    <w:rsid w:val="16296478"/>
    <w:rsid w:val="1647192B"/>
    <w:rsid w:val="16AF4443"/>
    <w:rsid w:val="17F92C9E"/>
    <w:rsid w:val="181E7944"/>
    <w:rsid w:val="18A65C13"/>
    <w:rsid w:val="18F8172D"/>
    <w:rsid w:val="19205A29"/>
    <w:rsid w:val="199E2E6B"/>
    <w:rsid w:val="19B05DCE"/>
    <w:rsid w:val="1A336D9D"/>
    <w:rsid w:val="1A9A20ED"/>
    <w:rsid w:val="1ABA48F9"/>
    <w:rsid w:val="1B100058"/>
    <w:rsid w:val="1B485C4E"/>
    <w:rsid w:val="1BD45342"/>
    <w:rsid w:val="1C1D5C5C"/>
    <w:rsid w:val="1CB0280E"/>
    <w:rsid w:val="1D6F2958"/>
    <w:rsid w:val="1E2E4982"/>
    <w:rsid w:val="1E2F20D9"/>
    <w:rsid w:val="1E405EF4"/>
    <w:rsid w:val="1E7C34AE"/>
    <w:rsid w:val="1E8342C6"/>
    <w:rsid w:val="1EC93D1A"/>
    <w:rsid w:val="1ED6378A"/>
    <w:rsid w:val="1F247A0C"/>
    <w:rsid w:val="1F844CA8"/>
    <w:rsid w:val="201257DF"/>
    <w:rsid w:val="20A978A1"/>
    <w:rsid w:val="21760A05"/>
    <w:rsid w:val="222136D6"/>
    <w:rsid w:val="227F69AC"/>
    <w:rsid w:val="22810BCB"/>
    <w:rsid w:val="23613054"/>
    <w:rsid w:val="23A075BC"/>
    <w:rsid w:val="246C7D08"/>
    <w:rsid w:val="24796027"/>
    <w:rsid w:val="24827C8A"/>
    <w:rsid w:val="24D93B00"/>
    <w:rsid w:val="25571204"/>
    <w:rsid w:val="258E6CA7"/>
    <w:rsid w:val="26A62D06"/>
    <w:rsid w:val="26B1178E"/>
    <w:rsid w:val="26D51193"/>
    <w:rsid w:val="279940DA"/>
    <w:rsid w:val="27C20D3D"/>
    <w:rsid w:val="28143BCE"/>
    <w:rsid w:val="28166395"/>
    <w:rsid w:val="283A3F0F"/>
    <w:rsid w:val="288F29DA"/>
    <w:rsid w:val="28B67DBD"/>
    <w:rsid w:val="291D1213"/>
    <w:rsid w:val="2939686F"/>
    <w:rsid w:val="299054D8"/>
    <w:rsid w:val="29C1586F"/>
    <w:rsid w:val="2A7714A4"/>
    <w:rsid w:val="2BA05CBC"/>
    <w:rsid w:val="2C1913EC"/>
    <w:rsid w:val="2CE4523D"/>
    <w:rsid w:val="2D12256D"/>
    <w:rsid w:val="2DCB7F73"/>
    <w:rsid w:val="2DE95910"/>
    <w:rsid w:val="2E260344"/>
    <w:rsid w:val="2E734141"/>
    <w:rsid w:val="2F2663C7"/>
    <w:rsid w:val="2F882A11"/>
    <w:rsid w:val="30A26D42"/>
    <w:rsid w:val="30E715E8"/>
    <w:rsid w:val="30FB6020"/>
    <w:rsid w:val="31380C7D"/>
    <w:rsid w:val="326E7E4D"/>
    <w:rsid w:val="32B833AF"/>
    <w:rsid w:val="32DE33FD"/>
    <w:rsid w:val="33923E41"/>
    <w:rsid w:val="34496377"/>
    <w:rsid w:val="3473097F"/>
    <w:rsid w:val="34750DEC"/>
    <w:rsid w:val="35A13572"/>
    <w:rsid w:val="35BC5AD7"/>
    <w:rsid w:val="35DE058B"/>
    <w:rsid w:val="35EA64FD"/>
    <w:rsid w:val="35FA36E0"/>
    <w:rsid w:val="361F1D5C"/>
    <w:rsid w:val="36626E2C"/>
    <w:rsid w:val="367F03EF"/>
    <w:rsid w:val="369013EA"/>
    <w:rsid w:val="37573E39"/>
    <w:rsid w:val="3758743B"/>
    <w:rsid w:val="38636111"/>
    <w:rsid w:val="38700706"/>
    <w:rsid w:val="387C3025"/>
    <w:rsid w:val="38FA1379"/>
    <w:rsid w:val="397F563B"/>
    <w:rsid w:val="39816359"/>
    <w:rsid w:val="39A41D45"/>
    <w:rsid w:val="39CB3D25"/>
    <w:rsid w:val="3A1C6673"/>
    <w:rsid w:val="3A2F1849"/>
    <w:rsid w:val="3A6B32AC"/>
    <w:rsid w:val="3AA550E6"/>
    <w:rsid w:val="3B800F73"/>
    <w:rsid w:val="3B9E18B6"/>
    <w:rsid w:val="3BB30288"/>
    <w:rsid w:val="3BF17FB0"/>
    <w:rsid w:val="3CFF5069"/>
    <w:rsid w:val="3D1236AB"/>
    <w:rsid w:val="3D3100CF"/>
    <w:rsid w:val="3D723DD7"/>
    <w:rsid w:val="3D8D0464"/>
    <w:rsid w:val="3DAD4E3F"/>
    <w:rsid w:val="3DC215AF"/>
    <w:rsid w:val="3E0C6502"/>
    <w:rsid w:val="3E832165"/>
    <w:rsid w:val="3E943839"/>
    <w:rsid w:val="3EC50D1B"/>
    <w:rsid w:val="3EFF350C"/>
    <w:rsid w:val="3F161F71"/>
    <w:rsid w:val="3F40766C"/>
    <w:rsid w:val="3F4567E1"/>
    <w:rsid w:val="3F6F71A7"/>
    <w:rsid w:val="3FDB27D6"/>
    <w:rsid w:val="40931EAC"/>
    <w:rsid w:val="40E62E7D"/>
    <w:rsid w:val="40F52DC0"/>
    <w:rsid w:val="41123315"/>
    <w:rsid w:val="41753925"/>
    <w:rsid w:val="41B958AF"/>
    <w:rsid w:val="427F7C80"/>
    <w:rsid w:val="429A1417"/>
    <w:rsid w:val="42AB228D"/>
    <w:rsid w:val="42D13EC8"/>
    <w:rsid w:val="435F435D"/>
    <w:rsid w:val="43F13BDE"/>
    <w:rsid w:val="4436057F"/>
    <w:rsid w:val="443A40BF"/>
    <w:rsid w:val="44653991"/>
    <w:rsid w:val="45782CDC"/>
    <w:rsid w:val="464C6EE7"/>
    <w:rsid w:val="46615AF6"/>
    <w:rsid w:val="46A61BF8"/>
    <w:rsid w:val="46CB6236"/>
    <w:rsid w:val="47942B0E"/>
    <w:rsid w:val="479F0E45"/>
    <w:rsid w:val="48763A80"/>
    <w:rsid w:val="48FC406E"/>
    <w:rsid w:val="48FD37D9"/>
    <w:rsid w:val="49712F86"/>
    <w:rsid w:val="49A157B7"/>
    <w:rsid w:val="49B26655"/>
    <w:rsid w:val="4A031027"/>
    <w:rsid w:val="4A5E47CC"/>
    <w:rsid w:val="4AC27642"/>
    <w:rsid w:val="4ADB14EE"/>
    <w:rsid w:val="4B3B75DC"/>
    <w:rsid w:val="4BE975CE"/>
    <w:rsid w:val="4C0E0657"/>
    <w:rsid w:val="4C1C1D77"/>
    <w:rsid w:val="4CE47FBF"/>
    <w:rsid w:val="4CF8661D"/>
    <w:rsid w:val="4CFD78A8"/>
    <w:rsid w:val="4D737DF0"/>
    <w:rsid w:val="4DE23569"/>
    <w:rsid w:val="4E3F2E89"/>
    <w:rsid w:val="4E5D3762"/>
    <w:rsid w:val="4F7C0AD1"/>
    <w:rsid w:val="4FD179D6"/>
    <w:rsid w:val="500357BB"/>
    <w:rsid w:val="504F73BD"/>
    <w:rsid w:val="50973D4D"/>
    <w:rsid w:val="50F005E4"/>
    <w:rsid w:val="518D168B"/>
    <w:rsid w:val="51F43356"/>
    <w:rsid w:val="52AF2B69"/>
    <w:rsid w:val="533450D6"/>
    <w:rsid w:val="53FE6F40"/>
    <w:rsid w:val="54254490"/>
    <w:rsid w:val="54273965"/>
    <w:rsid w:val="54980746"/>
    <w:rsid w:val="54A16BF8"/>
    <w:rsid w:val="54BB6C88"/>
    <w:rsid w:val="54EB066E"/>
    <w:rsid w:val="55575F45"/>
    <w:rsid w:val="55F4043A"/>
    <w:rsid w:val="564B015C"/>
    <w:rsid w:val="56571DA5"/>
    <w:rsid w:val="56CA7081"/>
    <w:rsid w:val="56F7053C"/>
    <w:rsid w:val="57240366"/>
    <w:rsid w:val="575A72CB"/>
    <w:rsid w:val="59116D72"/>
    <w:rsid w:val="594B3864"/>
    <w:rsid w:val="5A531560"/>
    <w:rsid w:val="5C210A58"/>
    <w:rsid w:val="5C4A5809"/>
    <w:rsid w:val="5C6B5784"/>
    <w:rsid w:val="5CAE3F45"/>
    <w:rsid w:val="5CC57632"/>
    <w:rsid w:val="5DDC2AF8"/>
    <w:rsid w:val="5DF24353"/>
    <w:rsid w:val="5E5D3327"/>
    <w:rsid w:val="60076895"/>
    <w:rsid w:val="607F3749"/>
    <w:rsid w:val="61C80381"/>
    <w:rsid w:val="61E408FB"/>
    <w:rsid w:val="62D37937"/>
    <w:rsid w:val="63137914"/>
    <w:rsid w:val="6318036C"/>
    <w:rsid w:val="63A06CDC"/>
    <w:rsid w:val="63FF642B"/>
    <w:rsid w:val="647E3DD7"/>
    <w:rsid w:val="648B01E9"/>
    <w:rsid w:val="64FE5CD8"/>
    <w:rsid w:val="652206E1"/>
    <w:rsid w:val="658918D7"/>
    <w:rsid w:val="65C332FC"/>
    <w:rsid w:val="65C6799D"/>
    <w:rsid w:val="66082841"/>
    <w:rsid w:val="66A21C90"/>
    <w:rsid w:val="66D73CFB"/>
    <w:rsid w:val="67202F15"/>
    <w:rsid w:val="673F5C02"/>
    <w:rsid w:val="67E67E83"/>
    <w:rsid w:val="68D51218"/>
    <w:rsid w:val="69942A14"/>
    <w:rsid w:val="69A131E4"/>
    <w:rsid w:val="69E97A77"/>
    <w:rsid w:val="6A05091A"/>
    <w:rsid w:val="6A08010A"/>
    <w:rsid w:val="6A43285E"/>
    <w:rsid w:val="6B1A70FD"/>
    <w:rsid w:val="6B720F44"/>
    <w:rsid w:val="6BDF76D7"/>
    <w:rsid w:val="6CCA178D"/>
    <w:rsid w:val="6D067FDA"/>
    <w:rsid w:val="6D0A4613"/>
    <w:rsid w:val="6D34028B"/>
    <w:rsid w:val="6DFB0A52"/>
    <w:rsid w:val="6DFC09A5"/>
    <w:rsid w:val="6E7A7577"/>
    <w:rsid w:val="6EBB4C82"/>
    <w:rsid w:val="6F2D7C26"/>
    <w:rsid w:val="6FAC723E"/>
    <w:rsid w:val="705C654C"/>
    <w:rsid w:val="70CB2626"/>
    <w:rsid w:val="715268C4"/>
    <w:rsid w:val="71D36B74"/>
    <w:rsid w:val="724518E0"/>
    <w:rsid w:val="72551EFE"/>
    <w:rsid w:val="738E1C0C"/>
    <w:rsid w:val="73FA33A1"/>
    <w:rsid w:val="74281F5B"/>
    <w:rsid w:val="74AE2A93"/>
    <w:rsid w:val="74D74B23"/>
    <w:rsid w:val="7590766D"/>
    <w:rsid w:val="759768DC"/>
    <w:rsid w:val="75A90DE2"/>
    <w:rsid w:val="75B12021"/>
    <w:rsid w:val="75B54BB8"/>
    <w:rsid w:val="76245AB2"/>
    <w:rsid w:val="766548EB"/>
    <w:rsid w:val="778B383B"/>
    <w:rsid w:val="77A83B40"/>
    <w:rsid w:val="77FD6317"/>
    <w:rsid w:val="78EA4451"/>
    <w:rsid w:val="79464FE0"/>
    <w:rsid w:val="79D000BA"/>
    <w:rsid w:val="79F31C00"/>
    <w:rsid w:val="7A555D0A"/>
    <w:rsid w:val="7AC97A44"/>
    <w:rsid w:val="7AFE6A2D"/>
    <w:rsid w:val="7B00752B"/>
    <w:rsid w:val="7B3F255A"/>
    <w:rsid w:val="7B6C04A4"/>
    <w:rsid w:val="7B946962"/>
    <w:rsid w:val="7CE24302"/>
    <w:rsid w:val="7D016D57"/>
    <w:rsid w:val="7D5C45F2"/>
    <w:rsid w:val="7D876AD5"/>
    <w:rsid w:val="7DA77C5D"/>
    <w:rsid w:val="7DFF14C6"/>
    <w:rsid w:val="7E042C41"/>
    <w:rsid w:val="7E171ACD"/>
    <w:rsid w:val="7E585053"/>
    <w:rsid w:val="7EAB6839"/>
    <w:rsid w:val="7EC63F15"/>
    <w:rsid w:val="7ED67840"/>
    <w:rsid w:val="7EDD76E2"/>
    <w:rsid w:val="7F57693D"/>
    <w:rsid w:val="7F7B72DA"/>
    <w:rsid w:val="7FC1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楷体_GB2312" w:cs="Times New Roman"/>
      <w:kern w:val="2"/>
      <w:sz w:val="26"/>
      <w:lang w:val="en-US" w:eastAsia="zh-CN" w:bidi="ar-SA"/>
    </w:rPr>
  </w:style>
  <w:style w:type="paragraph" w:styleId="3">
    <w:name w:val="heading 1"/>
    <w:basedOn w:val="1"/>
    <w:next w:val="1"/>
    <w:link w:val="77"/>
    <w:autoRedefine/>
    <w:qFormat/>
    <w:uiPriority w:val="0"/>
    <w:pPr>
      <w:keepNext/>
      <w:keepLines/>
      <w:spacing w:before="340" w:after="330" w:line="578" w:lineRule="auto"/>
      <w:outlineLvl w:val="0"/>
    </w:pPr>
    <w:rPr>
      <w:rFonts w:ascii="Times New Roman" w:hAnsi="Times New Roman"/>
      <w:b/>
      <w:kern w:val="44"/>
      <w:sz w:val="44"/>
    </w:rPr>
  </w:style>
  <w:style w:type="paragraph" w:styleId="4">
    <w:name w:val="heading 2"/>
    <w:basedOn w:val="1"/>
    <w:next w:val="1"/>
    <w:link w:val="78"/>
    <w:autoRedefine/>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1"/>
    <w:link w:val="79"/>
    <w:autoRedefine/>
    <w:qFormat/>
    <w:uiPriority w:val="0"/>
    <w:pPr>
      <w:keepNext/>
      <w:keepLines/>
      <w:adjustRightInd w:val="0"/>
      <w:jc w:val="left"/>
      <w:textAlignment w:val="baseline"/>
      <w:outlineLvl w:val="2"/>
    </w:pPr>
    <w:rPr>
      <w:rFonts w:ascii="Times New Roman" w:hAnsi="Times New Roman"/>
      <w:b/>
    </w:rPr>
  </w:style>
  <w:style w:type="paragraph" w:styleId="2">
    <w:name w:val="heading 4"/>
    <w:basedOn w:val="1"/>
    <w:next w:val="1"/>
    <w:link w:val="8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autoRedefine/>
    <w:qFormat/>
    <w:uiPriority w:val="0"/>
    <w:pPr>
      <w:keepNext/>
      <w:keepLines/>
      <w:tabs>
        <w:tab w:val="left" w:pos="1008"/>
      </w:tabs>
      <w:spacing w:before="280" w:after="290" w:line="376" w:lineRule="auto"/>
      <w:ind w:left="1008" w:hanging="1008"/>
      <w:outlineLvl w:val="4"/>
    </w:pPr>
    <w:rPr>
      <w:rFonts w:ascii="宋体" w:hAnsi="Times New Roman" w:eastAsia="宋体"/>
      <w:b/>
      <w:spacing w:val="-2"/>
      <w:position w:val="-6"/>
      <w:sz w:val="28"/>
    </w:rPr>
  </w:style>
  <w:style w:type="paragraph" w:styleId="8">
    <w:name w:val="heading 6"/>
    <w:basedOn w:val="1"/>
    <w:next w:val="7"/>
    <w:link w:val="83"/>
    <w:autoRedefine/>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rPr>
  </w:style>
  <w:style w:type="paragraph" w:styleId="9">
    <w:name w:val="heading 7"/>
    <w:basedOn w:val="1"/>
    <w:next w:val="7"/>
    <w:link w:val="84"/>
    <w:autoRedefine/>
    <w:qFormat/>
    <w:uiPriority w:val="0"/>
    <w:pPr>
      <w:keepNext/>
      <w:keepLines/>
      <w:tabs>
        <w:tab w:val="left" w:pos="1296"/>
      </w:tabs>
      <w:spacing w:before="240" w:after="64" w:line="320" w:lineRule="auto"/>
      <w:ind w:left="1296" w:hanging="1296"/>
      <w:outlineLvl w:val="6"/>
    </w:pPr>
    <w:rPr>
      <w:rFonts w:ascii="宋体" w:hAnsi="Times New Roman" w:eastAsia="宋体"/>
      <w:b/>
      <w:spacing w:val="-2"/>
      <w:position w:val="-6"/>
      <w:sz w:val="24"/>
    </w:rPr>
  </w:style>
  <w:style w:type="paragraph" w:styleId="10">
    <w:name w:val="heading 8"/>
    <w:basedOn w:val="1"/>
    <w:next w:val="7"/>
    <w:link w:val="85"/>
    <w:autoRedefine/>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rPr>
  </w:style>
  <w:style w:type="paragraph" w:styleId="11">
    <w:name w:val="heading 9"/>
    <w:basedOn w:val="1"/>
    <w:next w:val="7"/>
    <w:link w:val="86"/>
    <w:autoRedefine/>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rPr>
  </w:style>
  <w:style w:type="character" w:default="1" w:styleId="59">
    <w:name w:val="Default Paragraph Font"/>
    <w:semiHidden/>
    <w:unhideWhenUsed/>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1"/>
    <w:autoRedefine/>
    <w:qFormat/>
    <w:uiPriority w:val="0"/>
    <w:pPr>
      <w:adjustRightInd w:val="0"/>
      <w:ind w:firstLine="420"/>
      <w:jc w:val="left"/>
      <w:textAlignment w:val="baseline"/>
    </w:pPr>
    <w:rPr>
      <w:rFonts w:ascii="Times New Roman" w:hAnsi="Times New Roman"/>
      <w:sz w:val="24"/>
    </w:rPr>
  </w:style>
  <w:style w:type="paragraph" w:styleId="12">
    <w:name w:val="toc 7"/>
    <w:basedOn w:val="1"/>
    <w:next w:val="1"/>
    <w:autoRedefine/>
    <w:qFormat/>
    <w:uiPriority w:val="0"/>
    <w:pPr>
      <w:ind w:left="2520"/>
    </w:pPr>
    <w:rPr>
      <w:rFonts w:ascii="Times New Roman" w:hAnsi="Times New Roman" w:eastAsia="宋体"/>
    </w:rPr>
  </w:style>
  <w:style w:type="paragraph" w:styleId="13">
    <w:name w:val="index 8"/>
    <w:basedOn w:val="1"/>
    <w:next w:val="1"/>
    <w:autoRedefine/>
    <w:qFormat/>
    <w:uiPriority w:val="0"/>
    <w:pPr>
      <w:ind w:left="2940"/>
    </w:pPr>
    <w:rPr>
      <w:rFonts w:ascii="Times New Roman" w:hAnsi="Times New Roman" w:eastAsia="宋体"/>
    </w:rPr>
  </w:style>
  <w:style w:type="paragraph" w:styleId="14">
    <w:name w:val="List Number"/>
    <w:basedOn w:val="1"/>
    <w:autoRedefine/>
    <w:qFormat/>
    <w:uiPriority w:val="0"/>
    <w:pPr>
      <w:tabs>
        <w:tab w:val="left" w:pos="0"/>
      </w:tabs>
      <w:ind w:left="704" w:hanging="420"/>
    </w:pPr>
    <w:rPr>
      <w:rFonts w:eastAsia="宋体"/>
      <w:sz w:val="21"/>
      <w:szCs w:val="24"/>
    </w:rPr>
  </w:style>
  <w:style w:type="paragraph" w:styleId="15">
    <w:name w:val="index 5"/>
    <w:basedOn w:val="1"/>
    <w:next w:val="1"/>
    <w:autoRedefine/>
    <w:qFormat/>
    <w:uiPriority w:val="0"/>
    <w:pPr>
      <w:ind w:left="1680"/>
    </w:pPr>
    <w:rPr>
      <w:rFonts w:ascii="Times New Roman" w:hAnsi="Times New Roman" w:eastAsia="宋体"/>
    </w:rPr>
  </w:style>
  <w:style w:type="paragraph" w:styleId="16">
    <w:name w:val="Document Map"/>
    <w:basedOn w:val="1"/>
    <w:link w:val="101"/>
    <w:autoRedefine/>
    <w:qFormat/>
    <w:uiPriority w:val="99"/>
    <w:pPr>
      <w:shd w:val="clear" w:color="auto" w:fill="000080"/>
    </w:pPr>
    <w:rPr>
      <w:rFonts w:eastAsia="宋体"/>
      <w:shd w:val="clear" w:color="auto" w:fill="000080"/>
    </w:rPr>
  </w:style>
  <w:style w:type="paragraph" w:styleId="17">
    <w:name w:val="toa heading"/>
    <w:basedOn w:val="1"/>
    <w:next w:val="1"/>
    <w:autoRedefine/>
    <w:qFormat/>
    <w:uiPriority w:val="0"/>
    <w:pPr>
      <w:adjustRightInd w:val="0"/>
      <w:spacing w:before="200" w:line="360" w:lineRule="atLeast"/>
      <w:jc w:val="center"/>
      <w:textAlignment w:val="baseline"/>
    </w:pPr>
    <w:rPr>
      <w:rFonts w:ascii="Arial" w:hAnsi="Arial" w:eastAsia="黑体"/>
      <w:kern w:val="0"/>
      <w:sz w:val="44"/>
    </w:rPr>
  </w:style>
  <w:style w:type="paragraph" w:styleId="18">
    <w:name w:val="annotation text"/>
    <w:basedOn w:val="1"/>
    <w:link w:val="91"/>
    <w:autoRedefine/>
    <w:qFormat/>
    <w:uiPriority w:val="0"/>
    <w:pPr>
      <w:jc w:val="left"/>
    </w:pPr>
    <w:rPr>
      <w:rFonts w:ascii="Times New Roman" w:hAnsi="Times New Roman"/>
    </w:rPr>
  </w:style>
  <w:style w:type="paragraph" w:styleId="19">
    <w:name w:val="index 6"/>
    <w:basedOn w:val="1"/>
    <w:next w:val="1"/>
    <w:autoRedefine/>
    <w:qFormat/>
    <w:uiPriority w:val="0"/>
    <w:pPr>
      <w:ind w:left="2100"/>
    </w:pPr>
    <w:rPr>
      <w:rFonts w:ascii="Times New Roman" w:hAnsi="Times New Roman" w:eastAsia="宋体"/>
    </w:rPr>
  </w:style>
  <w:style w:type="paragraph" w:styleId="20">
    <w:name w:val="Body Text 3"/>
    <w:basedOn w:val="1"/>
    <w:link w:val="343"/>
    <w:autoRedefine/>
    <w:qFormat/>
    <w:uiPriority w:val="0"/>
    <w:rPr>
      <w:rFonts w:ascii="宋体" w:eastAsia="宋体"/>
      <w:kern w:val="0"/>
      <w:sz w:val="24"/>
    </w:rPr>
  </w:style>
  <w:style w:type="paragraph" w:styleId="21">
    <w:name w:val="Body Text"/>
    <w:basedOn w:val="1"/>
    <w:next w:val="22"/>
    <w:link w:val="76"/>
    <w:autoRedefine/>
    <w:qFormat/>
    <w:uiPriority w:val="0"/>
    <w:pPr>
      <w:spacing w:line="400" w:lineRule="exact"/>
    </w:pPr>
    <w:rPr>
      <w:rFonts w:ascii="楷体_GB2312" w:hAnsi="Times New Roman" w:eastAsia="宋体"/>
      <w:sz w:val="28"/>
    </w:rPr>
  </w:style>
  <w:style w:type="paragraph" w:customStyle="1" w:styleId="22">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23">
    <w:name w:val="Body Text Indent"/>
    <w:basedOn w:val="1"/>
    <w:next w:val="24"/>
    <w:link w:val="94"/>
    <w:autoRedefine/>
    <w:qFormat/>
    <w:uiPriority w:val="0"/>
    <w:pPr>
      <w:spacing w:line="520" w:lineRule="exact"/>
      <w:ind w:left="570"/>
    </w:pPr>
    <w:rPr>
      <w:rFonts w:ascii="方正仿宋简体" w:hAnsi="创艺简仿宋" w:eastAsia="方正仿宋简体"/>
      <w:sz w:val="24"/>
    </w:rPr>
  </w:style>
  <w:style w:type="paragraph" w:styleId="24">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25">
    <w:name w:val="index 4"/>
    <w:basedOn w:val="1"/>
    <w:next w:val="1"/>
    <w:autoRedefine/>
    <w:qFormat/>
    <w:uiPriority w:val="0"/>
    <w:pPr>
      <w:ind w:left="1260"/>
    </w:pPr>
    <w:rPr>
      <w:rFonts w:ascii="Times New Roman" w:hAnsi="Times New Roman" w:eastAsia="宋体"/>
    </w:rPr>
  </w:style>
  <w:style w:type="paragraph" w:styleId="26">
    <w:name w:val="toc 5"/>
    <w:basedOn w:val="1"/>
    <w:next w:val="1"/>
    <w:autoRedefine/>
    <w:qFormat/>
    <w:uiPriority w:val="0"/>
    <w:pPr>
      <w:ind w:left="1680"/>
    </w:pPr>
    <w:rPr>
      <w:rFonts w:ascii="Times New Roman" w:hAnsi="Times New Roman" w:eastAsia="宋体"/>
    </w:rPr>
  </w:style>
  <w:style w:type="paragraph" w:styleId="27">
    <w:name w:val="toc 3"/>
    <w:basedOn w:val="1"/>
    <w:next w:val="1"/>
    <w:autoRedefine/>
    <w:qFormat/>
    <w:uiPriority w:val="39"/>
    <w:pPr>
      <w:ind w:left="840"/>
    </w:pPr>
    <w:rPr>
      <w:rFonts w:ascii="Times New Roman" w:hAnsi="Times New Roman" w:eastAsia="宋体"/>
    </w:rPr>
  </w:style>
  <w:style w:type="paragraph" w:styleId="28">
    <w:name w:val="Plain Text"/>
    <w:basedOn w:val="1"/>
    <w:link w:val="125"/>
    <w:autoRedefine/>
    <w:qFormat/>
    <w:uiPriority w:val="0"/>
    <w:rPr>
      <w:rFonts w:ascii="宋体" w:hAnsi="Courier New"/>
    </w:rPr>
  </w:style>
  <w:style w:type="paragraph" w:styleId="29">
    <w:name w:val="toc 8"/>
    <w:basedOn w:val="1"/>
    <w:next w:val="1"/>
    <w:autoRedefine/>
    <w:qFormat/>
    <w:uiPriority w:val="0"/>
    <w:pPr>
      <w:ind w:left="2940"/>
    </w:pPr>
    <w:rPr>
      <w:rFonts w:ascii="Times New Roman" w:hAnsi="Times New Roman" w:eastAsia="宋体"/>
    </w:rPr>
  </w:style>
  <w:style w:type="paragraph" w:styleId="30">
    <w:name w:val="index 3"/>
    <w:basedOn w:val="1"/>
    <w:next w:val="1"/>
    <w:autoRedefine/>
    <w:qFormat/>
    <w:uiPriority w:val="0"/>
    <w:pPr>
      <w:ind w:left="840"/>
    </w:pPr>
    <w:rPr>
      <w:rFonts w:ascii="Times New Roman" w:hAnsi="Times New Roman" w:eastAsia="宋体"/>
    </w:rPr>
  </w:style>
  <w:style w:type="paragraph" w:styleId="31">
    <w:name w:val="Date"/>
    <w:basedOn w:val="1"/>
    <w:next w:val="1"/>
    <w:link w:val="136"/>
    <w:autoRedefine/>
    <w:qFormat/>
    <w:uiPriority w:val="0"/>
    <w:rPr>
      <w:rFonts w:ascii="宋体" w:hAnsi="宋体" w:eastAsia="宋体"/>
      <w:sz w:val="24"/>
    </w:rPr>
  </w:style>
  <w:style w:type="paragraph" w:styleId="32">
    <w:name w:val="Body Text Indent 2"/>
    <w:basedOn w:val="1"/>
    <w:next w:val="1"/>
    <w:link w:val="96"/>
    <w:autoRedefine/>
    <w:qFormat/>
    <w:uiPriority w:val="0"/>
    <w:pPr>
      <w:tabs>
        <w:tab w:val="left" w:pos="0"/>
      </w:tabs>
      <w:spacing w:line="360" w:lineRule="auto"/>
      <w:ind w:firstLine="502" w:firstLineChars="209"/>
    </w:pPr>
    <w:rPr>
      <w:rFonts w:ascii="宋体" w:eastAsia="宋体"/>
      <w:b/>
      <w:bCs/>
      <w:sz w:val="24"/>
    </w:rPr>
  </w:style>
  <w:style w:type="paragraph" w:styleId="33">
    <w:name w:val="Balloon Text"/>
    <w:basedOn w:val="1"/>
    <w:link w:val="166"/>
    <w:autoRedefine/>
    <w:qFormat/>
    <w:uiPriority w:val="0"/>
    <w:rPr>
      <w:rFonts w:ascii="Times New Roman" w:hAnsi="Times New Roman" w:eastAsia="宋体"/>
      <w:sz w:val="18"/>
      <w:szCs w:val="18"/>
    </w:rPr>
  </w:style>
  <w:style w:type="paragraph" w:styleId="34">
    <w:name w:val="footer"/>
    <w:basedOn w:val="1"/>
    <w:link w:val="103"/>
    <w:autoRedefine/>
    <w:qFormat/>
    <w:uiPriority w:val="99"/>
    <w:pPr>
      <w:tabs>
        <w:tab w:val="center" w:pos="4153"/>
        <w:tab w:val="right" w:pos="8306"/>
      </w:tabs>
      <w:snapToGrid w:val="0"/>
      <w:jc w:val="left"/>
    </w:pPr>
    <w:rPr>
      <w:rFonts w:ascii="Times New Roman" w:hAnsi="Times New Roman"/>
      <w:sz w:val="18"/>
    </w:rPr>
  </w:style>
  <w:style w:type="paragraph" w:styleId="35">
    <w:name w:val="header"/>
    <w:basedOn w:val="1"/>
    <w:link w:val="88"/>
    <w:autoRedefine/>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36">
    <w:name w:val="toc 1"/>
    <w:basedOn w:val="1"/>
    <w:next w:val="1"/>
    <w:autoRedefine/>
    <w:qFormat/>
    <w:uiPriority w:val="0"/>
    <w:pPr>
      <w:adjustRightInd w:val="0"/>
      <w:jc w:val="left"/>
      <w:textAlignment w:val="baseline"/>
    </w:pPr>
    <w:rPr>
      <w:rFonts w:ascii="Times New Roman" w:hAnsi="Times New Roman" w:eastAsia="宋体"/>
      <w:sz w:val="24"/>
    </w:rPr>
  </w:style>
  <w:style w:type="paragraph" w:styleId="37">
    <w:name w:val="toc 4"/>
    <w:basedOn w:val="1"/>
    <w:next w:val="1"/>
    <w:autoRedefine/>
    <w:qFormat/>
    <w:uiPriority w:val="0"/>
    <w:pPr>
      <w:ind w:left="1260"/>
    </w:pPr>
    <w:rPr>
      <w:rFonts w:ascii="Times New Roman" w:hAnsi="Times New Roman" w:eastAsia="宋体"/>
    </w:rPr>
  </w:style>
  <w:style w:type="paragraph" w:styleId="38">
    <w:name w:val="index heading"/>
    <w:basedOn w:val="1"/>
    <w:next w:val="39"/>
    <w:autoRedefine/>
    <w:qFormat/>
    <w:uiPriority w:val="0"/>
    <w:rPr>
      <w:rFonts w:ascii="Times New Roman" w:hAnsi="Times New Roman" w:eastAsia="宋体"/>
    </w:rPr>
  </w:style>
  <w:style w:type="paragraph" w:styleId="39">
    <w:name w:val="index 1"/>
    <w:basedOn w:val="1"/>
    <w:next w:val="1"/>
    <w:autoRedefine/>
    <w:qFormat/>
    <w:uiPriority w:val="0"/>
    <w:rPr>
      <w:rFonts w:ascii="Times New Roman" w:hAnsi="Times New Roman" w:eastAsia="宋体"/>
    </w:rPr>
  </w:style>
  <w:style w:type="paragraph" w:styleId="40">
    <w:name w:val="Subtitle"/>
    <w:basedOn w:val="1"/>
    <w:next w:val="1"/>
    <w:link w:val="342"/>
    <w:autoRedefine/>
    <w:qFormat/>
    <w:uiPriority w:val="0"/>
    <w:pPr>
      <w:spacing w:before="240" w:after="60" w:line="312" w:lineRule="auto"/>
      <w:jc w:val="center"/>
      <w:outlineLvl w:val="1"/>
    </w:pPr>
    <w:rPr>
      <w:rFonts w:ascii="Cambria" w:hAnsi="Cambria" w:eastAsia="宋体"/>
      <w:b/>
      <w:bCs/>
      <w:kern w:val="28"/>
      <w:sz w:val="32"/>
      <w:szCs w:val="32"/>
    </w:rPr>
  </w:style>
  <w:style w:type="paragraph" w:styleId="41">
    <w:name w:val="List"/>
    <w:basedOn w:val="1"/>
    <w:autoRedefine/>
    <w:qFormat/>
    <w:uiPriority w:val="0"/>
    <w:pPr>
      <w:spacing w:before="120" w:after="120"/>
      <w:ind w:left="420" w:hanging="420"/>
    </w:pPr>
    <w:rPr>
      <w:rFonts w:eastAsia="宋体"/>
      <w:sz w:val="24"/>
    </w:rPr>
  </w:style>
  <w:style w:type="paragraph" w:styleId="42">
    <w:name w:val="footnote text"/>
    <w:basedOn w:val="1"/>
    <w:link w:val="159"/>
    <w:autoRedefine/>
    <w:qFormat/>
    <w:uiPriority w:val="0"/>
    <w:pPr>
      <w:snapToGrid w:val="0"/>
      <w:jc w:val="left"/>
    </w:pPr>
    <w:rPr>
      <w:rFonts w:ascii="Times New Roman" w:hAnsi="Times New Roman" w:eastAsia="宋体"/>
      <w:sz w:val="18"/>
    </w:rPr>
  </w:style>
  <w:style w:type="paragraph" w:styleId="43">
    <w:name w:val="toc 6"/>
    <w:basedOn w:val="1"/>
    <w:next w:val="1"/>
    <w:autoRedefine/>
    <w:qFormat/>
    <w:uiPriority w:val="0"/>
    <w:pPr>
      <w:ind w:left="2100"/>
    </w:pPr>
    <w:rPr>
      <w:rFonts w:ascii="Times New Roman" w:hAnsi="Times New Roman" w:eastAsia="宋体"/>
    </w:rPr>
  </w:style>
  <w:style w:type="paragraph" w:styleId="44">
    <w:name w:val="Body Text Indent 3"/>
    <w:basedOn w:val="1"/>
    <w:link w:val="191"/>
    <w:autoRedefine/>
    <w:qFormat/>
    <w:uiPriority w:val="0"/>
    <w:pPr>
      <w:spacing w:line="360" w:lineRule="auto"/>
      <w:ind w:firstLine="617" w:firstLineChars="257"/>
    </w:pPr>
    <w:rPr>
      <w:rFonts w:ascii="Times New Roman" w:hAnsi="Times New Roman" w:eastAsia="宋体"/>
      <w:sz w:val="24"/>
      <w:szCs w:val="24"/>
    </w:rPr>
  </w:style>
  <w:style w:type="paragraph" w:styleId="45">
    <w:name w:val="index 7"/>
    <w:basedOn w:val="1"/>
    <w:next w:val="1"/>
    <w:autoRedefine/>
    <w:qFormat/>
    <w:uiPriority w:val="0"/>
    <w:pPr>
      <w:ind w:left="2520"/>
    </w:pPr>
    <w:rPr>
      <w:rFonts w:ascii="Times New Roman" w:hAnsi="Times New Roman" w:eastAsia="宋体"/>
    </w:rPr>
  </w:style>
  <w:style w:type="paragraph" w:styleId="46">
    <w:name w:val="index 9"/>
    <w:basedOn w:val="1"/>
    <w:next w:val="1"/>
    <w:autoRedefine/>
    <w:qFormat/>
    <w:uiPriority w:val="0"/>
    <w:pPr>
      <w:ind w:left="3360"/>
    </w:pPr>
    <w:rPr>
      <w:rFonts w:ascii="Times New Roman" w:hAnsi="Times New Roman" w:eastAsia="宋体"/>
    </w:rPr>
  </w:style>
  <w:style w:type="paragraph" w:styleId="47">
    <w:name w:val="table of figures"/>
    <w:basedOn w:val="1"/>
    <w:next w:val="1"/>
    <w:autoRedefine/>
    <w:qFormat/>
    <w:uiPriority w:val="0"/>
    <w:pPr>
      <w:adjustRightInd w:val="0"/>
      <w:ind w:left="420" w:hanging="420"/>
      <w:jc w:val="left"/>
      <w:textAlignment w:val="baseline"/>
    </w:pPr>
    <w:rPr>
      <w:rFonts w:ascii="Times New Roman" w:hAnsi="Times New Roman" w:eastAsia="宋体"/>
      <w:smallCaps/>
      <w:sz w:val="24"/>
    </w:rPr>
  </w:style>
  <w:style w:type="paragraph" w:styleId="48">
    <w:name w:val="toc 2"/>
    <w:basedOn w:val="1"/>
    <w:next w:val="1"/>
    <w:autoRedefine/>
    <w:qFormat/>
    <w:uiPriority w:val="0"/>
    <w:pPr>
      <w:ind w:left="420"/>
    </w:pPr>
    <w:rPr>
      <w:rFonts w:ascii="Times New Roman" w:hAnsi="Times New Roman" w:eastAsia="宋体"/>
    </w:rPr>
  </w:style>
  <w:style w:type="paragraph" w:styleId="49">
    <w:name w:val="toc 9"/>
    <w:basedOn w:val="1"/>
    <w:next w:val="1"/>
    <w:autoRedefine/>
    <w:qFormat/>
    <w:uiPriority w:val="0"/>
    <w:pPr>
      <w:ind w:left="3360"/>
    </w:pPr>
    <w:rPr>
      <w:rFonts w:ascii="Times New Roman" w:hAnsi="Times New Roman" w:eastAsia="宋体"/>
    </w:rPr>
  </w:style>
  <w:style w:type="paragraph" w:styleId="50">
    <w:name w:val="List Continue 2"/>
    <w:basedOn w:val="1"/>
    <w:autoRedefine/>
    <w:qFormat/>
    <w:uiPriority w:val="0"/>
    <w:pPr>
      <w:spacing w:after="120"/>
      <w:ind w:left="840"/>
    </w:pPr>
    <w:rPr>
      <w:rFonts w:ascii="Times New Roman" w:hAnsi="Times New Roman" w:eastAsia="宋体"/>
      <w:sz w:val="21"/>
      <w:szCs w:val="24"/>
    </w:rPr>
  </w:style>
  <w:style w:type="paragraph" w:styleId="5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2">
    <w:name w:val="Normal (Web)"/>
    <w:basedOn w:val="1"/>
    <w:link w:val="120"/>
    <w:autoRedefine/>
    <w:qFormat/>
    <w:uiPriority w:val="0"/>
    <w:pPr>
      <w:widowControl/>
      <w:spacing w:before="100" w:beforeAutospacing="1" w:after="100" w:afterAutospacing="1"/>
      <w:jc w:val="left"/>
    </w:pPr>
    <w:rPr>
      <w:rFonts w:eastAsia="宋体"/>
      <w:kern w:val="0"/>
      <w:sz w:val="24"/>
      <w:szCs w:val="24"/>
    </w:rPr>
  </w:style>
  <w:style w:type="paragraph" w:styleId="53">
    <w:name w:val="index 2"/>
    <w:basedOn w:val="1"/>
    <w:next w:val="1"/>
    <w:autoRedefine/>
    <w:qFormat/>
    <w:uiPriority w:val="0"/>
    <w:pPr>
      <w:ind w:left="420"/>
    </w:pPr>
    <w:rPr>
      <w:rFonts w:ascii="Times New Roman" w:hAnsi="Times New Roman" w:eastAsia="宋体"/>
    </w:rPr>
  </w:style>
  <w:style w:type="paragraph" w:styleId="54">
    <w:name w:val="Title"/>
    <w:basedOn w:val="1"/>
    <w:next w:val="1"/>
    <w:link w:val="102"/>
    <w:autoRedefine/>
    <w:qFormat/>
    <w:uiPriority w:val="0"/>
    <w:pPr>
      <w:spacing w:before="240" w:after="60"/>
      <w:jc w:val="center"/>
      <w:outlineLvl w:val="0"/>
    </w:pPr>
    <w:rPr>
      <w:rFonts w:ascii="Cambria" w:hAnsi="Cambria" w:eastAsia="宋体"/>
      <w:b/>
      <w:bCs/>
      <w:sz w:val="32"/>
      <w:szCs w:val="32"/>
    </w:rPr>
  </w:style>
  <w:style w:type="paragraph" w:styleId="55">
    <w:name w:val="annotation subject"/>
    <w:basedOn w:val="18"/>
    <w:next w:val="18"/>
    <w:link w:val="90"/>
    <w:autoRedefine/>
    <w:qFormat/>
    <w:uiPriority w:val="0"/>
    <w:rPr>
      <w:rFonts w:ascii="Calibri" w:hAnsi="Calibri" w:eastAsia="宋体"/>
      <w:b/>
      <w:bCs/>
    </w:rPr>
  </w:style>
  <w:style w:type="paragraph" w:styleId="56">
    <w:name w:val="Body Text First Indent 2"/>
    <w:basedOn w:val="23"/>
    <w:autoRedefine/>
    <w:unhideWhenUsed/>
    <w:qFormat/>
    <w:uiPriority w:val="99"/>
    <w:pPr>
      <w:ind w:firstLine="420" w:firstLineChars="200"/>
    </w:pPr>
  </w:style>
  <w:style w:type="table" w:styleId="58">
    <w:name w:val="Table Grid"/>
    <w:basedOn w:val="5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uiPriority w:val="0"/>
    <w:rPr>
      <w:rFonts w:ascii="Times New Roman" w:hAnsi="Times New Roman" w:eastAsia="宋体" w:cs="Times New Roman"/>
      <w:b/>
    </w:rPr>
  </w:style>
  <w:style w:type="character" w:styleId="61">
    <w:name w:val="page number"/>
    <w:autoRedefine/>
    <w:qFormat/>
    <w:uiPriority w:val="0"/>
    <w:rPr>
      <w:rFonts w:ascii="Times New Roman" w:hAnsi="Times New Roman" w:eastAsia="宋体" w:cs="Times New Roman"/>
    </w:rPr>
  </w:style>
  <w:style w:type="character" w:styleId="62">
    <w:name w:val="FollowedHyperlink"/>
    <w:autoRedefine/>
    <w:qFormat/>
    <w:uiPriority w:val="0"/>
    <w:rPr>
      <w:rFonts w:ascii="Times New Roman" w:hAnsi="Times New Roman" w:eastAsia="宋体" w:cs="Times New Roman"/>
      <w:color w:val="954F72"/>
      <w:u w:val="single"/>
    </w:rPr>
  </w:style>
  <w:style w:type="character" w:styleId="63">
    <w:name w:val="Emphasis"/>
    <w:autoRedefine/>
    <w:qFormat/>
    <w:uiPriority w:val="0"/>
    <w:rPr>
      <w:rFonts w:ascii="Times New Roman" w:hAnsi="Times New Roman" w:eastAsia="宋体" w:cs="Times New Roman"/>
      <w:i/>
      <w:iCs/>
    </w:rPr>
  </w:style>
  <w:style w:type="character" w:styleId="64">
    <w:name w:val="line number"/>
    <w:autoRedefine/>
    <w:qFormat/>
    <w:uiPriority w:val="0"/>
    <w:rPr>
      <w:rFonts w:ascii="Times New Roman" w:hAnsi="Times New Roman" w:eastAsia="宋体" w:cs="Times New Roman"/>
    </w:rPr>
  </w:style>
  <w:style w:type="character" w:styleId="65">
    <w:name w:val="HTML Definition"/>
    <w:autoRedefine/>
    <w:qFormat/>
    <w:uiPriority w:val="0"/>
    <w:rPr>
      <w:rFonts w:ascii="Times New Roman" w:hAnsi="Times New Roman" w:eastAsia="宋体" w:cs="Times New Roman"/>
      <w:i/>
    </w:rPr>
  </w:style>
  <w:style w:type="character" w:styleId="66">
    <w:name w:val="HTML Typewriter"/>
    <w:basedOn w:val="59"/>
    <w:autoRedefine/>
    <w:semiHidden/>
    <w:unhideWhenUsed/>
    <w:qFormat/>
    <w:uiPriority w:val="99"/>
    <w:rPr>
      <w:rFonts w:hint="default" w:ascii="monospace" w:hAnsi="monospace" w:eastAsia="monospace" w:cs="monospace"/>
      <w:sz w:val="20"/>
    </w:rPr>
  </w:style>
  <w:style w:type="character" w:styleId="67">
    <w:name w:val="HTML Acronym"/>
    <w:basedOn w:val="59"/>
    <w:autoRedefine/>
    <w:semiHidden/>
    <w:unhideWhenUsed/>
    <w:qFormat/>
    <w:uiPriority w:val="99"/>
  </w:style>
  <w:style w:type="character" w:styleId="68">
    <w:name w:val="HTML Variable"/>
    <w:basedOn w:val="59"/>
    <w:autoRedefine/>
    <w:semiHidden/>
    <w:unhideWhenUsed/>
    <w:qFormat/>
    <w:uiPriority w:val="99"/>
  </w:style>
  <w:style w:type="character" w:styleId="69">
    <w:name w:val="Hyperlink"/>
    <w:autoRedefine/>
    <w:qFormat/>
    <w:uiPriority w:val="0"/>
    <w:rPr>
      <w:rFonts w:ascii="Times New Roman" w:hAnsi="Times New Roman" w:eastAsia="宋体" w:cs="Times New Roman"/>
      <w:color w:val="0000FF"/>
      <w:u w:val="single"/>
    </w:rPr>
  </w:style>
  <w:style w:type="character" w:styleId="70">
    <w:name w:val="HTML Code"/>
    <w:autoRedefine/>
    <w:qFormat/>
    <w:uiPriority w:val="0"/>
    <w:rPr>
      <w:rFonts w:hint="default" w:ascii="Menlo" w:hAnsi="Menlo" w:eastAsia="Menlo" w:cs="Menlo"/>
      <w:color w:val="C7254E"/>
      <w:sz w:val="21"/>
      <w:szCs w:val="21"/>
      <w:shd w:val="clear" w:color="auto" w:fill="F9F2F4"/>
    </w:rPr>
  </w:style>
  <w:style w:type="character" w:styleId="71">
    <w:name w:val="annotation reference"/>
    <w:autoRedefine/>
    <w:qFormat/>
    <w:uiPriority w:val="0"/>
    <w:rPr>
      <w:rFonts w:ascii="Times New Roman" w:hAnsi="Times New Roman" w:eastAsia="宋体" w:cs="Times New Roman"/>
      <w:sz w:val="21"/>
      <w:szCs w:val="21"/>
    </w:rPr>
  </w:style>
  <w:style w:type="character" w:styleId="72">
    <w:name w:val="HTML Cite"/>
    <w:autoRedefine/>
    <w:qFormat/>
    <w:uiPriority w:val="0"/>
    <w:rPr>
      <w:rFonts w:ascii="Times New Roman" w:hAnsi="Times New Roman" w:eastAsia="宋体" w:cs="Times New Roman"/>
    </w:rPr>
  </w:style>
  <w:style w:type="character" w:styleId="73">
    <w:name w:val="footnote reference"/>
    <w:autoRedefine/>
    <w:qFormat/>
    <w:uiPriority w:val="0"/>
    <w:rPr>
      <w:rFonts w:ascii="Times New Roman" w:hAnsi="Times New Roman" w:eastAsia="宋体" w:cs="Times New Roman"/>
      <w:vertAlign w:val="superscript"/>
    </w:rPr>
  </w:style>
  <w:style w:type="character" w:styleId="74">
    <w:name w:val="HTML Keyboard"/>
    <w:autoRedefine/>
    <w:qFormat/>
    <w:uiPriority w:val="0"/>
    <w:rPr>
      <w:rFonts w:hint="default" w:ascii="Menlo" w:hAnsi="Menlo" w:eastAsia="Menlo" w:cs="Menlo"/>
      <w:sz w:val="21"/>
      <w:szCs w:val="21"/>
    </w:rPr>
  </w:style>
  <w:style w:type="character" w:styleId="75">
    <w:name w:val="HTML Sample"/>
    <w:autoRedefine/>
    <w:qFormat/>
    <w:uiPriority w:val="0"/>
    <w:rPr>
      <w:rFonts w:ascii="Menlo" w:hAnsi="Menlo" w:eastAsia="Menlo" w:cs="Menlo"/>
      <w:sz w:val="21"/>
      <w:szCs w:val="21"/>
    </w:rPr>
  </w:style>
  <w:style w:type="character" w:customStyle="1" w:styleId="76">
    <w:name w:val="正文文本 Char"/>
    <w:link w:val="21"/>
    <w:autoRedefine/>
    <w:qFormat/>
    <w:uiPriority w:val="0"/>
    <w:rPr>
      <w:rFonts w:ascii="楷体_GB2312" w:hAnsi="Times New Roman"/>
      <w:kern w:val="2"/>
      <w:sz w:val="28"/>
    </w:rPr>
  </w:style>
  <w:style w:type="character" w:customStyle="1" w:styleId="77">
    <w:name w:val="标题 1 Char"/>
    <w:link w:val="3"/>
    <w:autoRedefine/>
    <w:qFormat/>
    <w:uiPriority w:val="0"/>
    <w:rPr>
      <w:rFonts w:ascii="Times New Roman" w:hAnsi="Times New Roman" w:eastAsia="楷体_GB2312" w:cs="Times New Roman"/>
      <w:b/>
      <w:kern w:val="44"/>
      <w:sz w:val="44"/>
    </w:rPr>
  </w:style>
  <w:style w:type="character" w:customStyle="1" w:styleId="78">
    <w:name w:val="标题 2 Char"/>
    <w:link w:val="4"/>
    <w:autoRedefine/>
    <w:qFormat/>
    <w:uiPriority w:val="0"/>
    <w:rPr>
      <w:rFonts w:ascii="宋体" w:hAnsi="宋体" w:eastAsia="楷体_GB2312" w:cs="Times New Roman"/>
      <w:b/>
      <w:kern w:val="2"/>
      <w:sz w:val="26"/>
      <w:lang w:val="en-US" w:eastAsia="zh-CN" w:bidi="ar-SA"/>
    </w:rPr>
  </w:style>
  <w:style w:type="character" w:customStyle="1" w:styleId="79">
    <w:name w:val="标题 3 Char"/>
    <w:link w:val="5"/>
    <w:autoRedefine/>
    <w:qFormat/>
    <w:uiPriority w:val="0"/>
    <w:rPr>
      <w:rFonts w:ascii="Times New Roman" w:hAnsi="Times New Roman" w:eastAsia="楷体_GB2312" w:cs="Times New Roman"/>
      <w:b/>
      <w:kern w:val="2"/>
      <w:sz w:val="26"/>
    </w:rPr>
  </w:style>
  <w:style w:type="character" w:customStyle="1" w:styleId="80">
    <w:name w:val="标题 4 Char"/>
    <w:link w:val="2"/>
    <w:autoRedefine/>
    <w:qFormat/>
    <w:uiPriority w:val="0"/>
    <w:rPr>
      <w:rFonts w:ascii="Arial" w:hAnsi="Arial" w:eastAsia="黑体" w:cs="Times New Roman"/>
      <w:b/>
      <w:bCs/>
      <w:kern w:val="2"/>
      <w:sz w:val="28"/>
      <w:szCs w:val="28"/>
    </w:rPr>
  </w:style>
  <w:style w:type="character" w:customStyle="1" w:styleId="81">
    <w:name w:val="正文缩进 Char"/>
    <w:link w:val="7"/>
    <w:autoRedefine/>
    <w:qFormat/>
    <w:uiPriority w:val="0"/>
    <w:rPr>
      <w:rFonts w:ascii="Times New Roman" w:hAnsi="Times New Roman" w:eastAsia="楷体_GB2312" w:cs="Times New Roman"/>
      <w:kern w:val="2"/>
      <w:sz w:val="24"/>
      <w:lang w:val="en-US" w:eastAsia="zh-CN" w:bidi="ar-SA"/>
    </w:rPr>
  </w:style>
  <w:style w:type="character" w:customStyle="1" w:styleId="82">
    <w:name w:val="标题 5 Char"/>
    <w:link w:val="6"/>
    <w:autoRedefine/>
    <w:qFormat/>
    <w:uiPriority w:val="0"/>
    <w:rPr>
      <w:rFonts w:ascii="宋体" w:hAnsi="Times New Roman"/>
      <w:b/>
      <w:spacing w:val="-2"/>
      <w:kern w:val="2"/>
      <w:position w:val="-6"/>
      <w:sz w:val="28"/>
    </w:rPr>
  </w:style>
  <w:style w:type="character" w:customStyle="1" w:styleId="83">
    <w:name w:val="标题 6 Char"/>
    <w:link w:val="8"/>
    <w:autoRedefine/>
    <w:qFormat/>
    <w:uiPriority w:val="0"/>
    <w:rPr>
      <w:rFonts w:ascii="Arial" w:hAnsi="Arial" w:eastAsia="黑体"/>
      <w:b/>
      <w:spacing w:val="-2"/>
      <w:kern w:val="2"/>
      <w:position w:val="-6"/>
      <w:sz w:val="24"/>
    </w:rPr>
  </w:style>
  <w:style w:type="character" w:customStyle="1" w:styleId="84">
    <w:name w:val="标题 7 Char"/>
    <w:link w:val="9"/>
    <w:autoRedefine/>
    <w:qFormat/>
    <w:uiPriority w:val="0"/>
    <w:rPr>
      <w:rFonts w:ascii="宋体" w:hAnsi="Times New Roman"/>
      <w:b/>
      <w:spacing w:val="-2"/>
      <w:kern w:val="2"/>
      <w:position w:val="-6"/>
      <w:sz w:val="24"/>
    </w:rPr>
  </w:style>
  <w:style w:type="character" w:customStyle="1" w:styleId="85">
    <w:name w:val="标题 8 Char"/>
    <w:link w:val="10"/>
    <w:autoRedefine/>
    <w:qFormat/>
    <w:uiPriority w:val="0"/>
    <w:rPr>
      <w:rFonts w:ascii="Arial" w:hAnsi="Arial" w:eastAsia="黑体"/>
      <w:spacing w:val="-2"/>
      <w:kern w:val="2"/>
      <w:position w:val="-6"/>
      <w:sz w:val="24"/>
    </w:rPr>
  </w:style>
  <w:style w:type="character" w:customStyle="1" w:styleId="86">
    <w:name w:val="标题 9 Char"/>
    <w:link w:val="11"/>
    <w:autoRedefine/>
    <w:qFormat/>
    <w:uiPriority w:val="0"/>
    <w:rPr>
      <w:rFonts w:ascii="Arial" w:hAnsi="Arial" w:eastAsia="黑体"/>
      <w:spacing w:val="-2"/>
      <w:kern w:val="2"/>
      <w:position w:val="-6"/>
      <w:sz w:val="28"/>
    </w:rPr>
  </w:style>
  <w:style w:type="character" w:customStyle="1" w:styleId="87">
    <w:name w:val="hilite6"/>
    <w:autoRedefine/>
    <w:qFormat/>
    <w:uiPriority w:val="0"/>
    <w:rPr>
      <w:rFonts w:ascii="Times New Roman" w:hAnsi="Times New Roman" w:eastAsia="宋体" w:cs="Times New Roman"/>
      <w:color w:val="FFFFFF"/>
      <w:shd w:val="clear" w:color="auto" w:fill="776666"/>
    </w:rPr>
  </w:style>
  <w:style w:type="character" w:customStyle="1" w:styleId="88">
    <w:name w:val="页眉 Char"/>
    <w:link w:val="35"/>
    <w:autoRedefine/>
    <w:qFormat/>
    <w:uiPriority w:val="99"/>
    <w:rPr>
      <w:rFonts w:ascii="Times New Roman" w:hAnsi="Times New Roman" w:eastAsia="楷体_GB2312" w:cs="Times New Roman"/>
      <w:kern w:val="2"/>
      <w:sz w:val="18"/>
    </w:rPr>
  </w:style>
  <w:style w:type="character" w:customStyle="1" w:styleId="89">
    <w:name w:val="hilite"/>
    <w:autoRedefine/>
    <w:qFormat/>
    <w:uiPriority w:val="0"/>
    <w:rPr>
      <w:rFonts w:ascii="Times New Roman" w:hAnsi="Times New Roman" w:eastAsia="宋体" w:cs="Times New Roman"/>
      <w:color w:val="FFFFFF"/>
      <w:shd w:val="clear" w:color="auto" w:fill="776666"/>
    </w:rPr>
  </w:style>
  <w:style w:type="character" w:customStyle="1" w:styleId="90">
    <w:name w:val="批注主题 Char"/>
    <w:link w:val="55"/>
    <w:autoRedefine/>
    <w:qFormat/>
    <w:uiPriority w:val="0"/>
    <w:rPr>
      <w:b/>
      <w:bCs/>
      <w:kern w:val="2"/>
      <w:sz w:val="26"/>
    </w:rPr>
  </w:style>
  <w:style w:type="character" w:customStyle="1" w:styleId="91">
    <w:name w:val="批注文字 Char"/>
    <w:link w:val="18"/>
    <w:autoRedefine/>
    <w:qFormat/>
    <w:uiPriority w:val="0"/>
    <w:rPr>
      <w:rFonts w:ascii="Times New Roman" w:hAnsi="Times New Roman" w:eastAsia="楷体_GB2312" w:cs="Times New Roman"/>
      <w:kern w:val="2"/>
      <w:sz w:val="26"/>
    </w:rPr>
  </w:style>
  <w:style w:type="character" w:customStyle="1" w:styleId="92">
    <w:name w:val="state"/>
    <w:autoRedefine/>
    <w:qFormat/>
    <w:uiPriority w:val="0"/>
    <w:rPr>
      <w:rFonts w:ascii="Times New Roman" w:hAnsi="Times New Roman" w:eastAsia="宋体" w:cs="Times New Roman"/>
      <w:b/>
      <w:color w:val="FFFFFF"/>
      <w:sz w:val="19"/>
      <w:szCs w:val="19"/>
    </w:rPr>
  </w:style>
  <w:style w:type="character" w:customStyle="1" w:styleId="93">
    <w:name w:val="bds_more5"/>
    <w:autoRedefine/>
    <w:qFormat/>
    <w:uiPriority w:val="0"/>
    <w:rPr>
      <w:rFonts w:ascii="Times New Roman" w:hAnsi="Times New Roman" w:eastAsia="宋体" w:cs="Times New Roman"/>
    </w:rPr>
  </w:style>
  <w:style w:type="character" w:customStyle="1" w:styleId="94">
    <w:name w:val="正文文本缩进 Char"/>
    <w:link w:val="23"/>
    <w:autoRedefine/>
    <w:qFormat/>
    <w:uiPriority w:val="0"/>
    <w:rPr>
      <w:rFonts w:ascii="方正仿宋简体" w:hAnsi="创艺简仿宋" w:eastAsia="方正仿宋简体" w:cs="Times New Roman"/>
      <w:kern w:val="2"/>
      <w:sz w:val="24"/>
      <w:lang w:val="en-US" w:eastAsia="zh-CN" w:bidi="ar-SA"/>
    </w:rPr>
  </w:style>
  <w:style w:type="character" w:customStyle="1" w:styleId="95">
    <w:name w:val="bigfont"/>
    <w:autoRedefine/>
    <w:qFormat/>
    <w:uiPriority w:val="0"/>
  </w:style>
  <w:style w:type="character" w:customStyle="1" w:styleId="96">
    <w:name w:val="正文文本缩进 2 Char"/>
    <w:link w:val="32"/>
    <w:autoRedefine/>
    <w:qFormat/>
    <w:uiPriority w:val="0"/>
    <w:rPr>
      <w:rFonts w:ascii="宋体"/>
      <w:b/>
      <w:bCs/>
      <w:kern w:val="2"/>
      <w:sz w:val="24"/>
    </w:rPr>
  </w:style>
  <w:style w:type="character" w:customStyle="1" w:styleId="97">
    <w:name w:val="bds_more6"/>
    <w:autoRedefine/>
    <w:qFormat/>
    <w:uiPriority w:val="0"/>
    <w:rPr>
      <w:rFonts w:ascii="Times New Roman" w:hAnsi="Times New Roman" w:eastAsia="宋体" w:cs="Times New Roman"/>
    </w:rPr>
  </w:style>
  <w:style w:type="character" w:customStyle="1" w:styleId="98">
    <w:name w:val="noused"/>
    <w:autoRedefine/>
    <w:qFormat/>
    <w:uiPriority w:val="0"/>
    <w:rPr>
      <w:rFonts w:ascii="Times New Roman" w:hAnsi="Times New Roman" w:eastAsia="宋体" w:cs="Times New Roman"/>
      <w:b/>
      <w:color w:val="FFFFFF"/>
      <w:sz w:val="21"/>
      <w:szCs w:val="21"/>
    </w:rPr>
  </w:style>
  <w:style w:type="character" w:customStyle="1" w:styleId="99">
    <w:name w:val="Char Char2"/>
    <w:autoRedefine/>
    <w:qFormat/>
    <w:uiPriority w:val="0"/>
    <w:rPr>
      <w:rFonts w:ascii="宋体" w:hAnsi="宋体" w:eastAsia="楷体_GB2312" w:cs="Times New Roman"/>
      <w:b/>
      <w:kern w:val="2"/>
      <w:sz w:val="26"/>
      <w:lang w:val="en-US" w:eastAsia="zh-CN" w:bidi="ar-SA"/>
    </w:rPr>
  </w:style>
  <w:style w:type="character" w:customStyle="1" w:styleId="100">
    <w:name w:val="bds_more7"/>
    <w:autoRedefine/>
    <w:qFormat/>
    <w:uiPriority w:val="0"/>
    <w:rPr>
      <w:rFonts w:ascii="Times New Roman" w:hAnsi="Times New Roman" w:eastAsia="宋体" w:cs="Times New Roman"/>
    </w:rPr>
  </w:style>
  <w:style w:type="character" w:customStyle="1" w:styleId="101">
    <w:name w:val="文档结构图 Char"/>
    <w:link w:val="16"/>
    <w:autoRedefine/>
    <w:qFormat/>
    <w:uiPriority w:val="99"/>
    <w:rPr>
      <w:kern w:val="2"/>
      <w:sz w:val="26"/>
      <w:shd w:val="clear" w:color="auto" w:fill="000080"/>
    </w:rPr>
  </w:style>
  <w:style w:type="character" w:customStyle="1" w:styleId="102">
    <w:name w:val="标题 Char"/>
    <w:link w:val="54"/>
    <w:autoRedefine/>
    <w:qFormat/>
    <w:uiPriority w:val="0"/>
    <w:rPr>
      <w:rFonts w:ascii="Cambria" w:hAnsi="Cambria" w:eastAsia="宋体" w:cs="Times New Roman"/>
      <w:b/>
      <w:bCs/>
      <w:kern w:val="2"/>
      <w:sz w:val="32"/>
      <w:szCs w:val="32"/>
    </w:rPr>
  </w:style>
  <w:style w:type="character" w:customStyle="1" w:styleId="103">
    <w:name w:val="页脚 Char"/>
    <w:link w:val="34"/>
    <w:autoRedefine/>
    <w:qFormat/>
    <w:uiPriority w:val="99"/>
    <w:rPr>
      <w:rFonts w:ascii="Times New Roman" w:hAnsi="Times New Roman" w:eastAsia="楷体_GB2312" w:cs="Times New Roman"/>
      <w:kern w:val="2"/>
      <w:sz w:val="18"/>
    </w:rPr>
  </w:style>
  <w:style w:type="character" w:customStyle="1" w:styleId="104">
    <w:name w:val="Body Char Char"/>
    <w:link w:val="105"/>
    <w:autoRedefine/>
    <w:qFormat/>
    <w:uiPriority w:val="0"/>
    <w:rPr>
      <w:sz w:val="21"/>
      <w:szCs w:val="21"/>
      <w:lang w:eastAsia="en-US"/>
    </w:rPr>
  </w:style>
  <w:style w:type="paragraph" w:customStyle="1" w:styleId="105">
    <w:name w:val="Body"/>
    <w:basedOn w:val="1"/>
    <w:link w:val="104"/>
    <w:autoRedefine/>
    <w:qFormat/>
    <w:uiPriority w:val="0"/>
    <w:pPr>
      <w:widowControl/>
      <w:tabs>
        <w:tab w:val="left" w:pos="9356"/>
      </w:tabs>
      <w:spacing w:before="80" w:after="80" w:line="360" w:lineRule="auto"/>
      <w:ind w:firstLine="480" w:firstLineChars="200"/>
    </w:pPr>
    <w:rPr>
      <w:rFonts w:eastAsia="宋体"/>
      <w:kern w:val="0"/>
      <w:sz w:val="21"/>
      <w:szCs w:val="21"/>
      <w:lang w:eastAsia="en-US"/>
    </w:rPr>
  </w:style>
  <w:style w:type="character" w:customStyle="1" w:styleId="106">
    <w:name w:val="bds_more4"/>
    <w:autoRedefine/>
    <w:qFormat/>
    <w:uiPriority w:val="0"/>
    <w:rPr>
      <w:rFonts w:hint="eastAsia" w:ascii="宋体" w:hAnsi="宋体" w:eastAsia="宋体" w:cs="宋体"/>
    </w:rPr>
  </w:style>
  <w:style w:type="character" w:customStyle="1" w:styleId="107">
    <w:name w:val="other"/>
    <w:autoRedefine/>
    <w:qFormat/>
    <w:uiPriority w:val="0"/>
    <w:rPr>
      <w:rFonts w:ascii="Times New Roman" w:hAnsi="Times New Roman" w:eastAsia="宋体" w:cs="Times New Roman"/>
    </w:rPr>
  </w:style>
  <w:style w:type="character" w:customStyle="1" w:styleId="108">
    <w:name w:val="active"/>
    <w:autoRedefine/>
    <w:qFormat/>
    <w:uiPriority w:val="0"/>
    <w:rPr>
      <w:rFonts w:ascii="Times New Roman" w:hAnsi="Times New Roman" w:eastAsia="宋体" w:cs="Times New Roman"/>
      <w:color w:val="00FF00"/>
      <w:shd w:val="clear" w:color="auto" w:fill="000000"/>
    </w:rPr>
  </w:style>
  <w:style w:type="character" w:customStyle="1" w:styleId="109">
    <w:name w:val="bds_more8"/>
    <w:autoRedefine/>
    <w:qFormat/>
    <w:uiPriority w:val="0"/>
    <w:rPr>
      <w:rFonts w:hint="eastAsia" w:ascii="宋体" w:hAnsi="宋体" w:eastAsia="宋体" w:cs="宋体"/>
    </w:rPr>
  </w:style>
  <w:style w:type="character" w:customStyle="1" w:styleId="110">
    <w:name w:val="标书正文格式 Char Char"/>
    <w:link w:val="111"/>
    <w:autoRedefine/>
    <w:qFormat/>
    <w:uiPriority w:val="0"/>
    <w:rPr>
      <w:rFonts w:eastAsia="楷体_GB2312"/>
      <w:kern w:val="2"/>
      <w:sz w:val="24"/>
      <w:szCs w:val="24"/>
      <w:lang w:val="en-US" w:eastAsia="zh-CN" w:bidi="ar-SA"/>
    </w:rPr>
  </w:style>
  <w:style w:type="paragraph" w:customStyle="1" w:styleId="111">
    <w:name w:val="标书正文格式"/>
    <w:link w:val="110"/>
    <w:autoRedefine/>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character" w:customStyle="1" w:styleId="112">
    <w:name w:val="bds_nopic"/>
    <w:autoRedefine/>
    <w:qFormat/>
    <w:uiPriority w:val="0"/>
    <w:rPr>
      <w:rFonts w:ascii="Times New Roman" w:hAnsi="Times New Roman" w:eastAsia="宋体" w:cs="Times New Roman"/>
    </w:rPr>
  </w:style>
  <w:style w:type="character" w:customStyle="1" w:styleId="113">
    <w:name w:val="dg2"/>
    <w:autoRedefine/>
    <w:qFormat/>
    <w:uiPriority w:val="0"/>
  </w:style>
  <w:style w:type="character" w:customStyle="1" w:styleId="114">
    <w:name w:val="hover61"/>
    <w:autoRedefine/>
    <w:qFormat/>
    <w:uiPriority w:val="0"/>
    <w:rPr>
      <w:rFonts w:ascii="Times New Roman" w:hAnsi="Times New Roman" w:eastAsia="宋体" w:cs="Times New Roman"/>
      <w:shd w:val="clear" w:color="auto" w:fill="FF0000"/>
    </w:rPr>
  </w:style>
  <w:style w:type="character" w:customStyle="1" w:styleId="115">
    <w:name w:val="grid2"/>
    <w:autoRedefine/>
    <w:qFormat/>
    <w:uiPriority w:val="0"/>
    <w:rPr>
      <w:rFonts w:ascii="Times New Roman" w:hAnsi="Times New Roman" w:eastAsia="宋体" w:cs="Times New Roman"/>
    </w:rPr>
  </w:style>
  <w:style w:type="character" w:customStyle="1" w:styleId="116">
    <w:name w:val="正文要点 Char Char"/>
    <w:link w:val="117"/>
    <w:autoRedefine/>
    <w:qFormat/>
    <w:uiPriority w:val="0"/>
    <w:rPr>
      <w:rFonts w:eastAsia="楷体_GB2312"/>
      <w:kern w:val="2"/>
      <w:sz w:val="21"/>
      <w:szCs w:val="24"/>
    </w:rPr>
  </w:style>
  <w:style w:type="paragraph" w:customStyle="1" w:styleId="117">
    <w:name w:val="正文要点"/>
    <w:basedOn w:val="1"/>
    <w:next w:val="1"/>
    <w:link w:val="116"/>
    <w:autoRedefine/>
    <w:qFormat/>
    <w:uiPriority w:val="0"/>
    <w:pPr>
      <w:tabs>
        <w:tab w:val="left" w:pos="420"/>
      </w:tabs>
      <w:spacing w:line="360" w:lineRule="auto"/>
      <w:ind w:left="420" w:hanging="420"/>
    </w:pPr>
    <w:rPr>
      <w:sz w:val="21"/>
      <w:szCs w:val="24"/>
    </w:rPr>
  </w:style>
  <w:style w:type="character" w:customStyle="1" w:styleId="118">
    <w:name w:val="apple-converted-space"/>
    <w:autoRedefine/>
    <w:qFormat/>
    <w:uiPriority w:val="0"/>
  </w:style>
  <w:style w:type="character" w:customStyle="1" w:styleId="119">
    <w:name w:val="bds_nopic2"/>
    <w:autoRedefine/>
    <w:qFormat/>
    <w:uiPriority w:val="0"/>
    <w:rPr>
      <w:rFonts w:ascii="Times New Roman" w:hAnsi="Times New Roman" w:eastAsia="宋体" w:cs="Times New Roman"/>
    </w:rPr>
  </w:style>
  <w:style w:type="character" w:customStyle="1" w:styleId="120">
    <w:name w:val="普通(网站) Char"/>
    <w:link w:val="52"/>
    <w:autoRedefine/>
    <w:qFormat/>
    <w:uiPriority w:val="0"/>
    <w:rPr>
      <w:sz w:val="24"/>
      <w:szCs w:val="24"/>
    </w:rPr>
  </w:style>
  <w:style w:type="character" w:customStyle="1" w:styleId="121">
    <w:name w:val="样式 宋体 小四"/>
    <w:autoRedefine/>
    <w:qFormat/>
    <w:uiPriority w:val="0"/>
    <w:rPr>
      <w:rFonts w:ascii="宋体" w:hAnsi="宋体"/>
      <w:sz w:val="24"/>
    </w:rPr>
  </w:style>
  <w:style w:type="character" w:customStyle="1" w:styleId="122">
    <w:name w:val="Table Text Char Char"/>
    <w:link w:val="123"/>
    <w:autoRedefine/>
    <w:qFormat/>
    <w:uiPriority w:val="0"/>
    <w:rPr>
      <w:rFonts w:ascii="Arial" w:hAnsi="Arial" w:cs="Arial"/>
      <w:sz w:val="18"/>
      <w:szCs w:val="18"/>
      <w:lang w:val="en-US" w:eastAsia="zh-CN" w:bidi="ar-SA"/>
    </w:rPr>
  </w:style>
  <w:style w:type="paragraph" w:customStyle="1" w:styleId="123">
    <w:name w:val="Table Text"/>
    <w:link w:val="122"/>
    <w:autoRedefine/>
    <w:qFormat/>
    <w:uiPriority w:val="0"/>
    <w:pPr>
      <w:snapToGrid w:val="0"/>
      <w:spacing w:before="80" w:after="80"/>
    </w:pPr>
    <w:rPr>
      <w:rFonts w:ascii="Arial" w:hAnsi="Arial" w:eastAsia="宋体" w:cs="Arial"/>
      <w:sz w:val="18"/>
      <w:szCs w:val="18"/>
      <w:lang w:val="en-US" w:eastAsia="zh-CN" w:bidi="ar-SA"/>
    </w:rPr>
  </w:style>
  <w:style w:type="character" w:customStyle="1" w:styleId="124">
    <w:name w:val="grid"/>
    <w:autoRedefine/>
    <w:qFormat/>
    <w:uiPriority w:val="0"/>
    <w:rPr>
      <w:rFonts w:ascii="Times New Roman" w:hAnsi="Times New Roman" w:eastAsia="宋体" w:cs="Times New Roman"/>
    </w:rPr>
  </w:style>
  <w:style w:type="character" w:customStyle="1" w:styleId="125">
    <w:name w:val="纯文本 Char"/>
    <w:link w:val="28"/>
    <w:autoRedefine/>
    <w:qFormat/>
    <w:uiPriority w:val="0"/>
    <w:rPr>
      <w:rFonts w:ascii="宋体" w:hAnsi="Courier New" w:eastAsia="楷体_GB2312" w:cs="Times New Roman"/>
      <w:kern w:val="2"/>
      <w:sz w:val="26"/>
      <w:lang w:val="en-US" w:eastAsia="zh-CN" w:bidi="ar-SA"/>
    </w:rPr>
  </w:style>
  <w:style w:type="character" w:customStyle="1" w:styleId="126">
    <w:name w:val="bds_nopic1"/>
    <w:autoRedefine/>
    <w:qFormat/>
    <w:uiPriority w:val="0"/>
    <w:rPr>
      <w:rFonts w:ascii="Times New Roman" w:hAnsi="Times New Roman" w:eastAsia="宋体" w:cs="Times New Roman"/>
    </w:rPr>
  </w:style>
  <w:style w:type="character" w:customStyle="1" w:styleId="127">
    <w:name w:val="active8"/>
    <w:autoRedefine/>
    <w:qFormat/>
    <w:uiPriority w:val="0"/>
    <w:rPr>
      <w:rFonts w:ascii="Times New Roman" w:hAnsi="Times New Roman" w:eastAsia="宋体" w:cs="Times New Roman"/>
      <w:color w:val="00FF00"/>
      <w:shd w:val="clear" w:color="auto" w:fill="000000"/>
    </w:rPr>
  </w:style>
  <w:style w:type="paragraph" w:customStyle="1" w:styleId="128">
    <w:name w:val="xl1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29">
    <w:name w:val="xl11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0">
    <w:name w:val="xl81"/>
    <w:basedOn w:val="1"/>
    <w:autoRedefine/>
    <w:qFormat/>
    <w:uiPriority w:val="0"/>
    <w:pPr>
      <w:widowControl/>
      <w:spacing w:before="100" w:beforeAutospacing="1" w:after="100" w:afterAutospacing="1"/>
      <w:jc w:val="center"/>
    </w:pPr>
    <w:rPr>
      <w:rFonts w:eastAsia="宋体"/>
      <w:b/>
      <w:bCs/>
      <w:kern w:val="0"/>
      <w:sz w:val="24"/>
      <w:szCs w:val="24"/>
    </w:rPr>
  </w:style>
  <w:style w:type="paragraph" w:customStyle="1" w:styleId="131">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32">
    <w:name w:val="xl76"/>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33">
    <w:name w:val="xl84"/>
    <w:basedOn w:val="1"/>
    <w:autoRedefine/>
    <w:qFormat/>
    <w:uiPriority w:val="0"/>
    <w:pPr>
      <w:widowControl/>
      <w:pBdr>
        <w:top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34">
    <w:name w:val="xl12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35">
    <w:name w:val="xl15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character" w:customStyle="1" w:styleId="136">
    <w:name w:val="日期 Char"/>
    <w:link w:val="31"/>
    <w:autoRedefine/>
    <w:qFormat/>
    <w:uiPriority w:val="0"/>
    <w:rPr>
      <w:rFonts w:ascii="宋体" w:hAnsi="宋体" w:eastAsia="宋体" w:cs="Times New Roman"/>
      <w:kern w:val="2"/>
      <w:sz w:val="24"/>
    </w:rPr>
  </w:style>
  <w:style w:type="paragraph" w:customStyle="1" w:styleId="137">
    <w:name w:val="列出段落1"/>
    <w:basedOn w:val="1"/>
    <w:autoRedefine/>
    <w:qFormat/>
    <w:uiPriority w:val="0"/>
    <w:pPr>
      <w:ind w:firstLine="420" w:firstLineChars="200"/>
    </w:pPr>
    <w:rPr>
      <w:rFonts w:eastAsia="宋体"/>
      <w:sz w:val="21"/>
      <w:szCs w:val="22"/>
    </w:rPr>
  </w:style>
  <w:style w:type="paragraph" w:customStyle="1" w:styleId="138">
    <w:name w:val="xl11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
    <w:name w:val="xl150"/>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left"/>
    </w:pPr>
    <w:rPr>
      <w:rFonts w:ascii="宋体" w:hAnsi="宋体" w:eastAsia="宋体" w:cs="宋体"/>
      <w:kern w:val="0"/>
      <w:sz w:val="20"/>
    </w:rPr>
  </w:style>
  <w:style w:type="paragraph" w:customStyle="1" w:styleId="140">
    <w:name w:val="xl13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1">
    <w:name w:val="xl14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2">
    <w:name w:val="xl48"/>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43">
    <w:name w:val="列出段落11"/>
    <w:basedOn w:val="1"/>
    <w:autoRedefine/>
    <w:qFormat/>
    <w:uiPriority w:val="0"/>
    <w:pPr>
      <w:ind w:firstLine="200" w:firstLineChars="200"/>
    </w:pPr>
    <w:rPr>
      <w:rFonts w:eastAsia="宋体" w:cs="Arial"/>
      <w:sz w:val="21"/>
      <w:szCs w:val="22"/>
    </w:rPr>
  </w:style>
  <w:style w:type="paragraph" w:customStyle="1" w:styleId="144">
    <w:name w:val="rm"/>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
    <w:name w:val="font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46">
    <w:name w:val="Char"/>
    <w:basedOn w:val="1"/>
    <w:autoRedefine/>
    <w:qFormat/>
    <w:uiPriority w:val="0"/>
    <w:rPr>
      <w:rFonts w:ascii="Tahoma" w:hAnsi="Tahoma" w:eastAsia="宋体"/>
      <w:sz w:val="24"/>
    </w:rPr>
  </w:style>
  <w:style w:type="paragraph" w:customStyle="1" w:styleId="147">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i/>
      <w:iCs/>
      <w:kern w:val="0"/>
      <w:sz w:val="24"/>
      <w:szCs w:val="24"/>
    </w:rPr>
  </w:style>
  <w:style w:type="paragraph" w:customStyle="1" w:styleId="148">
    <w:name w:val="xl146"/>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49">
    <w:name w:val="xl96"/>
    <w:basedOn w:val="1"/>
    <w:autoRedefine/>
    <w:qFormat/>
    <w:uiPriority w:val="0"/>
    <w:pPr>
      <w:widowControl/>
      <w:spacing w:before="100" w:beforeAutospacing="1" w:after="100" w:afterAutospacing="1"/>
      <w:jc w:val="center"/>
    </w:pPr>
    <w:rPr>
      <w:rFonts w:eastAsia="宋体"/>
      <w:kern w:val="0"/>
      <w:sz w:val="24"/>
      <w:szCs w:val="24"/>
    </w:rPr>
  </w:style>
  <w:style w:type="paragraph" w:customStyle="1" w:styleId="150">
    <w:name w:val="xl99"/>
    <w:basedOn w:val="1"/>
    <w:autoRedefine/>
    <w:qFormat/>
    <w:uiPriority w:val="0"/>
    <w:pPr>
      <w:widowControl/>
      <w:pBdr>
        <w:bottom w:val="single" w:color="auto" w:sz="4" w:space="0"/>
      </w:pBdr>
      <w:spacing w:before="100" w:beforeAutospacing="1" w:after="100" w:afterAutospacing="1"/>
      <w:jc w:val="center"/>
    </w:pPr>
    <w:rPr>
      <w:rFonts w:eastAsia="宋体"/>
      <w:kern w:val="0"/>
      <w:sz w:val="24"/>
      <w:szCs w:val="24"/>
    </w:rPr>
  </w:style>
  <w:style w:type="paragraph" w:customStyle="1" w:styleId="151">
    <w:name w:val="xl82"/>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152">
    <w:name w:val="xl153"/>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53">
    <w:name w:val="xl162"/>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54">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5">
    <w:name w:val="xl49"/>
    <w:basedOn w:val="1"/>
    <w:autoRedefine/>
    <w:qFormat/>
    <w:uiPriority w:val="0"/>
    <w:pPr>
      <w:widowControl/>
      <w:spacing w:before="100" w:beforeAutospacing="1" w:after="100" w:afterAutospacing="1"/>
      <w:jc w:val="center"/>
      <w:textAlignment w:val="center"/>
    </w:pPr>
    <w:rPr>
      <w:rFonts w:ascii="Univers" w:hAnsi="Univers" w:eastAsia="宋体" w:cs="宋体"/>
      <w:b/>
      <w:bCs/>
      <w:kern w:val="0"/>
      <w:sz w:val="24"/>
      <w:szCs w:val="24"/>
    </w:rPr>
  </w:style>
  <w:style w:type="paragraph" w:customStyle="1" w:styleId="156">
    <w:name w:val="规范正文"/>
    <w:basedOn w:val="1"/>
    <w:autoRedefine/>
    <w:qFormat/>
    <w:uiPriority w:val="0"/>
    <w:pPr>
      <w:spacing w:beforeLines="50" w:afterLines="50" w:line="360" w:lineRule="auto"/>
      <w:ind w:left="425" w:firstLine="480" w:firstLineChars="200"/>
    </w:pPr>
    <w:rPr>
      <w:rFonts w:ascii="宋体" w:hAnsi="宋体" w:eastAsia="宋体" w:cs="宋体"/>
      <w:sz w:val="24"/>
      <w:szCs w:val="24"/>
    </w:rPr>
  </w:style>
  <w:style w:type="paragraph" w:customStyle="1" w:styleId="157">
    <w:name w:val="xl7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kern w:val="0"/>
      <w:sz w:val="24"/>
      <w:szCs w:val="24"/>
    </w:rPr>
  </w:style>
  <w:style w:type="paragraph" w:customStyle="1" w:styleId="158">
    <w:name w:val="xl92"/>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kern w:val="0"/>
      <w:sz w:val="22"/>
      <w:szCs w:val="22"/>
    </w:rPr>
  </w:style>
  <w:style w:type="character" w:customStyle="1" w:styleId="159">
    <w:name w:val="脚注文本 Char"/>
    <w:link w:val="42"/>
    <w:autoRedefine/>
    <w:qFormat/>
    <w:uiPriority w:val="0"/>
    <w:rPr>
      <w:rFonts w:ascii="Times New Roman" w:hAnsi="Times New Roman"/>
      <w:kern w:val="2"/>
      <w:sz w:val="18"/>
    </w:rPr>
  </w:style>
  <w:style w:type="paragraph" w:customStyle="1" w:styleId="160">
    <w:name w:val="样式2"/>
    <w:basedOn w:val="1"/>
    <w:autoRedefine/>
    <w:qFormat/>
    <w:uiPriority w:val="0"/>
    <w:pPr>
      <w:widowControl/>
      <w:tabs>
        <w:tab w:val="left" w:pos="1200"/>
      </w:tabs>
      <w:autoSpaceDE w:val="0"/>
      <w:autoSpaceDN w:val="0"/>
      <w:spacing w:before="40" w:after="40" w:line="360" w:lineRule="auto"/>
      <w:ind w:left="1200" w:hanging="420"/>
    </w:pPr>
    <w:rPr>
      <w:rFonts w:ascii="宋体" w:eastAsia="宋体"/>
      <w:sz w:val="21"/>
      <w:szCs w:val="24"/>
    </w:rPr>
  </w:style>
  <w:style w:type="paragraph" w:customStyle="1" w:styleId="161">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62">
    <w:name w:val="xl141"/>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163">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64">
    <w:name w:val="Char Char1 Char Char Char Char"/>
    <w:basedOn w:val="16"/>
    <w:autoRedefine/>
    <w:qFormat/>
    <w:uiPriority w:val="0"/>
    <w:pPr>
      <w:adjustRightInd w:val="0"/>
      <w:snapToGrid w:val="0"/>
      <w:spacing w:line="360" w:lineRule="auto"/>
    </w:pPr>
    <w:rPr>
      <w:rFonts w:ascii="Tahoma" w:hAnsi="Tahoma"/>
      <w:sz w:val="24"/>
      <w:szCs w:val="24"/>
    </w:rPr>
  </w:style>
  <w:style w:type="paragraph" w:customStyle="1" w:styleId="165">
    <w:name w:val="xl157"/>
    <w:basedOn w:val="1"/>
    <w:autoRedefine/>
    <w:qFormat/>
    <w:uiPriority w:val="0"/>
    <w:pPr>
      <w:widowControl/>
      <w:pBdr>
        <w:left w:val="single" w:color="auto" w:sz="4" w:space="0"/>
        <w:right w:val="single" w:color="auto" w:sz="4" w:space="0"/>
      </w:pBdr>
      <w:spacing w:before="100" w:beforeAutospacing="1" w:after="100" w:afterAutospacing="1"/>
      <w:jc w:val="center"/>
    </w:pPr>
    <w:rPr>
      <w:rFonts w:eastAsia="宋体"/>
      <w:b/>
      <w:bCs/>
      <w:color w:val="FF0000"/>
      <w:kern w:val="0"/>
      <w:sz w:val="20"/>
    </w:rPr>
  </w:style>
  <w:style w:type="character" w:customStyle="1" w:styleId="166">
    <w:name w:val="批注框文本 Char"/>
    <w:link w:val="33"/>
    <w:autoRedefine/>
    <w:qFormat/>
    <w:uiPriority w:val="0"/>
    <w:rPr>
      <w:rFonts w:ascii="Times New Roman" w:hAnsi="Times New Roman" w:eastAsia="宋体" w:cs="Times New Roman"/>
      <w:kern w:val="2"/>
      <w:sz w:val="18"/>
      <w:szCs w:val="18"/>
    </w:rPr>
  </w:style>
  <w:style w:type="paragraph" w:customStyle="1" w:styleId="16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8">
    <w:name w:val="xl1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69">
    <w:name w:val="Char Char3"/>
    <w:basedOn w:val="1"/>
    <w:autoRedefine/>
    <w:qFormat/>
    <w:uiPriority w:val="0"/>
    <w:pPr>
      <w:spacing w:beforeLines="50" w:afterLines="50"/>
      <w:jc w:val="left"/>
    </w:pPr>
    <w:rPr>
      <w:rFonts w:eastAsia="宋体"/>
      <w:sz w:val="30"/>
      <w:szCs w:val="32"/>
    </w:rPr>
  </w:style>
  <w:style w:type="paragraph" w:customStyle="1" w:styleId="170">
    <w:name w:val="xl88"/>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171">
    <w:name w:val="xl1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72">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73">
    <w:name w:val="正文首行缩进4"/>
    <w:basedOn w:val="1"/>
    <w:autoRedefine/>
    <w:qFormat/>
    <w:uiPriority w:val="0"/>
    <w:pPr>
      <w:spacing w:beforeLines="50" w:afterLines="50" w:line="360" w:lineRule="auto"/>
      <w:ind w:firstLine="480" w:firstLineChars="200"/>
    </w:pPr>
    <w:rPr>
      <w:rFonts w:ascii="Arial" w:hAnsi="Arial" w:eastAsia="宋体"/>
      <w:sz w:val="24"/>
      <w:szCs w:val="24"/>
    </w:rPr>
  </w:style>
  <w:style w:type="paragraph" w:customStyle="1" w:styleId="174">
    <w:name w:val="font8"/>
    <w:basedOn w:val="1"/>
    <w:autoRedefine/>
    <w:qFormat/>
    <w:uiPriority w:val="0"/>
    <w:pPr>
      <w:widowControl/>
      <w:spacing w:before="100" w:beforeAutospacing="1" w:after="100" w:afterAutospacing="1"/>
      <w:jc w:val="left"/>
    </w:pPr>
    <w:rPr>
      <w:rFonts w:eastAsia="宋体"/>
      <w:kern w:val="0"/>
      <w:sz w:val="22"/>
      <w:szCs w:val="22"/>
    </w:rPr>
  </w:style>
  <w:style w:type="paragraph" w:customStyle="1" w:styleId="175">
    <w:name w:val="Char Char Char Char Char Char"/>
    <w:basedOn w:val="1"/>
    <w:autoRedefine/>
    <w:qFormat/>
    <w:uiPriority w:val="0"/>
    <w:rPr>
      <w:rFonts w:ascii="Tahoma" w:hAnsi="Tahoma" w:eastAsia="宋体"/>
      <w:sz w:val="24"/>
    </w:rPr>
  </w:style>
  <w:style w:type="paragraph" w:customStyle="1" w:styleId="1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rPr>
  </w:style>
  <w:style w:type="paragraph" w:customStyle="1" w:styleId="17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i/>
      <w:iCs/>
      <w:kern w:val="0"/>
      <w:sz w:val="24"/>
      <w:szCs w:val="24"/>
    </w:rPr>
  </w:style>
  <w:style w:type="paragraph" w:customStyle="1" w:styleId="178">
    <w:name w:val="表格正文"/>
    <w:basedOn w:val="1"/>
    <w:autoRedefine/>
    <w:qFormat/>
    <w:uiPriority w:val="0"/>
    <w:pPr>
      <w:spacing w:before="100" w:beforeAutospacing="1" w:after="100" w:afterAutospacing="1" w:line="240" w:lineRule="atLeast"/>
    </w:pPr>
    <w:rPr>
      <w:sz w:val="24"/>
    </w:rPr>
  </w:style>
  <w:style w:type="paragraph" w:customStyle="1" w:styleId="179">
    <w:name w:val="xl74"/>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xl90"/>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82">
    <w:name w:val="Bullet"/>
    <w:basedOn w:val="1"/>
    <w:autoRedefine/>
    <w:qFormat/>
    <w:uiPriority w:val="0"/>
    <w:pPr>
      <w:widowControl/>
      <w:adjustRightInd w:val="0"/>
      <w:spacing w:before="60" w:after="60" w:line="360" w:lineRule="auto"/>
      <w:ind w:left="1225" w:firstLine="420" w:firstLineChars="200"/>
    </w:pPr>
    <w:rPr>
      <w:rFonts w:eastAsia="宋体"/>
      <w:b/>
      <w:kern w:val="0"/>
      <w:sz w:val="21"/>
      <w:szCs w:val="21"/>
    </w:rPr>
  </w:style>
  <w:style w:type="paragraph" w:customStyle="1" w:styleId="183">
    <w:name w:val="_Style 57"/>
    <w:next w:val="1"/>
    <w:autoRedefine/>
    <w:qFormat/>
    <w:uiPriority w:val="0"/>
    <w:pPr>
      <w:widowControl w:val="0"/>
      <w:jc w:val="both"/>
    </w:pPr>
    <w:rPr>
      <w:rFonts w:ascii="Calibri" w:hAnsi="Calibri" w:eastAsia="楷体_GB2312" w:cs="Times New Roman"/>
      <w:kern w:val="2"/>
      <w:sz w:val="26"/>
      <w:lang w:val="en-US" w:eastAsia="zh-CN" w:bidi="ar-SA"/>
    </w:rPr>
  </w:style>
  <w:style w:type="paragraph" w:customStyle="1" w:styleId="184">
    <w:name w:val="p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xl6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6">
    <w:name w:val="xl53"/>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87">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8">
    <w:name w:val="xl8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89">
    <w:name w:val="xl7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90">
    <w:name w:val="xl7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eastAsia="宋体"/>
      <w:b/>
      <w:bCs/>
      <w:kern w:val="0"/>
      <w:sz w:val="24"/>
      <w:szCs w:val="24"/>
    </w:rPr>
  </w:style>
  <w:style w:type="character" w:customStyle="1" w:styleId="191">
    <w:name w:val="正文文本缩进 3 Char"/>
    <w:link w:val="44"/>
    <w:autoRedefine/>
    <w:qFormat/>
    <w:uiPriority w:val="0"/>
    <w:rPr>
      <w:rFonts w:ascii="Times New Roman" w:hAnsi="Times New Roman"/>
      <w:kern w:val="2"/>
      <w:sz w:val="24"/>
      <w:szCs w:val="24"/>
    </w:rPr>
  </w:style>
  <w:style w:type="paragraph" w:customStyle="1" w:styleId="192">
    <w:name w:val="Char Char Char Char Char Char Char"/>
    <w:basedOn w:val="1"/>
    <w:autoRedefine/>
    <w:qFormat/>
    <w:uiPriority w:val="0"/>
    <w:rPr>
      <w:rFonts w:eastAsia="宋体"/>
      <w:sz w:val="21"/>
      <w:szCs w:val="24"/>
    </w:rPr>
  </w:style>
  <w:style w:type="paragraph" w:customStyle="1" w:styleId="193">
    <w:name w:val="项符&gt;"/>
    <w:basedOn w:val="1"/>
    <w:autoRedefine/>
    <w:qFormat/>
    <w:uiPriority w:val="0"/>
    <w:pPr>
      <w:spacing w:line="360" w:lineRule="auto"/>
    </w:pPr>
    <w:rPr>
      <w:rFonts w:hint="eastAsia" w:ascii="宋体" w:hAnsi="宋体" w:eastAsia="宋体"/>
      <w:sz w:val="24"/>
      <w:szCs w:val="30"/>
    </w:rPr>
  </w:style>
  <w:style w:type="paragraph" w:customStyle="1" w:styleId="194">
    <w:name w:val="xl1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95">
    <w:name w:val="xl151"/>
    <w:basedOn w:val="1"/>
    <w:autoRedefine/>
    <w:qFormat/>
    <w:uiPriority w:val="0"/>
    <w:pPr>
      <w:widowControl/>
      <w:pBdr>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6">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197">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98">
    <w:name w:val="默认段落字体 Para Char Char Char Char Char Char Char"/>
    <w:basedOn w:val="1"/>
    <w:autoRedefine/>
    <w:qFormat/>
    <w:uiPriority w:val="0"/>
    <w:rPr>
      <w:rFonts w:eastAsia="宋体"/>
      <w:sz w:val="21"/>
    </w:rPr>
  </w:style>
  <w:style w:type="paragraph" w:customStyle="1" w:styleId="19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00">
    <w:name w:val="p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01">
    <w:name w:val="List Paragraph"/>
    <w:basedOn w:val="1"/>
    <w:autoRedefine/>
    <w:qFormat/>
    <w:uiPriority w:val="0"/>
    <w:pPr>
      <w:ind w:firstLine="420" w:firstLineChars="200"/>
    </w:pPr>
    <w:rPr>
      <w:rFonts w:ascii="Times New Roman" w:hAnsi="Times New Roman" w:eastAsia="宋体"/>
      <w:sz w:val="21"/>
      <w:szCs w:val="24"/>
    </w:rPr>
  </w:style>
  <w:style w:type="paragraph" w:customStyle="1" w:styleId="202">
    <w:name w:val="xl11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03">
    <w:name w:val="表格标题"/>
    <w:basedOn w:val="178"/>
    <w:autoRedefine/>
    <w:qFormat/>
    <w:uiPriority w:val="0"/>
    <w:pPr>
      <w:jc w:val="center"/>
    </w:pPr>
    <w:rPr>
      <w:b/>
    </w:rPr>
  </w:style>
  <w:style w:type="paragraph" w:customStyle="1" w:styleId="204">
    <w:name w:val="xl11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05">
    <w:name w:val="xl89"/>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206">
    <w:name w:val="正文符号1"/>
    <w:basedOn w:val="1"/>
    <w:autoRedefine/>
    <w:qFormat/>
    <w:uiPriority w:val="0"/>
    <w:pPr>
      <w:tabs>
        <w:tab w:val="left" w:pos="425"/>
        <w:tab w:val="left" w:pos="1080"/>
      </w:tabs>
      <w:spacing w:before="100" w:beforeAutospacing="1" w:after="100" w:afterAutospacing="1"/>
      <w:ind w:left="425" w:hanging="425"/>
    </w:pPr>
    <w:rPr>
      <w:kern w:val="0"/>
      <w:sz w:val="28"/>
      <w:szCs w:val="24"/>
    </w:rPr>
  </w:style>
  <w:style w:type="paragraph" w:customStyle="1" w:styleId="207">
    <w:name w:val="xl50"/>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08">
    <w:name w:val="xl137"/>
    <w:basedOn w:val="1"/>
    <w:autoRedefine/>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0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1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11">
    <w:name w:val="flName"/>
    <w:basedOn w:val="1"/>
    <w:link w:val="212"/>
    <w:autoRedefine/>
    <w:qFormat/>
    <w:uiPriority w:val="0"/>
    <w:pPr>
      <w:tabs>
        <w:tab w:val="left" w:pos="5400"/>
      </w:tabs>
      <w:adjustRightInd w:val="0"/>
      <w:spacing w:before="320" w:after="160" w:line="360" w:lineRule="atLeast"/>
      <w:jc w:val="center"/>
      <w:textAlignment w:val="baseline"/>
    </w:pPr>
    <w:rPr>
      <w:rFonts w:ascii="Arial" w:eastAsia="黑体"/>
      <w:kern w:val="0"/>
      <w:sz w:val="32"/>
    </w:rPr>
  </w:style>
  <w:style w:type="character" w:customStyle="1" w:styleId="212">
    <w:name w:val="flName Char Char"/>
    <w:link w:val="211"/>
    <w:autoRedefine/>
    <w:qFormat/>
    <w:uiPriority w:val="0"/>
    <w:rPr>
      <w:rFonts w:ascii="Arial" w:eastAsia="黑体"/>
      <w:sz w:val="32"/>
    </w:rPr>
  </w:style>
  <w:style w:type="paragraph" w:customStyle="1" w:styleId="213">
    <w:name w:val="xl97"/>
    <w:basedOn w:val="1"/>
    <w:autoRedefine/>
    <w:qFormat/>
    <w:uiPriority w:val="0"/>
    <w:pPr>
      <w:widowControl/>
      <w:pBdr>
        <w:right w:val="single" w:color="auto" w:sz="4" w:space="0"/>
      </w:pBdr>
      <w:spacing w:before="100" w:beforeAutospacing="1" w:after="100" w:afterAutospacing="1"/>
      <w:jc w:val="center"/>
    </w:pPr>
    <w:rPr>
      <w:rFonts w:eastAsia="宋体"/>
      <w:kern w:val="0"/>
      <w:sz w:val="24"/>
      <w:szCs w:val="24"/>
    </w:rPr>
  </w:style>
  <w:style w:type="paragraph" w:customStyle="1" w:styleId="214">
    <w:name w:val="Char2"/>
    <w:basedOn w:val="1"/>
    <w:autoRedefine/>
    <w:qFormat/>
    <w:uiPriority w:val="0"/>
    <w:rPr>
      <w:rFonts w:ascii="仿宋_GB2312" w:eastAsia="仿宋_GB2312"/>
      <w:b/>
      <w:sz w:val="32"/>
      <w:szCs w:val="32"/>
    </w:rPr>
  </w:style>
  <w:style w:type="paragraph" w:customStyle="1" w:styleId="215">
    <w:name w:val="font11"/>
    <w:basedOn w:val="1"/>
    <w:autoRedefine/>
    <w:qFormat/>
    <w:uiPriority w:val="0"/>
    <w:pPr>
      <w:widowControl/>
      <w:spacing w:before="100" w:beforeAutospacing="1" w:after="100" w:afterAutospacing="1"/>
      <w:jc w:val="left"/>
    </w:pPr>
    <w:rPr>
      <w:rFonts w:ascii="宋体" w:hAnsi="宋体" w:eastAsia="宋体" w:cs="宋体"/>
      <w:b/>
      <w:bCs/>
      <w:i/>
      <w:iCs/>
      <w:kern w:val="0"/>
      <w:sz w:val="20"/>
    </w:rPr>
  </w:style>
  <w:style w:type="paragraph" w:customStyle="1" w:styleId="216">
    <w:name w:val="xl156"/>
    <w:basedOn w:val="1"/>
    <w:autoRedefine/>
    <w:qFormat/>
    <w:uiPriority w:val="0"/>
    <w:pPr>
      <w:widowControl/>
      <w:shd w:val="clear" w:color="000000" w:fill="FFFFFF"/>
      <w:spacing w:before="100" w:beforeAutospacing="1" w:after="100" w:afterAutospacing="1"/>
      <w:jc w:val="center"/>
    </w:pPr>
    <w:rPr>
      <w:rFonts w:ascii="宋体" w:hAnsi="宋体" w:eastAsia="宋体" w:cs="宋体"/>
      <w:kern w:val="0"/>
      <w:sz w:val="20"/>
    </w:rPr>
  </w:style>
  <w:style w:type="paragraph" w:customStyle="1" w:styleId="217">
    <w:name w:val="纯文本1"/>
    <w:basedOn w:val="1"/>
    <w:autoRedefine/>
    <w:qFormat/>
    <w:uiPriority w:val="0"/>
    <w:pPr>
      <w:adjustRightInd w:val="0"/>
      <w:textAlignment w:val="baseline"/>
    </w:pPr>
    <w:rPr>
      <w:rFonts w:ascii="宋体" w:hAnsi="Courier New" w:eastAsia="宋体"/>
      <w:sz w:val="28"/>
    </w:rPr>
  </w:style>
  <w:style w:type="paragraph" w:customStyle="1" w:styleId="218">
    <w:name w:val="xl47"/>
    <w:basedOn w:val="1"/>
    <w:autoRedefine/>
    <w:qFormat/>
    <w:uiPriority w:val="0"/>
    <w:pPr>
      <w:widowControl/>
      <w:spacing w:before="100" w:beforeAutospacing="1" w:after="100" w:afterAutospacing="1"/>
      <w:jc w:val="center"/>
    </w:pPr>
    <w:rPr>
      <w:rFonts w:ascii="Univers" w:hAnsi="Univers" w:eastAsia="宋体" w:cs="宋体"/>
      <w:b/>
      <w:bCs/>
      <w:kern w:val="0"/>
      <w:sz w:val="24"/>
      <w:szCs w:val="24"/>
    </w:rPr>
  </w:style>
  <w:style w:type="paragraph" w:customStyle="1" w:styleId="219">
    <w:name w:val="xl80"/>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kern w:val="0"/>
      <w:sz w:val="24"/>
      <w:szCs w:val="24"/>
    </w:rPr>
  </w:style>
  <w:style w:type="paragraph" w:customStyle="1" w:styleId="220">
    <w:name w:val="content"/>
    <w:basedOn w:val="1"/>
    <w:autoRedefine/>
    <w:qFormat/>
    <w:uiPriority w:val="0"/>
    <w:pPr>
      <w:widowControl/>
      <w:spacing w:before="180" w:after="180" w:line="225" w:lineRule="atLeast"/>
      <w:ind w:left="180" w:right="180"/>
      <w:jc w:val="left"/>
    </w:pPr>
    <w:rPr>
      <w:rFonts w:ascii="Arial" w:hAnsi="Arial" w:eastAsia="宋体" w:cs="Arial"/>
      <w:color w:val="153B63"/>
      <w:kern w:val="0"/>
      <w:sz w:val="18"/>
      <w:szCs w:val="18"/>
    </w:rPr>
  </w:style>
  <w:style w:type="paragraph" w:customStyle="1" w:styleId="221">
    <w:name w:val="正文1"/>
    <w:next w:val="1"/>
    <w:autoRedefine/>
    <w:qFormat/>
    <w:uiPriority w:val="0"/>
    <w:pPr>
      <w:spacing w:line="360" w:lineRule="auto"/>
      <w:ind w:firstLine="480" w:firstLineChars="200"/>
    </w:pPr>
    <w:rPr>
      <w:rFonts w:ascii="宋体" w:hAnsi="宋体" w:eastAsia="宋体" w:cs="宋体"/>
      <w:sz w:val="24"/>
      <w:szCs w:val="24"/>
      <w:lang w:val="en-US" w:eastAsia="zh-CN" w:bidi="ar-SA"/>
    </w:rPr>
  </w:style>
  <w:style w:type="paragraph" w:customStyle="1" w:styleId="22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rPr>
  </w:style>
  <w:style w:type="paragraph" w:customStyle="1" w:styleId="223">
    <w:name w:val="xl46"/>
    <w:basedOn w:val="1"/>
    <w:autoRedefine/>
    <w:qFormat/>
    <w:uiPriority w:val="0"/>
    <w:pPr>
      <w:widowControl/>
      <w:spacing w:before="100" w:beforeAutospacing="1" w:after="100" w:afterAutospacing="1"/>
      <w:jc w:val="left"/>
      <w:textAlignment w:val="center"/>
    </w:pPr>
    <w:rPr>
      <w:rFonts w:ascii="Univers" w:hAnsi="Univers" w:eastAsia="宋体" w:cs="宋体"/>
      <w:kern w:val="0"/>
      <w:sz w:val="24"/>
      <w:szCs w:val="24"/>
    </w:rPr>
  </w:style>
  <w:style w:type="paragraph" w:customStyle="1" w:styleId="224">
    <w:name w:val="Char Char Char Char Char Char Char Char Char Char Char Char Char"/>
    <w:basedOn w:val="16"/>
    <w:autoRedefine/>
    <w:qFormat/>
    <w:uiPriority w:val="0"/>
    <w:rPr>
      <w:rFonts w:ascii="Tahoma" w:hAnsi="Tahoma"/>
      <w:sz w:val="24"/>
      <w:szCs w:val="24"/>
    </w:rPr>
  </w:style>
  <w:style w:type="paragraph" w:customStyle="1" w:styleId="225">
    <w:name w:val="6"/>
    <w:basedOn w:val="1"/>
    <w:next w:val="21"/>
    <w:autoRedefine/>
    <w:qFormat/>
    <w:uiPriority w:val="0"/>
    <w:pPr>
      <w:spacing w:after="120"/>
    </w:pPr>
    <w:rPr>
      <w:rFonts w:eastAsia="宋体"/>
      <w:sz w:val="21"/>
      <w:szCs w:val="24"/>
    </w:rPr>
  </w:style>
  <w:style w:type="paragraph" w:customStyle="1" w:styleId="226">
    <w:name w:val="样式3"/>
    <w:basedOn w:val="3"/>
    <w:autoRedefine/>
    <w:qFormat/>
    <w:uiPriority w:val="0"/>
    <w:pPr>
      <w:keepLines w:val="0"/>
      <w:autoSpaceDE w:val="0"/>
      <w:autoSpaceDN w:val="0"/>
      <w:adjustRightInd w:val="0"/>
      <w:spacing w:before="0" w:after="0" w:line="360" w:lineRule="auto"/>
      <w:jc w:val="center"/>
      <w:textAlignment w:val="baseline"/>
    </w:pPr>
    <w:rPr>
      <w:rFonts w:eastAsia="宋体"/>
      <w:kern w:val="0"/>
      <w:sz w:val="24"/>
      <w:szCs w:val="24"/>
    </w:rPr>
  </w:style>
  <w:style w:type="paragraph" w:customStyle="1" w:styleId="227">
    <w:name w:val="纯文本2"/>
    <w:basedOn w:val="1"/>
    <w:autoRedefine/>
    <w:qFormat/>
    <w:uiPriority w:val="0"/>
    <w:pPr>
      <w:adjustRightInd w:val="0"/>
      <w:textAlignment w:val="baseline"/>
    </w:pPr>
    <w:rPr>
      <w:rFonts w:ascii="宋体" w:hAnsi="Courier New" w:eastAsia="宋体"/>
    </w:rPr>
  </w:style>
  <w:style w:type="paragraph" w:customStyle="1" w:styleId="228">
    <w:name w:val="xl152"/>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29">
    <w:name w:val="xl8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0">
    <w:name w:val="xl13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1">
    <w:name w:val="font9"/>
    <w:basedOn w:val="1"/>
    <w:autoRedefine/>
    <w:qFormat/>
    <w:uiPriority w:val="0"/>
    <w:pPr>
      <w:widowControl/>
      <w:spacing w:before="100" w:beforeAutospacing="1" w:after="100" w:afterAutospacing="1"/>
      <w:jc w:val="left"/>
    </w:pPr>
    <w:rPr>
      <w:rFonts w:eastAsia="宋体"/>
      <w:b/>
      <w:bCs/>
      <w:kern w:val="0"/>
      <w:sz w:val="20"/>
    </w:rPr>
  </w:style>
  <w:style w:type="paragraph" w:customStyle="1" w:styleId="232">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3">
    <w:name w:val="xl59"/>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234">
    <w:name w:val="xl11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5">
    <w:name w:val="font10"/>
    <w:basedOn w:val="1"/>
    <w:autoRedefine/>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236">
    <w:name w:val="Char Char Char Char Char Char Char1 Char"/>
    <w:basedOn w:val="1"/>
    <w:autoRedefine/>
    <w:qFormat/>
    <w:uiPriority w:val="0"/>
    <w:rPr>
      <w:rFonts w:ascii="Tahoma" w:hAnsi="Tahoma" w:eastAsia="宋体"/>
      <w:sz w:val="24"/>
    </w:rPr>
  </w:style>
  <w:style w:type="paragraph" w:customStyle="1" w:styleId="237">
    <w:name w:val="xl14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238">
    <w:name w:val="Char1"/>
    <w:basedOn w:val="1"/>
    <w:autoRedefine/>
    <w:qFormat/>
    <w:uiPriority w:val="0"/>
    <w:pPr>
      <w:widowControl/>
      <w:spacing w:after="160" w:line="240" w:lineRule="exact"/>
      <w:jc w:val="left"/>
    </w:pPr>
    <w:rPr>
      <w:rFonts w:ascii="Verdana" w:hAnsi="Verdana" w:eastAsia="宋体"/>
      <w:kern w:val="0"/>
      <w:sz w:val="21"/>
      <w:lang w:eastAsia="en-US"/>
    </w:rPr>
  </w:style>
  <w:style w:type="paragraph" w:customStyle="1" w:styleId="239">
    <w:name w:val="xl57"/>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0">
    <w:name w:val="Char Char Char Char Char Char1 Char"/>
    <w:basedOn w:val="1"/>
    <w:autoRedefine/>
    <w:qFormat/>
    <w:uiPriority w:val="0"/>
    <w:pPr>
      <w:widowControl/>
      <w:spacing w:after="160" w:line="240" w:lineRule="exact"/>
      <w:jc w:val="left"/>
    </w:pPr>
    <w:rPr>
      <w:rFonts w:eastAsia="宋体"/>
      <w:sz w:val="21"/>
    </w:rPr>
  </w:style>
  <w:style w:type="paragraph" w:customStyle="1" w:styleId="241">
    <w:name w:val="xl93"/>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42">
    <w:name w:val="xl161"/>
    <w:basedOn w:val="1"/>
    <w:autoRedefine/>
    <w:qFormat/>
    <w:uiPriority w:val="0"/>
    <w:pPr>
      <w:widowControl/>
      <w:spacing w:before="100" w:beforeAutospacing="1" w:after="100" w:afterAutospacing="1"/>
      <w:jc w:val="center"/>
    </w:pPr>
    <w:rPr>
      <w:rFonts w:ascii="宋体" w:hAnsi="宋体" w:eastAsia="宋体" w:cs="宋体"/>
      <w:color w:val="FF0000"/>
      <w:kern w:val="0"/>
      <w:sz w:val="20"/>
    </w:rPr>
  </w:style>
  <w:style w:type="paragraph" w:customStyle="1" w:styleId="243">
    <w:name w:val="xl154"/>
    <w:basedOn w:val="1"/>
    <w:autoRedefine/>
    <w:qFormat/>
    <w:uiPriority w:val="0"/>
    <w:pPr>
      <w:widowControl/>
      <w:pBdr>
        <w:left w:val="single" w:color="auto" w:sz="4" w:space="0"/>
        <w:bottom w:val="double" w:color="auto" w:sz="6" w:space="0"/>
      </w:pBdr>
      <w:spacing w:before="100" w:beforeAutospacing="1" w:after="100" w:afterAutospacing="1"/>
      <w:jc w:val="left"/>
    </w:pPr>
    <w:rPr>
      <w:rFonts w:ascii="宋体" w:hAnsi="宋体" w:eastAsia="宋体" w:cs="宋体"/>
      <w:kern w:val="0"/>
      <w:sz w:val="20"/>
    </w:rPr>
  </w:style>
  <w:style w:type="paragraph" w:customStyle="1" w:styleId="244">
    <w:name w:val="xl86"/>
    <w:basedOn w:val="1"/>
    <w:autoRedefine/>
    <w:qFormat/>
    <w:uiPriority w:val="0"/>
    <w:pPr>
      <w:widowControl/>
      <w:pBdr>
        <w:top w:val="single" w:color="auto" w:sz="4" w:space="0"/>
        <w:left w:val="single" w:color="auto" w:sz="4" w:space="0"/>
      </w:pBdr>
      <w:spacing w:before="100" w:beforeAutospacing="1" w:after="100" w:afterAutospacing="1"/>
      <w:jc w:val="center"/>
    </w:pPr>
    <w:rPr>
      <w:rFonts w:eastAsia="宋体"/>
      <w:kern w:val="0"/>
      <w:sz w:val="24"/>
      <w:szCs w:val="24"/>
    </w:rPr>
  </w:style>
  <w:style w:type="paragraph" w:customStyle="1" w:styleId="245">
    <w:name w:val="xl52"/>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46">
    <w:name w:val="正文首行缩进{858D7CFB-ED40-4347-BF05-701D383B685F}{858D7CFB-ED40-4347-BF05-701D383B685F}"/>
    <w:basedOn w:val="1"/>
    <w:autoRedefine/>
    <w:qFormat/>
    <w:uiPriority w:val="0"/>
    <w:pPr>
      <w:ind w:firstLine="420"/>
    </w:pPr>
    <w:rPr>
      <w:rFonts w:ascii="Times New Roman" w:hAnsi="Times New Roman" w:eastAsia="宋体"/>
      <w:sz w:val="21"/>
    </w:rPr>
  </w:style>
  <w:style w:type="paragraph" w:customStyle="1" w:styleId="247">
    <w:name w:val="普通 (Web)"/>
    <w:basedOn w:val="1"/>
    <w:autoRedefine/>
    <w:qFormat/>
    <w:uiPriority w:val="0"/>
    <w:pPr>
      <w:widowControl/>
      <w:spacing w:afterLines="50" w:line="384" w:lineRule="auto"/>
      <w:ind w:left="359" w:leftChars="171" w:right="34" w:firstLine="540" w:firstLineChars="225"/>
      <w:jc w:val="left"/>
    </w:pPr>
    <w:rPr>
      <w:rFonts w:ascii="Arial" w:hAnsi="Arial" w:eastAsia="宋体" w:cs="Arial"/>
      <w:kern w:val="0"/>
      <w:sz w:val="24"/>
      <w:szCs w:val="24"/>
    </w:rPr>
  </w:style>
  <w:style w:type="paragraph" w:customStyle="1" w:styleId="248">
    <w:name w:val="xl1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49">
    <w:name w:val="xl143"/>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50">
    <w:name w:val="xl126"/>
    <w:basedOn w:val="1"/>
    <w:autoRedefine/>
    <w:qFormat/>
    <w:uiPriority w:val="0"/>
    <w:pPr>
      <w:widowControl/>
      <w:pBdr>
        <w:top w:val="single" w:color="auto" w:sz="4" w:space="0"/>
        <w:left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51">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2">
    <w:name w:val="xl13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53">
    <w:name w:val="xl51"/>
    <w:basedOn w:val="1"/>
    <w:autoRedefine/>
    <w:qFormat/>
    <w:uiPriority w:val="0"/>
    <w:pPr>
      <w:widowControl/>
      <w:spacing w:before="100" w:beforeAutospacing="1" w:after="100" w:afterAutospacing="1"/>
      <w:jc w:val="right"/>
      <w:textAlignment w:val="center"/>
    </w:pPr>
    <w:rPr>
      <w:rFonts w:ascii="Univers" w:hAnsi="Univers" w:eastAsia="宋体" w:cs="宋体"/>
      <w:b/>
      <w:bCs/>
      <w:kern w:val="0"/>
      <w:sz w:val="24"/>
      <w:szCs w:val="24"/>
    </w:rPr>
  </w:style>
  <w:style w:type="paragraph" w:customStyle="1" w:styleId="254">
    <w:name w:val="xl12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55">
    <w:name w:val="xl123"/>
    <w:basedOn w:val="1"/>
    <w:autoRedefine/>
    <w:qFormat/>
    <w:uiPriority w:val="0"/>
    <w:pPr>
      <w:widowControl/>
      <w:spacing w:before="100" w:beforeAutospacing="1" w:after="100" w:afterAutospacing="1"/>
      <w:jc w:val="center"/>
    </w:pPr>
    <w:rPr>
      <w:rFonts w:ascii="楷体_GB2312" w:hAnsi="宋体" w:cs="宋体"/>
      <w:b/>
      <w:bCs/>
      <w:kern w:val="0"/>
      <w:sz w:val="32"/>
      <w:szCs w:val="32"/>
    </w:rPr>
  </w:style>
  <w:style w:type="paragraph" w:customStyle="1" w:styleId="25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257">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8">
    <w:name w:val="Char Char Char"/>
    <w:basedOn w:val="1"/>
    <w:autoRedefine/>
    <w:qFormat/>
    <w:uiPriority w:val="0"/>
    <w:pPr>
      <w:adjustRightInd w:val="0"/>
      <w:spacing w:line="360" w:lineRule="auto"/>
    </w:pPr>
    <w:rPr>
      <w:rFonts w:eastAsia="宋体"/>
      <w:sz w:val="21"/>
      <w:szCs w:val="24"/>
    </w:rPr>
  </w:style>
  <w:style w:type="paragraph" w:customStyle="1" w:styleId="259">
    <w:name w:val="xl14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60">
    <w:name w:val="方案正文"/>
    <w:basedOn w:val="1"/>
    <w:autoRedefine/>
    <w:qFormat/>
    <w:uiPriority w:val="0"/>
    <w:pPr>
      <w:spacing w:line="360" w:lineRule="auto"/>
    </w:pPr>
    <w:rPr>
      <w:rFonts w:eastAsia="宋体"/>
      <w:sz w:val="24"/>
      <w:szCs w:val="24"/>
    </w:rPr>
  </w:style>
  <w:style w:type="paragraph" w:customStyle="1" w:styleId="261">
    <w:name w:val="表项"/>
    <w:next w:val="1"/>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62">
    <w:name w:val="xl11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64">
    <w:name w:val="xl98"/>
    <w:basedOn w:val="1"/>
    <w:autoRedefine/>
    <w:qFormat/>
    <w:uiPriority w:val="0"/>
    <w:pPr>
      <w:widowControl/>
      <w:pBdr>
        <w:top w:val="single" w:color="auto" w:sz="4" w:space="0"/>
      </w:pBdr>
      <w:spacing w:before="100" w:beforeAutospacing="1" w:after="100" w:afterAutospacing="1"/>
      <w:jc w:val="center"/>
    </w:pPr>
    <w:rPr>
      <w:rFonts w:eastAsia="宋体"/>
      <w:kern w:val="0"/>
      <w:sz w:val="24"/>
      <w:szCs w:val="24"/>
    </w:rPr>
  </w:style>
  <w:style w:type="paragraph" w:customStyle="1" w:styleId="265">
    <w:name w:val="flType"/>
    <w:basedOn w:val="211"/>
    <w:autoRedefine/>
    <w:qFormat/>
    <w:uiPriority w:val="0"/>
    <w:pPr>
      <w:spacing w:before="560" w:after="120"/>
    </w:pPr>
    <w:rPr>
      <w:sz w:val="28"/>
    </w:rPr>
  </w:style>
  <w:style w:type="paragraph" w:customStyle="1" w:styleId="266">
    <w:name w:val="font1"/>
    <w:basedOn w:val="1"/>
    <w:autoRedefine/>
    <w:qFormat/>
    <w:uiPriority w:val="0"/>
    <w:pPr>
      <w:widowControl/>
      <w:spacing w:before="100" w:beforeAutospacing="1" w:after="100" w:afterAutospacing="1"/>
      <w:jc w:val="left"/>
    </w:pPr>
    <w:rPr>
      <w:rFonts w:ascii="宋体" w:hAnsi="宋体" w:eastAsia="宋体" w:cs="宋体"/>
      <w:outline/>
      <w:kern w:val="0"/>
      <w:sz w:val="24"/>
      <w:szCs w:val="24"/>
    </w:rPr>
  </w:style>
  <w:style w:type="paragraph" w:customStyle="1" w:styleId="267">
    <w:name w:val="xl11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68">
    <w:name w:val="xl7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69">
    <w:name w:val="xl127"/>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70">
    <w:name w:val="xl135"/>
    <w:basedOn w:val="1"/>
    <w:autoRedefine/>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1">
    <w:name w:val="xl105"/>
    <w:basedOn w:val="1"/>
    <w:autoRedefine/>
    <w:qFormat/>
    <w:uiPriority w:val="0"/>
    <w:pPr>
      <w:widowControl/>
      <w:pBdr>
        <w:top w:val="single" w:color="auto" w:sz="4" w:space="0"/>
      </w:pBdr>
      <w:spacing w:before="100" w:beforeAutospacing="1" w:after="100" w:afterAutospacing="1"/>
      <w:jc w:val="center"/>
    </w:pPr>
    <w:rPr>
      <w:rFonts w:eastAsia="宋体"/>
      <w:b/>
      <w:bCs/>
      <w:kern w:val="0"/>
      <w:sz w:val="24"/>
      <w:szCs w:val="24"/>
    </w:rPr>
  </w:style>
  <w:style w:type="paragraph" w:customStyle="1" w:styleId="272">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73">
    <w:name w:val="xl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74">
    <w:name w:val="xl163"/>
    <w:basedOn w:val="1"/>
    <w:autoRedefine/>
    <w:qFormat/>
    <w:uiPriority w:val="0"/>
    <w:pPr>
      <w:widowControl/>
      <w:pBdr>
        <w:top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5">
    <w:name w:val="h"/>
    <w:basedOn w:val="1"/>
    <w:autoRedefine/>
    <w:qFormat/>
    <w:uiPriority w:val="0"/>
    <w:pPr>
      <w:widowControl/>
      <w:spacing w:before="100" w:beforeAutospacing="1" w:after="100" w:afterAutospacing="1" w:line="280" w:lineRule="atLeast"/>
      <w:jc w:val="left"/>
    </w:pPr>
    <w:rPr>
      <w:rFonts w:ascii="宋体" w:hAnsi="宋体" w:eastAsia="宋体"/>
      <w:color w:val="003366"/>
      <w:kern w:val="0"/>
      <w:sz w:val="18"/>
      <w:szCs w:val="18"/>
    </w:rPr>
  </w:style>
  <w:style w:type="paragraph" w:customStyle="1" w:styleId="276">
    <w:name w:val="样式 宋体 四号 行距: 固定值 25 磅1"/>
    <w:basedOn w:val="1"/>
    <w:autoRedefine/>
    <w:qFormat/>
    <w:uiPriority w:val="0"/>
    <w:pPr>
      <w:tabs>
        <w:tab w:val="left" w:pos="420"/>
      </w:tabs>
      <w:spacing w:line="500" w:lineRule="exact"/>
      <w:ind w:left="420" w:hanging="420"/>
    </w:pPr>
    <w:rPr>
      <w:rFonts w:ascii="宋体" w:hAnsi="宋体" w:eastAsia="宋体"/>
      <w:sz w:val="28"/>
    </w:rPr>
  </w:style>
  <w:style w:type="paragraph" w:customStyle="1" w:styleId="277">
    <w:name w:val="文档正文"/>
    <w:basedOn w:val="1"/>
    <w:autoRedefine/>
    <w:qFormat/>
    <w:uiPriority w:val="0"/>
    <w:pPr>
      <w:adjustRightInd w:val="0"/>
      <w:spacing w:line="440" w:lineRule="atLeast"/>
      <w:ind w:firstLine="567"/>
      <w:textAlignment w:val="baseline"/>
    </w:pPr>
    <w:rPr>
      <w:rFonts w:ascii="宋体" w:eastAsia="宋体"/>
      <w:spacing w:val="4"/>
      <w:kern w:val="0"/>
      <w:sz w:val="24"/>
    </w:rPr>
  </w:style>
  <w:style w:type="paragraph" w:customStyle="1" w:styleId="278">
    <w:name w:val="Char3 Char Char Char"/>
    <w:basedOn w:val="1"/>
    <w:autoRedefine/>
    <w:qFormat/>
    <w:uiPriority w:val="0"/>
    <w:pPr>
      <w:widowControl/>
      <w:spacing w:after="160" w:line="240" w:lineRule="exact"/>
      <w:jc w:val="left"/>
    </w:pPr>
    <w:rPr>
      <w:rFonts w:ascii="Verdana" w:hAnsi="Verdana" w:eastAsia="宋体"/>
      <w:kern w:val="0"/>
      <w:sz w:val="20"/>
      <w:lang w:eastAsia="en-US"/>
    </w:rPr>
  </w:style>
  <w:style w:type="paragraph" w:customStyle="1" w:styleId="279">
    <w:name w:val="xl68"/>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81">
    <w:name w:val="xl160"/>
    <w:basedOn w:val="1"/>
    <w:autoRedefine/>
    <w:qFormat/>
    <w:uiPriority w:val="0"/>
    <w:pPr>
      <w:widowControl/>
      <w:pBdr>
        <w:top w:val="single" w:color="auto" w:sz="4" w:space="0"/>
        <w:bottom w:val="double" w:color="auto" w:sz="6" w:space="0"/>
      </w:pBdr>
      <w:spacing w:before="100" w:beforeAutospacing="1" w:after="100" w:afterAutospacing="1"/>
      <w:jc w:val="left"/>
    </w:pPr>
    <w:rPr>
      <w:rFonts w:ascii="宋体" w:hAnsi="宋体" w:eastAsia="宋体" w:cs="宋体"/>
      <w:color w:val="FF0000"/>
      <w:kern w:val="0"/>
      <w:sz w:val="20"/>
    </w:rPr>
  </w:style>
  <w:style w:type="paragraph" w:customStyle="1" w:styleId="282">
    <w:name w:val="xl148"/>
    <w:basedOn w:val="1"/>
    <w:autoRedefine/>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3">
    <w:name w:val="xl6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4">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85">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286">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88">
    <w:name w:val="xl136"/>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89">
    <w:name w:val="xl138"/>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0">
    <w:name w:val="xl6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291">
    <w:name w:val="xl1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24"/>
      <w:szCs w:val="24"/>
    </w:rPr>
  </w:style>
  <w:style w:type="paragraph" w:customStyle="1" w:styleId="293">
    <w:name w:val="小四 段落 宋体 Char Char"/>
    <w:basedOn w:val="14"/>
    <w:autoRedefine/>
    <w:qFormat/>
    <w:uiPriority w:val="0"/>
    <w:pPr>
      <w:spacing w:line="360" w:lineRule="auto"/>
      <w:ind w:left="0" w:right="-33" w:firstLine="480" w:firstLineChars="200"/>
      <w:jc w:val="left"/>
    </w:pPr>
    <w:rPr>
      <w:sz w:val="24"/>
    </w:rPr>
  </w:style>
  <w:style w:type="paragraph" w:customStyle="1" w:styleId="29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95">
    <w:name w:val="xl83"/>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296">
    <w:name w:val="font7"/>
    <w:basedOn w:val="1"/>
    <w:autoRedefine/>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97">
    <w:name w:val="样式 标题 2 + 图案: 清除 (自定义颜色(RGB(202189233)))"/>
    <w:basedOn w:val="4"/>
    <w:autoRedefine/>
    <w:qFormat/>
    <w:uiPriority w:val="0"/>
    <w:pPr>
      <w:shd w:val="clear" w:color="auto" w:fill="CABDE9"/>
      <w:tabs>
        <w:tab w:val="left" w:pos="840"/>
      </w:tabs>
      <w:overflowPunct/>
      <w:adjustRightInd/>
      <w:spacing w:before="100" w:beforeAutospacing="1" w:after="100" w:afterAutospacing="1" w:line="320" w:lineRule="exact"/>
      <w:ind w:left="1400" w:hanging="420"/>
      <w:jc w:val="both"/>
      <w:textAlignment w:val="auto"/>
    </w:pPr>
    <w:rPr>
      <w:rFonts w:ascii="Arial" w:hAnsi="Arial" w:eastAsia="黑体" w:cs="宋体"/>
      <w:bCs/>
      <w:sz w:val="28"/>
      <w:szCs w:val="28"/>
    </w:rPr>
  </w:style>
  <w:style w:type="paragraph" w:customStyle="1" w:styleId="298">
    <w:name w:val="xl14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0"/>
    </w:rPr>
  </w:style>
  <w:style w:type="paragraph" w:customStyle="1" w:styleId="299">
    <w:name w:val="xl54"/>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300">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301">
    <w:name w:val="xl129"/>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302">
    <w:name w:val="样式 正文首行缩进2字 + 仿宋_GB2312 段前: 自动 段后: 自动"/>
    <w:basedOn w:val="1"/>
    <w:autoRedefine/>
    <w:qFormat/>
    <w:uiPriority w:val="0"/>
    <w:pPr>
      <w:spacing w:before="100" w:beforeAutospacing="1" w:after="100" w:afterAutospacing="1"/>
      <w:ind w:firstLine="200" w:firstLineChars="200"/>
    </w:pPr>
    <w:rPr>
      <w:rFonts w:ascii="仿宋_GB2312" w:eastAsia="仿宋_GB2312"/>
      <w:kern w:val="0"/>
      <w:sz w:val="28"/>
    </w:rPr>
  </w:style>
  <w:style w:type="paragraph" w:customStyle="1" w:styleId="303">
    <w:name w:val="xl5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04">
    <w:name w:val="xl134"/>
    <w:basedOn w:val="1"/>
    <w:autoRedefine/>
    <w:qFormat/>
    <w:uiPriority w:val="0"/>
    <w:pPr>
      <w:widowControl/>
      <w:pBdr>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05">
    <w:name w:val="xl11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306">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307">
    <w:name w:val="xl12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08">
    <w:name w:val="默认段落字体 Para Char Char Char"/>
    <w:basedOn w:val="1"/>
    <w:autoRedefine/>
    <w:qFormat/>
    <w:uiPriority w:val="0"/>
    <w:pPr>
      <w:spacing w:line="360" w:lineRule="auto"/>
      <w:ind w:firstLine="200" w:firstLineChars="200"/>
    </w:pPr>
    <w:rPr>
      <w:rFonts w:eastAsia="宋体"/>
      <w:sz w:val="24"/>
      <w:szCs w:val="24"/>
    </w:rPr>
  </w:style>
  <w:style w:type="character" w:customStyle="1" w:styleId="309">
    <w:name w:val="bigfont1"/>
    <w:autoRedefine/>
    <w:qFormat/>
    <w:uiPriority w:val="0"/>
    <w:rPr>
      <w:rFonts w:hint="default"/>
      <w:color w:val="000000"/>
      <w:sz w:val="24"/>
      <w:szCs w:val="24"/>
      <w:u w:val="none"/>
    </w:rPr>
  </w:style>
  <w:style w:type="character" w:customStyle="1" w:styleId="310">
    <w:name w:val="页眉 Char Char"/>
    <w:autoRedefine/>
    <w:qFormat/>
    <w:uiPriority w:val="0"/>
    <w:rPr>
      <w:kern w:val="2"/>
      <w:sz w:val="18"/>
    </w:rPr>
  </w:style>
  <w:style w:type="character" w:customStyle="1" w:styleId="311">
    <w:name w:val="font21"/>
    <w:autoRedefine/>
    <w:qFormat/>
    <w:uiPriority w:val="0"/>
    <w:rPr>
      <w:rFonts w:hint="eastAsia" w:ascii="微软雅黑" w:hAnsi="微软雅黑" w:eastAsia="微软雅黑" w:cs="微软雅黑"/>
      <w:color w:val="000000"/>
      <w:sz w:val="20"/>
      <w:szCs w:val="20"/>
      <w:u w:val="none"/>
    </w:rPr>
  </w:style>
  <w:style w:type="character" w:customStyle="1" w:styleId="312">
    <w:name w:val="不明显强调1"/>
    <w:autoRedefine/>
    <w:qFormat/>
    <w:uiPriority w:val="19"/>
    <w:rPr>
      <w:rFonts w:ascii="Times New Roman" w:hAnsi="Times New Roman" w:eastAsia="宋体" w:cs="Times New Roman"/>
      <w:i/>
      <w:iCs/>
      <w:color w:val="7F7F7F"/>
    </w:rPr>
  </w:style>
  <w:style w:type="character" w:customStyle="1" w:styleId="313">
    <w:name w:val="明显强调1"/>
    <w:autoRedefine/>
    <w:qFormat/>
    <w:uiPriority w:val="0"/>
    <w:rPr>
      <w:b/>
      <w:bCs/>
      <w:i/>
      <w:iCs/>
      <w:color w:val="4F81BD"/>
    </w:rPr>
  </w:style>
  <w:style w:type="character" w:customStyle="1" w:styleId="314">
    <w:name w:val="标题 4 Char Char"/>
    <w:autoRedefine/>
    <w:qFormat/>
    <w:uiPriority w:val="0"/>
    <w:rPr>
      <w:rFonts w:ascii="Arial" w:hAnsi="Arial" w:eastAsia="黑体"/>
      <w:b/>
      <w:bCs/>
      <w:kern w:val="2"/>
      <w:sz w:val="28"/>
      <w:szCs w:val="28"/>
    </w:rPr>
  </w:style>
  <w:style w:type="character" w:customStyle="1" w:styleId="315">
    <w:name w:val="书籍标题1"/>
    <w:autoRedefine/>
    <w:qFormat/>
    <w:uiPriority w:val="0"/>
    <w:rPr>
      <w:b/>
      <w:bCs/>
      <w:smallCaps/>
      <w:spacing w:val="5"/>
    </w:rPr>
  </w:style>
  <w:style w:type="character" w:customStyle="1" w:styleId="316">
    <w:name w:val="页脚 Char Char"/>
    <w:autoRedefine/>
    <w:qFormat/>
    <w:uiPriority w:val="0"/>
    <w:rPr>
      <w:kern w:val="2"/>
      <w:sz w:val="18"/>
    </w:rPr>
  </w:style>
  <w:style w:type="character" w:customStyle="1" w:styleId="317">
    <w:name w:val="样式 Char Char"/>
    <w:link w:val="318"/>
    <w:autoRedefine/>
    <w:qFormat/>
    <w:uiPriority w:val="0"/>
    <w:rPr>
      <w:rFonts w:ascii="宋体" w:hAnsi="宋体" w:cs="宋体"/>
      <w:sz w:val="24"/>
      <w:szCs w:val="24"/>
      <w:lang w:val="en-US" w:eastAsia="zh-CN" w:bidi="ar-SA"/>
    </w:rPr>
  </w:style>
  <w:style w:type="paragraph" w:customStyle="1" w:styleId="318">
    <w:name w:val="样式"/>
    <w:link w:val="317"/>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19">
    <w:name w:val="标题 Char1"/>
    <w:autoRedefine/>
    <w:qFormat/>
    <w:uiPriority w:val="10"/>
    <w:rPr>
      <w:rFonts w:ascii="Cambria" w:hAnsi="Cambria" w:eastAsia="宋体" w:cs="Times New Roman"/>
      <w:b/>
      <w:bCs/>
      <w:sz w:val="32"/>
      <w:szCs w:val="32"/>
    </w:rPr>
  </w:style>
  <w:style w:type="character" w:customStyle="1" w:styleId="320">
    <w:name w:val="font161"/>
    <w:autoRedefine/>
    <w:qFormat/>
    <w:uiPriority w:val="0"/>
    <w:rPr>
      <w:b/>
      <w:bCs/>
      <w:sz w:val="32"/>
      <w:szCs w:val="32"/>
    </w:rPr>
  </w:style>
  <w:style w:type="character" w:customStyle="1" w:styleId="321">
    <w:name w:val="标题 3 Char Char"/>
    <w:autoRedefine/>
    <w:qFormat/>
    <w:uiPriority w:val="0"/>
    <w:rPr>
      <w:rFonts w:ascii="黑体" w:hAnsi="宋体" w:eastAsia="黑体"/>
      <w:bCs/>
      <w:kern w:val="2"/>
      <w:sz w:val="28"/>
      <w:szCs w:val="28"/>
    </w:rPr>
  </w:style>
  <w:style w:type="character" w:customStyle="1" w:styleId="322">
    <w:name w:val="不明显参考1"/>
    <w:autoRedefine/>
    <w:qFormat/>
    <w:uiPriority w:val="0"/>
    <w:rPr>
      <w:smallCaps/>
      <w:color w:val="C0504D"/>
      <w:u w:val="single"/>
    </w:rPr>
  </w:style>
  <w:style w:type="character" w:customStyle="1" w:styleId="323">
    <w:name w:val="副标题 Char"/>
    <w:autoRedefine/>
    <w:qFormat/>
    <w:uiPriority w:val="0"/>
    <w:rPr>
      <w:rFonts w:ascii="Cambria" w:hAnsi="Cambria"/>
      <w:b/>
      <w:bCs/>
      <w:kern w:val="28"/>
      <w:sz w:val="32"/>
      <w:szCs w:val="32"/>
    </w:rPr>
  </w:style>
  <w:style w:type="character" w:customStyle="1" w:styleId="324">
    <w:name w:val="Char Char7"/>
    <w:autoRedefine/>
    <w:qFormat/>
    <w:uiPriority w:val="0"/>
    <w:rPr>
      <w:rFonts w:ascii="Arial" w:hAnsi="Arial" w:eastAsia="黑体"/>
      <w:b/>
      <w:bCs/>
      <w:kern w:val="2"/>
      <w:sz w:val="32"/>
      <w:szCs w:val="32"/>
      <w:lang w:val="en-US" w:eastAsia="zh-CN" w:bidi="ar-SA"/>
    </w:rPr>
  </w:style>
  <w:style w:type="character" w:customStyle="1" w:styleId="325">
    <w:name w:val="无间隔 Char"/>
    <w:link w:val="326"/>
    <w:autoRedefine/>
    <w:qFormat/>
    <w:uiPriority w:val="0"/>
    <w:rPr>
      <w:szCs w:val="24"/>
      <w:lang w:val="en-US" w:eastAsia="zh-CN" w:bidi="ar-SA"/>
    </w:rPr>
  </w:style>
  <w:style w:type="paragraph" w:styleId="326">
    <w:name w:val="No Spacing"/>
    <w:link w:val="325"/>
    <w:autoRedefine/>
    <w:qFormat/>
    <w:uiPriority w:val="0"/>
    <w:pPr>
      <w:widowControl w:val="0"/>
      <w:jc w:val="both"/>
    </w:pPr>
    <w:rPr>
      <w:rFonts w:ascii="Calibri" w:hAnsi="Calibri" w:eastAsia="宋体" w:cs="Times New Roman"/>
      <w:szCs w:val="24"/>
      <w:lang w:val="en-US" w:eastAsia="zh-CN" w:bidi="ar-SA"/>
    </w:rPr>
  </w:style>
  <w:style w:type="character" w:customStyle="1" w:styleId="327">
    <w:name w:val="明显引用 Char1"/>
    <w:autoRedefine/>
    <w:qFormat/>
    <w:uiPriority w:val="30"/>
    <w:rPr>
      <w:rFonts w:ascii="Times New Roman" w:hAnsi="Times New Roman" w:eastAsia="宋体" w:cs="Times New Roman"/>
      <w:b/>
      <w:bCs/>
      <w:i/>
      <w:iCs/>
      <w:color w:val="4F81BD"/>
      <w:szCs w:val="24"/>
    </w:rPr>
  </w:style>
  <w:style w:type="character" w:customStyle="1" w:styleId="328">
    <w:name w:val="Char Char21"/>
    <w:autoRedefine/>
    <w:qFormat/>
    <w:uiPriority w:val="0"/>
    <w:rPr>
      <w:rFonts w:eastAsia="宋体"/>
      <w:kern w:val="2"/>
      <w:sz w:val="21"/>
      <w:szCs w:val="24"/>
      <w:lang w:val="en-US" w:eastAsia="zh-CN" w:bidi="ar-SA"/>
    </w:rPr>
  </w:style>
  <w:style w:type="character" w:customStyle="1" w:styleId="329">
    <w:name w:val="明显引用 Char"/>
    <w:autoRedefine/>
    <w:qFormat/>
    <w:uiPriority w:val="0"/>
    <w:rPr>
      <w:b/>
      <w:bCs/>
      <w:i/>
      <w:iCs/>
      <w:color w:val="4F81BD"/>
      <w:szCs w:val="24"/>
    </w:rPr>
  </w:style>
  <w:style w:type="paragraph" w:styleId="330">
    <w:name w:val="Intense Quote"/>
    <w:basedOn w:val="1"/>
    <w:next w:val="1"/>
    <w:link w:val="346"/>
    <w:autoRedefine/>
    <w:qFormat/>
    <w:uiPriority w:val="0"/>
    <w:pPr>
      <w:pBdr>
        <w:bottom w:val="single" w:color="4F81BD" w:sz="4" w:space="4"/>
      </w:pBdr>
      <w:spacing w:before="200" w:after="280"/>
      <w:ind w:left="936" w:right="936"/>
    </w:pPr>
    <w:rPr>
      <w:rFonts w:eastAsia="宋体"/>
      <w:b/>
      <w:bCs/>
      <w:i/>
      <w:iCs/>
      <w:color w:val="4F81BD"/>
      <w:kern w:val="0"/>
      <w:sz w:val="20"/>
      <w:szCs w:val="24"/>
    </w:rPr>
  </w:style>
  <w:style w:type="character" w:customStyle="1" w:styleId="331">
    <w:name w:val="Char Char8"/>
    <w:autoRedefine/>
    <w:qFormat/>
    <w:uiPriority w:val="0"/>
    <w:rPr>
      <w:rFonts w:ascii="Arial" w:hAnsi="Arial" w:eastAsia="黑体"/>
      <w:b/>
      <w:bCs/>
      <w:kern w:val="2"/>
      <w:sz w:val="32"/>
      <w:szCs w:val="32"/>
      <w:lang w:val="en-US" w:eastAsia="zh-CN" w:bidi="ar-SA"/>
    </w:rPr>
  </w:style>
  <w:style w:type="character" w:customStyle="1" w:styleId="332">
    <w:name w:val="批注文字 Char Char"/>
    <w:autoRedefine/>
    <w:qFormat/>
    <w:uiPriority w:val="0"/>
    <w:rPr>
      <w:rFonts w:eastAsia="宋体"/>
      <w:kern w:val="2"/>
      <w:sz w:val="21"/>
      <w:szCs w:val="24"/>
      <w:lang w:val="en-US" w:eastAsia="zh-CN" w:bidi="ar-SA"/>
    </w:rPr>
  </w:style>
  <w:style w:type="character" w:customStyle="1" w:styleId="333">
    <w:name w:val="明显参考1"/>
    <w:autoRedefine/>
    <w:qFormat/>
    <w:uiPriority w:val="0"/>
    <w:rPr>
      <w:b/>
      <w:bCs/>
      <w:smallCaps/>
      <w:color w:val="C0504D"/>
      <w:spacing w:val="5"/>
      <w:u w:val="single"/>
    </w:rPr>
  </w:style>
  <w:style w:type="character" w:customStyle="1" w:styleId="334">
    <w:name w:val="font31"/>
    <w:autoRedefine/>
    <w:qFormat/>
    <w:uiPriority w:val="0"/>
    <w:rPr>
      <w:rFonts w:hint="eastAsia" w:ascii="宋体" w:hAnsi="宋体" w:eastAsia="宋体" w:cs="宋体"/>
      <w:color w:val="000000"/>
      <w:sz w:val="20"/>
      <w:szCs w:val="20"/>
      <w:u w:val="none"/>
    </w:rPr>
  </w:style>
  <w:style w:type="character" w:customStyle="1" w:styleId="335">
    <w:name w:val="引用 Char"/>
    <w:autoRedefine/>
    <w:qFormat/>
    <w:uiPriority w:val="0"/>
    <w:rPr>
      <w:i/>
      <w:iCs/>
      <w:color w:val="000000"/>
      <w:szCs w:val="24"/>
    </w:rPr>
  </w:style>
  <w:style w:type="paragraph" w:styleId="336">
    <w:name w:val="Quote"/>
    <w:basedOn w:val="1"/>
    <w:next w:val="1"/>
    <w:link w:val="347"/>
    <w:autoRedefine/>
    <w:qFormat/>
    <w:uiPriority w:val="0"/>
    <w:rPr>
      <w:rFonts w:eastAsia="宋体"/>
      <w:i/>
      <w:iCs/>
      <w:color w:val="000000"/>
      <w:kern w:val="0"/>
      <w:sz w:val="20"/>
      <w:szCs w:val="24"/>
    </w:rPr>
  </w:style>
  <w:style w:type="character" w:customStyle="1" w:styleId="337">
    <w:name w:val="正文文本 3 Char"/>
    <w:autoRedefine/>
    <w:qFormat/>
    <w:uiPriority w:val="0"/>
    <w:rPr>
      <w:rFonts w:ascii="宋体"/>
      <w:sz w:val="24"/>
    </w:rPr>
  </w:style>
  <w:style w:type="character" w:customStyle="1" w:styleId="338">
    <w:name w:val="副标题 Char1"/>
    <w:autoRedefine/>
    <w:qFormat/>
    <w:uiPriority w:val="11"/>
    <w:rPr>
      <w:rFonts w:ascii="Cambria" w:hAnsi="Cambria" w:eastAsia="宋体" w:cs="Times New Roman"/>
      <w:b/>
      <w:bCs/>
      <w:kern w:val="28"/>
      <w:sz w:val="32"/>
      <w:szCs w:val="32"/>
    </w:rPr>
  </w:style>
  <w:style w:type="character" w:customStyle="1" w:styleId="339">
    <w:name w:val="引用 Char1"/>
    <w:autoRedefine/>
    <w:qFormat/>
    <w:uiPriority w:val="29"/>
    <w:rPr>
      <w:rFonts w:ascii="Times New Roman" w:hAnsi="Times New Roman" w:eastAsia="宋体" w:cs="Times New Roman"/>
      <w:i/>
      <w:iCs/>
      <w:color w:val="000000"/>
      <w:szCs w:val="24"/>
    </w:rPr>
  </w:style>
  <w:style w:type="character" w:customStyle="1" w:styleId="340">
    <w:name w:val="不明显强调2"/>
    <w:autoRedefine/>
    <w:qFormat/>
    <w:uiPriority w:val="19"/>
    <w:rPr>
      <w:i/>
      <w:iCs/>
      <w:color w:val="808080"/>
    </w:rPr>
  </w:style>
  <w:style w:type="paragraph" w:customStyle="1" w:styleId="341">
    <w:name w:val="注"/>
    <w:basedOn w:val="1"/>
    <w:autoRedefine/>
    <w:qFormat/>
    <w:uiPriority w:val="0"/>
    <w:pPr>
      <w:adjustRightInd w:val="0"/>
      <w:spacing w:line="360" w:lineRule="atLeast"/>
      <w:ind w:left="840" w:hanging="420"/>
      <w:textAlignment w:val="baseline"/>
    </w:pPr>
    <w:rPr>
      <w:rFonts w:ascii="Times New Roman" w:hAnsi="Times New Roman" w:eastAsia="宋体"/>
      <w:kern w:val="0"/>
      <w:sz w:val="21"/>
    </w:rPr>
  </w:style>
  <w:style w:type="character" w:customStyle="1" w:styleId="342">
    <w:name w:val="副标题 Char2"/>
    <w:link w:val="40"/>
    <w:autoRedefine/>
    <w:qFormat/>
    <w:uiPriority w:val="11"/>
    <w:rPr>
      <w:rFonts w:ascii="Cambria" w:hAnsi="Cambria" w:eastAsia="宋体" w:cs="Times New Roman"/>
      <w:b/>
      <w:bCs/>
      <w:kern w:val="28"/>
      <w:sz w:val="32"/>
      <w:szCs w:val="32"/>
    </w:rPr>
  </w:style>
  <w:style w:type="character" w:customStyle="1" w:styleId="343">
    <w:name w:val="正文文本 3 Char1"/>
    <w:link w:val="20"/>
    <w:autoRedefine/>
    <w:semiHidden/>
    <w:qFormat/>
    <w:uiPriority w:val="99"/>
    <w:rPr>
      <w:rFonts w:ascii="Times New Roman" w:hAnsi="Times New Roman" w:eastAsia="楷体_GB2312" w:cs="Times New Roman"/>
      <w:kern w:val="2"/>
      <w:sz w:val="16"/>
      <w:szCs w:val="16"/>
    </w:rPr>
  </w:style>
  <w:style w:type="paragraph" w:customStyle="1" w:styleId="344">
    <w:name w:val="样式 标题 2 + 黑色 行距: 1.5 倍行距"/>
    <w:basedOn w:val="4"/>
    <w:autoRedefine/>
    <w:qFormat/>
    <w:uiPriority w:val="0"/>
    <w:pPr>
      <w:overflowPunct/>
      <w:adjustRightInd/>
      <w:spacing w:before="260" w:after="260" w:line="360" w:lineRule="auto"/>
      <w:jc w:val="both"/>
      <w:textAlignment w:val="auto"/>
    </w:pPr>
    <w:rPr>
      <w:rFonts w:ascii="Arial" w:hAnsi="Arial" w:eastAsia="宋体" w:cs="宋体"/>
      <w:bCs/>
      <w:color w:val="000000"/>
      <w:sz w:val="32"/>
    </w:rPr>
  </w:style>
  <w:style w:type="paragraph" w:customStyle="1" w:styleId="345">
    <w:name w:val="纯文本21"/>
    <w:basedOn w:val="1"/>
    <w:autoRedefine/>
    <w:qFormat/>
    <w:uiPriority w:val="0"/>
    <w:pPr>
      <w:adjustRightInd w:val="0"/>
    </w:pPr>
    <w:rPr>
      <w:rFonts w:ascii="宋体" w:hAnsi="Courier New"/>
      <w:szCs w:val="24"/>
    </w:rPr>
  </w:style>
  <w:style w:type="character" w:customStyle="1" w:styleId="346">
    <w:name w:val="明显引用 Char2"/>
    <w:link w:val="330"/>
    <w:autoRedefine/>
    <w:qFormat/>
    <w:uiPriority w:val="30"/>
    <w:rPr>
      <w:rFonts w:ascii="Times New Roman" w:hAnsi="Times New Roman" w:eastAsia="楷体_GB2312" w:cs="Times New Roman"/>
      <w:b/>
      <w:bCs/>
      <w:i/>
      <w:iCs/>
      <w:color w:val="4F81BD"/>
      <w:kern w:val="2"/>
      <w:sz w:val="26"/>
    </w:rPr>
  </w:style>
  <w:style w:type="character" w:customStyle="1" w:styleId="347">
    <w:name w:val="引用 Char2"/>
    <w:link w:val="336"/>
    <w:autoRedefine/>
    <w:qFormat/>
    <w:uiPriority w:val="29"/>
    <w:rPr>
      <w:rFonts w:ascii="Times New Roman" w:hAnsi="Times New Roman" w:eastAsia="楷体_GB2312" w:cs="Times New Roman"/>
      <w:i/>
      <w:iCs/>
      <w:color w:val="000000"/>
      <w:kern w:val="2"/>
      <w:sz w:val="26"/>
    </w:rPr>
  </w:style>
  <w:style w:type="paragraph" w:customStyle="1" w:styleId="3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9">
    <w:name w:val="标题 Char2"/>
    <w:autoRedefine/>
    <w:qFormat/>
    <w:uiPriority w:val="10"/>
    <w:rPr>
      <w:rFonts w:ascii="Cambria" w:hAnsi="Cambria" w:eastAsia="宋体" w:cs="Times New Roman"/>
      <w:b/>
      <w:bCs/>
      <w:sz w:val="32"/>
      <w:szCs w:val="32"/>
    </w:rPr>
  </w:style>
  <w:style w:type="paragraph" w:customStyle="1" w:styleId="350">
    <w:name w:val="默认段落字体 Para Char Char Char Char Char Char Char Char Char1 Char Char Char Char Char Char Char"/>
    <w:basedOn w:val="201"/>
    <w:autoRedefine/>
    <w:qFormat/>
    <w:uiPriority w:val="0"/>
    <w:pPr>
      <w:widowControl/>
      <w:spacing w:line="270" w:lineRule="exact"/>
      <w:ind w:firstLine="0" w:firstLineChars="0"/>
      <w:jc w:val="center"/>
    </w:pPr>
  </w:style>
  <w:style w:type="paragraph" w:customStyle="1" w:styleId="351">
    <w:name w:val="正文文字3"/>
    <w:basedOn w:val="1"/>
    <w:autoRedefine/>
    <w:qFormat/>
    <w:uiPriority w:val="0"/>
    <w:pPr>
      <w:adjustRightInd w:val="0"/>
      <w:spacing w:line="360" w:lineRule="atLeast"/>
      <w:ind w:left="72" w:leftChars="30" w:right="72" w:rightChars="30"/>
      <w:textAlignment w:val="baseline"/>
    </w:pPr>
    <w:rPr>
      <w:rFonts w:eastAsia="宋体"/>
      <w:kern w:val="0"/>
      <w:sz w:val="21"/>
      <w:szCs w:val="24"/>
    </w:rPr>
  </w:style>
  <w:style w:type="character" w:customStyle="1" w:styleId="352">
    <w:name w:val="layui-this"/>
    <w:basedOn w:val="59"/>
    <w:autoRedefine/>
    <w:qFormat/>
    <w:uiPriority w:val="0"/>
    <w:rPr>
      <w:bdr w:val="single" w:color="EEEEEE" w:sz="4" w:space="0"/>
      <w:shd w:val="clear" w:color="auto" w:fill="FFFFFF"/>
    </w:rPr>
  </w:style>
  <w:style w:type="character" w:customStyle="1" w:styleId="353">
    <w:name w:val="first-child"/>
    <w:basedOn w:val="59"/>
    <w:autoRedefine/>
    <w:qFormat/>
    <w:uiPriority w:val="0"/>
  </w:style>
  <w:style w:type="character" w:customStyle="1" w:styleId="354">
    <w:name w:val="hover2"/>
    <w:basedOn w:val="59"/>
    <w:autoRedefine/>
    <w:qFormat/>
    <w:uiPriority w:val="0"/>
    <w:rPr>
      <w:color w:val="5FB878"/>
    </w:rPr>
  </w:style>
  <w:style w:type="character" w:customStyle="1" w:styleId="355">
    <w:name w:val="hover3"/>
    <w:basedOn w:val="59"/>
    <w:autoRedefine/>
    <w:qFormat/>
    <w:uiPriority w:val="0"/>
    <w:rPr>
      <w:color w:val="5FB878"/>
    </w:rPr>
  </w:style>
  <w:style w:type="character" w:customStyle="1" w:styleId="356">
    <w:name w:val="hover4"/>
    <w:basedOn w:val="59"/>
    <w:autoRedefine/>
    <w:qFormat/>
    <w:uiPriority w:val="0"/>
    <w:rPr>
      <w:color w:val="FFFFFF"/>
    </w:rPr>
  </w:style>
  <w:style w:type="paragraph" w:customStyle="1" w:styleId="357">
    <w:name w:val="标题 11"/>
    <w:basedOn w:val="1"/>
    <w:autoRedefine/>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358">
    <w:name w:val="hover"/>
    <w:basedOn w:val="59"/>
    <w:autoRedefine/>
    <w:qFormat/>
    <w:uiPriority w:val="0"/>
    <w:rPr>
      <w:color w:val="5FB878"/>
    </w:rPr>
  </w:style>
  <w:style w:type="character" w:customStyle="1" w:styleId="359">
    <w:name w:val="hover1"/>
    <w:basedOn w:val="59"/>
    <w:autoRedefine/>
    <w:qFormat/>
    <w:uiPriority w:val="0"/>
    <w:rPr>
      <w:color w:val="5FB878"/>
    </w:rPr>
  </w:style>
  <w:style w:type="character" w:customStyle="1" w:styleId="360">
    <w:name w:val="layui-this2"/>
    <w:basedOn w:val="59"/>
    <w:autoRedefine/>
    <w:qFormat/>
    <w:uiPriority w:val="0"/>
    <w:rPr>
      <w:bdr w:val="single" w:color="EEEEEE" w:sz="6" w:space="0"/>
      <w:shd w:val="clear" w:color="auto" w:fill="FFFFFF"/>
    </w:rPr>
  </w:style>
  <w:style w:type="paragraph" w:customStyle="1" w:styleId="361">
    <w:name w:val="2"/>
    <w:basedOn w:val="1"/>
    <w:autoRedefine/>
    <w:qFormat/>
    <w:uiPriority w:val="0"/>
    <w:pPr>
      <w:adjustRightInd w:val="0"/>
      <w:spacing w:beforeLines="50" w:afterLines="50"/>
      <w:ind w:firstLine="560" w:firstLineChars="200"/>
    </w:pPr>
    <w:rPr>
      <w:rFonts w:eastAsia="仿宋"/>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zls\Desktop\2019&#22312;&#32447;&#27700;&#36136;&#20202;&#22120;&#36816;&#32500;&#39033;&#30446;\&#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0EA4E-FD6D-4F3E-9985-4B8D2B01FA05}">
  <ds:schemaRefs/>
</ds:datastoreItem>
</file>

<file path=docProps/app.xml><?xml version="1.0" encoding="utf-8"?>
<Properties xmlns="http://schemas.openxmlformats.org/officeDocument/2006/extended-properties" xmlns:vt="http://schemas.openxmlformats.org/officeDocument/2006/docPropsVTypes">
  <Template>招标文件2002年修改本</Template>
  <Company>南京国衡南通分公司</Company>
  <Pages>28</Pages>
  <Words>2672</Words>
  <Characters>15231</Characters>
  <Lines>126</Lines>
  <Paragraphs>35</Paragraphs>
  <TotalTime>128</TotalTime>
  <ScaleCrop>false</ScaleCrop>
  <LinksUpToDate>false</LinksUpToDate>
  <CharactersWithSpaces>17868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2021-08-05T08:25:00Z</dcterms:created>
  <dc:creator>国衡南通</dc:creator>
  <cp:lastModifiedBy>user01</cp:lastModifiedBy>
  <cp:lastPrinted>2021-09-14T02:22:00Z</cp:lastPrinted>
  <dcterms:modified xsi:type="dcterms:W3CDTF">2024-03-13T06:45:13Z</dcterms:modified>
  <dc:title>崇川区政府采购</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6B51F503CA064B82A352F0C03E037C57_13</vt:lpwstr>
  </property>
</Properties>
</file>