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360" w:lineRule="auto"/>
        <w:jc w:val="center"/>
        <w:rPr>
          <w:rFonts w:hint="eastAsia" w:asciiTheme="minorEastAsia" w:hAnsiTheme="minorEastAsia" w:eastAsiaTheme="minorEastAsia" w:cstheme="minorEastAsia"/>
          <w:b/>
          <w:bCs/>
          <w:sz w:val="48"/>
          <w:szCs w:val="48"/>
          <w:lang w:eastAsia="zh-CN"/>
        </w:rPr>
      </w:pPr>
      <w:r>
        <w:rPr>
          <w:rFonts w:hint="eastAsia" w:asciiTheme="minorEastAsia" w:hAnsiTheme="minorEastAsia" w:cstheme="minorEastAsia"/>
          <w:b/>
          <w:bCs/>
          <w:sz w:val="48"/>
          <w:szCs w:val="48"/>
          <w:lang w:eastAsia="zh-CN"/>
        </w:rPr>
        <w:t>南通市保安服务有限公司金库消防维保项目</w:t>
      </w:r>
    </w:p>
    <w:p>
      <w:pPr>
        <w:spacing w:line="560" w:lineRule="exact"/>
        <w:jc w:val="center"/>
        <w:rPr>
          <w:rFonts w:asciiTheme="minorEastAsia" w:hAnsiTheme="minorEastAsia" w:cstheme="minorEastAsia"/>
          <w:b/>
          <w:bCs/>
          <w:sz w:val="44"/>
          <w:szCs w:val="44"/>
        </w:rPr>
      </w:pPr>
    </w:p>
    <w:p>
      <w:pPr>
        <w:spacing w:line="560" w:lineRule="exact"/>
        <w:jc w:val="center"/>
        <w:rPr>
          <w:rFonts w:asciiTheme="minorEastAsia" w:hAnsiTheme="minorEastAsia" w:cstheme="minorEastAsia"/>
          <w:b/>
          <w:bCs/>
          <w:sz w:val="44"/>
          <w:szCs w:val="44"/>
        </w:rPr>
      </w:pPr>
    </w:p>
    <w:p>
      <w:pPr>
        <w:spacing w:line="560" w:lineRule="exact"/>
        <w:jc w:val="center"/>
        <w:rPr>
          <w:rFonts w:asciiTheme="minorEastAsia" w:hAnsiTheme="minorEastAsia" w:cstheme="minorEastAsia"/>
          <w:b/>
          <w:bCs/>
          <w:sz w:val="44"/>
          <w:szCs w:val="44"/>
        </w:rPr>
      </w:pPr>
    </w:p>
    <w:p>
      <w:pPr>
        <w:spacing w:line="360" w:lineRule="auto"/>
        <w:jc w:val="center"/>
        <w:rPr>
          <w:rFonts w:asciiTheme="minorEastAsia" w:hAnsiTheme="minorEastAsia" w:cstheme="minorEastAsia"/>
          <w:b/>
          <w:bCs/>
          <w:sz w:val="96"/>
          <w:szCs w:val="96"/>
        </w:rPr>
      </w:pPr>
      <w:r>
        <w:rPr>
          <w:rFonts w:hint="eastAsia" w:asciiTheme="minorEastAsia" w:hAnsiTheme="minorEastAsia" w:cstheme="minorEastAsia"/>
          <w:b/>
          <w:bCs/>
          <w:sz w:val="96"/>
          <w:szCs w:val="96"/>
        </w:rPr>
        <w:t>比选文件</w:t>
      </w: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rPr>
          <w:rFonts w:asciiTheme="minorEastAsia" w:hAnsiTheme="minorEastAsia" w:cstheme="minorEastAsia"/>
          <w:sz w:val="44"/>
          <w:szCs w:val="44"/>
        </w:rPr>
      </w:pPr>
    </w:p>
    <w:p>
      <w:pPr>
        <w:spacing w:line="560" w:lineRule="exact"/>
        <w:rPr>
          <w:rFonts w:asciiTheme="minorEastAsia" w:hAnsiTheme="minorEastAsia" w:cstheme="minorEastAsia"/>
          <w:sz w:val="44"/>
          <w:szCs w:val="44"/>
        </w:rPr>
      </w:pP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rPr>
        <w:t>比选人：南通市保安服务有限公司</w:t>
      </w: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rPr>
        <w:t>代理机构：</w:t>
      </w:r>
      <w:r>
        <w:rPr>
          <w:rFonts w:hint="eastAsia" w:asciiTheme="minorEastAsia" w:hAnsiTheme="minorEastAsia" w:cstheme="minorEastAsia"/>
          <w:kern w:val="0"/>
          <w:sz w:val="30"/>
          <w:szCs w:val="30"/>
          <w:shd w:val="clear" w:color="auto" w:fill="FFFFFF"/>
        </w:rPr>
        <w:t>中诚智信工程咨询集团股份有限公司</w:t>
      </w: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rPr>
        <w:t>日期：202</w:t>
      </w:r>
      <w:r>
        <w:rPr>
          <w:rFonts w:asciiTheme="minorEastAsia" w:hAnsiTheme="minorEastAsia" w:cstheme="minorEastAsia"/>
          <w:sz w:val="30"/>
          <w:szCs w:val="30"/>
        </w:rPr>
        <w:t>3</w:t>
      </w:r>
      <w:r>
        <w:rPr>
          <w:rFonts w:hint="eastAsia" w:asciiTheme="minorEastAsia" w:hAnsiTheme="minorEastAsia" w:cstheme="minorEastAsia"/>
          <w:sz w:val="30"/>
          <w:szCs w:val="30"/>
        </w:rPr>
        <w:t>年</w:t>
      </w:r>
      <w:r>
        <w:rPr>
          <w:rFonts w:hint="eastAsia" w:asciiTheme="minorEastAsia" w:hAnsiTheme="minorEastAsia" w:cstheme="minorEastAsia"/>
          <w:sz w:val="30"/>
          <w:szCs w:val="30"/>
          <w:lang w:val="en-US" w:eastAsia="zh-CN"/>
        </w:rPr>
        <w:t>12</w:t>
      </w:r>
      <w:r>
        <w:rPr>
          <w:rFonts w:hint="eastAsia" w:asciiTheme="minorEastAsia" w:hAnsiTheme="minorEastAsia" w:cstheme="minorEastAsia"/>
          <w:sz w:val="30"/>
          <w:szCs w:val="30"/>
        </w:rPr>
        <w:t>月</w:t>
      </w:r>
      <w:r>
        <w:rPr>
          <w:rFonts w:hint="eastAsia" w:asciiTheme="minorEastAsia" w:hAnsiTheme="minorEastAsia" w:cstheme="minorEastAsia"/>
          <w:sz w:val="30"/>
          <w:szCs w:val="30"/>
          <w:lang w:val="en-US" w:eastAsia="zh-CN"/>
        </w:rPr>
        <w:t>15</w:t>
      </w:r>
      <w:r>
        <w:rPr>
          <w:rFonts w:hint="eastAsia" w:asciiTheme="minorEastAsia" w:hAnsiTheme="minorEastAsia" w:cstheme="minorEastAsia"/>
          <w:sz w:val="30"/>
          <w:szCs w:val="30"/>
        </w:rPr>
        <w:t>日</w:t>
      </w:r>
    </w:p>
    <w:p>
      <w:pPr>
        <w:spacing w:line="560" w:lineRule="exact"/>
        <w:rPr>
          <w:rFonts w:asciiTheme="minorEastAsia" w:hAnsiTheme="minorEastAsia" w:cstheme="minorEastAsia"/>
          <w:b/>
          <w:bCs/>
          <w:sz w:val="30"/>
          <w:szCs w:val="30"/>
        </w:rPr>
        <w:sectPr>
          <w:pgSz w:w="11906" w:h="16838"/>
          <w:pgMar w:top="1434" w:right="1797" w:bottom="1434" w:left="1797" w:header="851" w:footer="992" w:gutter="0"/>
          <w:pgNumType w:start="0"/>
          <w:cols w:space="425" w:num="1"/>
          <w:docGrid w:type="lines" w:linePitch="312" w:charSpace="0"/>
        </w:sectPr>
      </w:pPr>
    </w:p>
    <w:p>
      <w:pPr>
        <w:adjustRightInd w:val="0"/>
        <w:snapToGrid w:val="0"/>
        <w:spacing w:beforeLines="50" w:afterLines="50" w:line="360" w:lineRule="auto"/>
        <w:jc w:val="center"/>
        <w:rPr>
          <w:rFonts w:asciiTheme="minorEastAsia" w:hAnsiTheme="minorEastAsia" w:cstheme="minorEastAsia"/>
          <w:b/>
          <w:bCs/>
          <w:sz w:val="32"/>
          <w:szCs w:val="32"/>
        </w:rPr>
      </w:pPr>
      <w:bookmarkStart w:id="59" w:name="_GoBack"/>
      <w:r>
        <w:rPr>
          <w:rFonts w:hint="eastAsia" w:asciiTheme="minorEastAsia" w:hAnsiTheme="minorEastAsia" w:cstheme="minorEastAsia"/>
          <w:b/>
          <w:bCs/>
          <w:sz w:val="32"/>
          <w:szCs w:val="32"/>
        </w:rPr>
        <w:t>第一章  比选公告</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南通市保安服务有限公司（以下简称比选人）拟用公开比选方式对金库消防维保项目进行比选，现公告如下：</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一、项目名称</w:t>
      </w:r>
    </w:p>
    <w:p>
      <w:pPr>
        <w:adjustRightInd w:val="0"/>
        <w:snapToGrid w:val="0"/>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项目名称：</w:t>
      </w:r>
      <w:r>
        <w:rPr>
          <w:rFonts w:hint="eastAsia" w:asciiTheme="minorEastAsia" w:hAnsiTheme="minorEastAsia" w:cstheme="minorEastAsia"/>
          <w:sz w:val="24"/>
          <w:lang w:eastAsia="zh-CN"/>
        </w:rPr>
        <w:t>南通市保安服务有限公司金库消防维保项目</w:t>
      </w:r>
    </w:p>
    <w:p>
      <w:pPr>
        <w:adjustRightInd w:val="0"/>
        <w:snapToGrid w:val="0"/>
        <w:spacing w:line="360" w:lineRule="auto"/>
        <w:ind w:firstLine="482" w:firstLineChars="200"/>
        <w:rPr>
          <w:rFonts w:hint="eastAsia" w:asciiTheme="minorEastAsia" w:hAnsiTheme="minorEastAsia" w:cstheme="minorEastAsia"/>
          <w:b/>
          <w:bCs/>
          <w:sz w:val="24"/>
          <w:lang w:val="en-US" w:eastAsia="zh-CN"/>
        </w:rPr>
      </w:pPr>
      <w:r>
        <w:rPr>
          <w:rFonts w:hint="eastAsia" w:asciiTheme="minorEastAsia" w:hAnsiTheme="minorEastAsia" w:cstheme="minorEastAsia"/>
          <w:b/>
          <w:bCs/>
          <w:sz w:val="24"/>
        </w:rPr>
        <w:t>二、项目</w:t>
      </w:r>
      <w:r>
        <w:rPr>
          <w:rFonts w:hint="eastAsia" w:asciiTheme="minorEastAsia" w:hAnsiTheme="minorEastAsia" w:cstheme="minorEastAsia"/>
          <w:b/>
          <w:bCs/>
          <w:sz w:val="24"/>
          <w:lang w:val="en-US" w:eastAsia="zh-CN"/>
        </w:rPr>
        <w:t>预算：本项目采购预算为6.9万元/年，报价超过预算金额作无效报价处理。</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lang w:val="en-US" w:eastAsia="zh-CN"/>
        </w:rPr>
        <w:t>三</w:t>
      </w:r>
      <w:r>
        <w:rPr>
          <w:rFonts w:hint="eastAsia" w:asciiTheme="minorEastAsia" w:hAnsiTheme="minorEastAsia" w:cstheme="minorEastAsia"/>
          <w:kern w:val="2"/>
          <w:szCs w:val="24"/>
        </w:rPr>
        <w:t>、</w:t>
      </w:r>
      <w:r>
        <w:rPr>
          <w:rFonts w:hint="eastAsia" w:asciiTheme="minorEastAsia" w:hAnsiTheme="minorEastAsia" w:cstheme="minorEastAsia"/>
          <w:b/>
          <w:bCs/>
          <w:kern w:val="2"/>
          <w:szCs w:val="24"/>
          <w:lang w:val="en-US" w:eastAsia="zh-CN"/>
        </w:rPr>
        <w:t>合同期限：</w:t>
      </w:r>
      <w:r>
        <w:rPr>
          <w:rFonts w:hint="eastAsia" w:asciiTheme="minorEastAsia" w:hAnsiTheme="minorEastAsia" w:cstheme="minorEastAsia"/>
          <w:kern w:val="2"/>
          <w:szCs w:val="24"/>
          <w:lang w:val="en-US" w:eastAsia="zh-CN"/>
        </w:rPr>
        <w:t>一年（自2024年1月1日起至2024年12月31日止）。可续签二年，合同一年一续签，但需经比选人对其服务评价满意确认、同时满足相关法律法规的前提下，可续签服务合同。</w:t>
      </w:r>
    </w:p>
    <w:p>
      <w:pPr>
        <w:adjustRightInd w:val="0"/>
        <w:snapToGrid w:val="0"/>
        <w:spacing w:line="360" w:lineRule="auto"/>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highlight w:val="none"/>
          <w:lang w:val="en-US" w:eastAsia="zh-CN"/>
        </w:rPr>
        <w:t>四</w:t>
      </w:r>
      <w:r>
        <w:rPr>
          <w:rFonts w:hint="eastAsia" w:asciiTheme="minorEastAsia" w:hAnsiTheme="minorEastAsia" w:cstheme="minorEastAsia"/>
          <w:b/>
          <w:bCs/>
          <w:sz w:val="24"/>
          <w:highlight w:val="none"/>
        </w:rPr>
        <w:t>、参选人资格审核要求</w:t>
      </w:r>
    </w:p>
    <w:p>
      <w:pPr>
        <w:pStyle w:val="8"/>
        <w:adjustRightInd w:val="0"/>
        <w:snapToGrid w:val="0"/>
        <w:ind w:firstLine="480" w:firstLineChars="200"/>
        <w:rPr>
          <w:rFonts w:asciiTheme="minorEastAsia" w:hAnsiTheme="minorEastAsia" w:cstheme="minorEastAsia"/>
          <w:kern w:val="2"/>
          <w:szCs w:val="24"/>
          <w:highlight w:val="none"/>
        </w:rPr>
      </w:pPr>
      <w:r>
        <w:rPr>
          <w:rFonts w:hint="eastAsia" w:asciiTheme="minorEastAsia" w:hAnsiTheme="minorEastAsia" w:cstheme="minorEastAsia"/>
          <w:kern w:val="2"/>
          <w:szCs w:val="24"/>
          <w:highlight w:val="none"/>
        </w:rPr>
        <w:t>1、在中华人民共和国境内依法注册且具有独立的法人资格；</w:t>
      </w:r>
    </w:p>
    <w:p>
      <w:pPr>
        <w:pStyle w:val="8"/>
        <w:adjustRightInd w:val="0"/>
        <w:snapToGrid w:val="0"/>
        <w:ind w:firstLine="480" w:firstLineChars="200"/>
        <w:rPr>
          <w:rFonts w:hint="eastAsia" w:asciiTheme="minorEastAsia" w:hAnsiTheme="minorEastAsia" w:cstheme="minorEastAsia"/>
          <w:kern w:val="2"/>
          <w:szCs w:val="24"/>
          <w:highlight w:val="none"/>
        </w:rPr>
      </w:pPr>
      <w:r>
        <w:rPr>
          <w:rFonts w:hint="eastAsia" w:asciiTheme="minorEastAsia" w:hAnsiTheme="minorEastAsia" w:cstheme="minorEastAsia"/>
          <w:kern w:val="2"/>
          <w:szCs w:val="24"/>
          <w:highlight w:val="none"/>
        </w:rPr>
        <w:t>2、</w:t>
      </w:r>
      <w:r>
        <w:rPr>
          <w:rFonts w:hint="eastAsia" w:asciiTheme="minorEastAsia" w:hAnsiTheme="minorEastAsia" w:cstheme="minorEastAsia"/>
          <w:kern w:val="2"/>
          <w:szCs w:val="24"/>
          <w:highlight w:val="none"/>
          <w:lang w:val="en-US" w:eastAsia="zh-CN"/>
        </w:rPr>
        <w:t>参选</w:t>
      </w:r>
      <w:r>
        <w:rPr>
          <w:rFonts w:hint="eastAsia" w:asciiTheme="minorEastAsia" w:hAnsiTheme="minorEastAsia" w:cstheme="minorEastAsia"/>
          <w:kern w:val="2"/>
          <w:szCs w:val="24"/>
          <w:highlight w:val="none"/>
        </w:rPr>
        <w:t>人应符合应急管理部颁布的《消防技术服务机构从业条件》（应急〔2019〕88号)的要求，社会消防技术服务信息系统中服务类型包含“消防设施维护保养”，需提供“社会消防技术服务信息系统（https://shhxf.119.gov.cn/templet/index_7.jsp）-消防机构信息”栏目的本单位基本信息截图打印件（加盖投标人单位公章）并确保可以公开查询。</w:t>
      </w:r>
    </w:p>
    <w:p>
      <w:pPr>
        <w:pStyle w:val="8"/>
        <w:adjustRightInd w:val="0"/>
        <w:snapToGrid w:val="0"/>
        <w:ind w:firstLine="480" w:firstLineChars="200"/>
        <w:rPr>
          <w:rFonts w:asciiTheme="minorEastAsia" w:hAnsiTheme="minorEastAsia" w:cstheme="minorEastAsia"/>
          <w:kern w:val="2"/>
          <w:szCs w:val="24"/>
          <w:highlight w:val="none"/>
        </w:rPr>
      </w:pPr>
      <w:r>
        <w:rPr>
          <w:rFonts w:hint="eastAsia" w:asciiTheme="minorEastAsia" w:hAnsiTheme="minorEastAsia" w:cstheme="minorEastAsia"/>
          <w:kern w:val="2"/>
          <w:szCs w:val="24"/>
          <w:highlight w:val="none"/>
          <w:lang w:val="en-US" w:eastAsia="zh-CN"/>
        </w:rPr>
        <w:t>3、</w:t>
      </w:r>
      <w:r>
        <w:rPr>
          <w:rFonts w:hint="eastAsia" w:asciiTheme="minorEastAsia" w:hAnsiTheme="minorEastAsia" w:cstheme="minorEastAsia"/>
          <w:kern w:val="2"/>
          <w:szCs w:val="24"/>
          <w:highlight w:val="none"/>
        </w:rPr>
        <w:t>拟派项目负责人需具有有效的二级及以上注册消防工程师</w:t>
      </w:r>
      <w:r>
        <w:rPr>
          <w:rFonts w:hint="eastAsia" w:asciiTheme="minorEastAsia" w:hAnsiTheme="minorEastAsia" w:cstheme="minorEastAsia"/>
          <w:kern w:val="2"/>
          <w:szCs w:val="24"/>
          <w:highlight w:val="none"/>
          <w:lang w:val="en-US" w:eastAsia="zh-CN"/>
        </w:rPr>
        <w:t>资格</w:t>
      </w:r>
      <w:r>
        <w:rPr>
          <w:rFonts w:hint="eastAsia" w:asciiTheme="minorEastAsia" w:hAnsiTheme="minorEastAsia" w:cstheme="minorEastAsia"/>
          <w:kern w:val="2"/>
          <w:szCs w:val="24"/>
          <w:highlight w:val="none"/>
        </w:rPr>
        <w:t>，证书需注册在</w:t>
      </w:r>
      <w:r>
        <w:rPr>
          <w:rFonts w:hint="eastAsia" w:asciiTheme="minorEastAsia" w:hAnsiTheme="minorEastAsia" w:cstheme="minorEastAsia"/>
          <w:kern w:val="2"/>
          <w:szCs w:val="24"/>
          <w:highlight w:val="none"/>
          <w:lang w:val="en-US" w:eastAsia="zh-CN"/>
        </w:rPr>
        <w:t>参选</w:t>
      </w:r>
      <w:r>
        <w:rPr>
          <w:rFonts w:hint="eastAsia" w:asciiTheme="minorEastAsia" w:hAnsiTheme="minorEastAsia" w:cstheme="minorEastAsia"/>
          <w:kern w:val="2"/>
          <w:szCs w:val="24"/>
          <w:highlight w:val="none"/>
        </w:rPr>
        <w:t>单位；</w:t>
      </w:r>
    </w:p>
    <w:p>
      <w:pPr>
        <w:pStyle w:val="8"/>
        <w:adjustRightInd w:val="0"/>
        <w:snapToGrid w:val="0"/>
        <w:ind w:firstLine="480" w:firstLineChars="200"/>
        <w:rPr>
          <w:rFonts w:asciiTheme="minorEastAsia" w:hAnsiTheme="minorEastAsia" w:cstheme="minorEastAsia"/>
          <w:kern w:val="2"/>
          <w:szCs w:val="24"/>
          <w:highlight w:val="none"/>
        </w:rPr>
      </w:pPr>
      <w:r>
        <w:rPr>
          <w:rFonts w:hint="eastAsia" w:asciiTheme="minorEastAsia" w:hAnsiTheme="minorEastAsia" w:cstheme="minorEastAsia"/>
          <w:kern w:val="2"/>
          <w:szCs w:val="24"/>
          <w:highlight w:val="none"/>
        </w:rPr>
        <w:t>4、本项目不接受联合体投标。</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lang w:val="en-US" w:eastAsia="zh-CN"/>
        </w:rPr>
        <w:t>五</w:t>
      </w:r>
      <w:r>
        <w:rPr>
          <w:rFonts w:hint="eastAsia" w:asciiTheme="minorEastAsia" w:hAnsiTheme="minorEastAsia" w:cstheme="minorEastAsia"/>
          <w:b/>
          <w:bCs/>
          <w:sz w:val="24"/>
        </w:rPr>
        <w:t>、评标办法</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本项目采用综合评分法（详见第三章）。</w:t>
      </w:r>
    </w:p>
    <w:p>
      <w:pPr>
        <w:pStyle w:val="8"/>
        <w:adjustRightInd w:val="0"/>
        <w:snapToGrid w:val="0"/>
        <w:ind w:firstLine="482" w:firstLineChars="200"/>
        <w:rPr>
          <w:rFonts w:asciiTheme="minorEastAsia" w:hAnsiTheme="minorEastAsia" w:cstheme="minorEastAsia"/>
          <w:b/>
          <w:bCs/>
          <w:szCs w:val="24"/>
        </w:rPr>
      </w:pPr>
      <w:r>
        <w:rPr>
          <w:rFonts w:hint="eastAsia" w:asciiTheme="minorEastAsia" w:hAnsiTheme="minorEastAsia" w:cstheme="minorEastAsia"/>
          <w:b/>
          <w:bCs/>
          <w:szCs w:val="24"/>
          <w:shd w:val="clear" w:color="auto" w:fill="FFFFFF"/>
          <w:lang w:val="en-US" w:eastAsia="zh-CN"/>
        </w:rPr>
        <w:t>六</w:t>
      </w:r>
      <w:r>
        <w:rPr>
          <w:rFonts w:hint="eastAsia" w:asciiTheme="minorEastAsia" w:hAnsiTheme="minorEastAsia" w:cstheme="minorEastAsia"/>
          <w:b/>
          <w:bCs/>
          <w:szCs w:val="24"/>
          <w:shd w:val="clear" w:color="auto" w:fill="FFFFFF"/>
        </w:rPr>
        <w:t>、获取比选文件</w:t>
      </w:r>
    </w:p>
    <w:p>
      <w:pPr>
        <w:widowControl/>
        <w:shd w:val="clear" w:color="auto" w:fill="FFFFFF"/>
        <w:spacing w:line="440" w:lineRule="exact"/>
        <w:ind w:left="420" w:leftChars="200"/>
        <w:jc w:val="left"/>
        <w:rPr>
          <w:rFonts w:asciiTheme="minorEastAsia" w:hAnsiTheme="minorEastAsia" w:cstheme="minorEastAsia"/>
          <w:sz w:val="24"/>
        </w:rPr>
      </w:pPr>
      <w:r>
        <w:rPr>
          <w:rFonts w:hint="eastAsia" w:asciiTheme="minorEastAsia" w:hAnsiTheme="minorEastAsia" w:cstheme="minorEastAsia"/>
          <w:sz w:val="24"/>
        </w:rPr>
        <w:t>在“南通市保安服务有限公司网站”自行下载。</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eastAsia="zh-CN"/>
        </w:rPr>
        <w:t>投标文件</w:t>
      </w:r>
      <w:r>
        <w:rPr>
          <w:rFonts w:hint="eastAsia" w:ascii="宋体" w:hAnsi="宋体" w:cs="宋体"/>
          <w:b/>
          <w:bCs/>
          <w:sz w:val="24"/>
        </w:rPr>
        <w:t>的递交</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1、文件递交方式：直接送达。</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w:t>
      </w:r>
      <w:r>
        <w:rPr>
          <w:rFonts w:hint="eastAsia" w:ascii="宋体" w:hAnsi="宋体" w:cs="宋体"/>
          <w:kern w:val="2"/>
          <w:szCs w:val="24"/>
          <w:lang w:eastAsia="zh-CN"/>
        </w:rPr>
        <w:t>投标文件</w:t>
      </w:r>
      <w:r>
        <w:rPr>
          <w:rFonts w:hint="eastAsia" w:ascii="宋体" w:hAnsi="宋体" w:cs="宋体"/>
          <w:kern w:val="2"/>
          <w:szCs w:val="24"/>
        </w:rPr>
        <w:t>递交截止时间及地点</w:t>
      </w:r>
      <w:r>
        <w:rPr>
          <w:rFonts w:hint="eastAsia" w:ascii="宋体" w:hAnsi="宋体" w:cs="宋体"/>
          <w:color w:val="auto"/>
          <w:kern w:val="2"/>
          <w:szCs w:val="24"/>
        </w:rPr>
        <w:t>：202</w:t>
      </w:r>
      <w:r>
        <w:rPr>
          <w:rFonts w:ascii="宋体" w:hAnsi="宋体" w:cs="宋体"/>
          <w:color w:val="auto"/>
          <w:kern w:val="2"/>
          <w:szCs w:val="24"/>
        </w:rPr>
        <w:t>3</w:t>
      </w:r>
      <w:r>
        <w:rPr>
          <w:rFonts w:hint="eastAsia" w:ascii="宋体" w:hAnsi="宋体" w:cs="宋体"/>
          <w:color w:val="auto"/>
          <w:kern w:val="2"/>
          <w:szCs w:val="24"/>
        </w:rPr>
        <w:t>年</w:t>
      </w:r>
      <w:r>
        <w:rPr>
          <w:rFonts w:hint="eastAsia" w:hAnsi="宋体" w:cs="宋体"/>
          <w:color w:val="auto"/>
          <w:kern w:val="2"/>
          <w:szCs w:val="24"/>
          <w:lang w:val="en-US" w:eastAsia="zh-CN"/>
        </w:rPr>
        <w:t>12</w:t>
      </w:r>
      <w:r>
        <w:rPr>
          <w:rFonts w:hint="eastAsia" w:ascii="宋体" w:hAnsi="宋体" w:cs="宋体"/>
          <w:color w:val="auto"/>
          <w:kern w:val="2"/>
          <w:szCs w:val="24"/>
        </w:rPr>
        <w:t>月</w:t>
      </w:r>
      <w:r>
        <w:rPr>
          <w:rFonts w:hint="eastAsia" w:hAnsi="宋体" w:cs="宋体"/>
          <w:color w:val="auto"/>
          <w:kern w:val="2"/>
          <w:szCs w:val="24"/>
          <w:lang w:val="en-US" w:eastAsia="zh-CN"/>
        </w:rPr>
        <w:t>25</w:t>
      </w:r>
      <w:r>
        <w:rPr>
          <w:rFonts w:hint="eastAsia" w:ascii="宋体" w:hAnsi="宋体" w:cs="宋体"/>
          <w:color w:val="auto"/>
          <w:kern w:val="2"/>
          <w:szCs w:val="24"/>
        </w:rPr>
        <w:t>日</w:t>
      </w:r>
      <w:r>
        <w:rPr>
          <w:rFonts w:hint="eastAsia" w:hAnsi="宋体" w:cs="宋体"/>
          <w:color w:val="auto"/>
          <w:kern w:val="2"/>
          <w:szCs w:val="24"/>
          <w:lang w:val="en-US" w:eastAsia="zh-CN"/>
        </w:rPr>
        <w:t>14</w:t>
      </w:r>
      <w:r>
        <w:rPr>
          <w:rFonts w:hint="eastAsia" w:ascii="宋体" w:hAnsi="宋体" w:cs="宋体"/>
          <w:color w:val="auto"/>
          <w:kern w:val="2"/>
          <w:szCs w:val="24"/>
        </w:rPr>
        <w:t>点</w:t>
      </w:r>
      <w:r>
        <w:rPr>
          <w:rFonts w:hint="eastAsia" w:hAnsi="宋体" w:cs="宋体"/>
          <w:kern w:val="2"/>
          <w:szCs w:val="24"/>
          <w:lang w:val="en-US" w:eastAsia="zh-CN"/>
        </w:rPr>
        <w:t>30</w:t>
      </w:r>
      <w:r>
        <w:rPr>
          <w:rFonts w:hint="eastAsia" w:ascii="宋体" w:hAnsi="宋体" w:cs="宋体"/>
          <w:kern w:val="2"/>
          <w:szCs w:val="24"/>
        </w:rPr>
        <w:t>分前；</w:t>
      </w:r>
      <w:r>
        <w:rPr>
          <w:rFonts w:hint="eastAsia" w:ascii="宋体" w:hAnsi="宋体" w:cs="宋体"/>
          <w:szCs w:val="24"/>
          <w:shd w:val="clear" w:color="auto" w:fill="FFFFFF"/>
        </w:rPr>
        <w:t>南通市崇川区石桥路3</w:t>
      </w:r>
      <w:r>
        <w:rPr>
          <w:rFonts w:ascii="宋体" w:hAnsi="宋体" w:cs="宋体"/>
          <w:szCs w:val="24"/>
          <w:shd w:val="clear" w:color="auto" w:fill="FFFFFF"/>
        </w:rPr>
        <w:t>33</w:t>
      </w:r>
      <w:r>
        <w:rPr>
          <w:rFonts w:hint="eastAsia" w:ascii="宋体" w:hAnsi="宋体" w:cs="宋体"/>
          <w:szCs w:val="24"/>
          <w:shd w:val="clear" w:color="auto" w:fill="FFFFFF"/>
        </w:rPr>
        <w:t>号南通市保安服务有限公司6楼会议室2。</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3、</w:t>
      </w:r>
      <w:r>
        <w:rPr>
          <w:rFonts w:hint="eastAsia" w:ascii="宋体" w:hAnsi="宋体" w:cs="宋体"/>
          <w:kern w:val="2"/>
          <w:szCs w:val="24"/>
          <w:lang w:eastAsia="zh-CN"/>
        </w:rPr>
        <w:t>投标文件</w:t>
      </w:r>
      <w:r>
        <w:rPr>
          <w:rFonts w:hint="eastAsia" w:ascii="宋体" w:hAnsi="宋体" w:cs="宋体"/>
          <w:kern w:val="2"/>
          <w:szCs w:val="24"/>
        </w:rPr>
        <w:t>截止时间：</w:t>
      </w:r>
      <w:r>
        <w:rPr>
          <w:rFonts w:hint="eastAsia" w:ascii="宋体" w:hAnsi="宋体" w:cs="宋体"/>
          <w:kern w:val="2"/>
          <w:szCs w:val="24"/>
          <w:lang w:eastAsia="zh-CN"/>
        </w:rPr>
        <w:t>投标文件</w:t>
      </w:r>
      <w:r>
        <w:rPr>
          <w:rFonts w:hint="eastAsia" w:ascii="宋体" w:hAnsi="宋体" w:cs="宋体"/>
          <w:kern w:val="2"/>
          <w:szCs w:val="24"/>
        </w:rPr>
        <w:t>必须在规定的接收截止时间前送至</w:t>
      </w:r>
      <w:r>
        <w:rPr>
          <w:rFonts w:hint="eastAsia" w:ascii="宋体" w:hAnsi="宋体" w:cs="宋体"/>
          <w:kern w:val="2"/>
          <w:szCs w:val="24"/>
          <w:lang w:val="en-US" w:eastAsia="zh-CN"/>
        </w:rPr>
        <w:t>指定地点</w:t>
      </w:r>
      <w:r>
        <w:rPr>
          <w:rFonts w:hint="eastAsia" w:ascii="宋体" w:hAnsi="宋体" w:cs="宋体"/>
          <w:kern w:val="2"/>
          <w:szCs w:val="24"/>
          <w:lang w:eastAsia="zh-CN"/>
        </w:rPr>
        <w:t>，招标人</w:t>
      </w:r>
      <w:r>
        <w:rPr>
          <w:rFonts w:hint="eastAsia" w:ascii="宋体" w:hAnsi="宋体" w:cs="宋体"/>
          <w:kern w:val="2"/>
          <w:szCs w:val="24"/>
        </w:rPr>
        <w:t>或代理机构将拒绝接收在截止时间后递交的文件。</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w:t>
      </w:r>
      <w:r>
        <w:rPr>
          <w:rFonts w:hint="eastAsia" w:ascii="宋体" w:hAnsi="宋体" w:cs="宋体"/>
          <w:b/>
          <w:bCs/>
          <w:sz w:val="24"/>
          <w:lang w:val="en-US" w:eastAsia="zh-CN"/>
        </w:rPr>
        <w:t>开标</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1、开标时间</w:t>
      </w:r>
      <w:r>
        <w:rPr>
          <w:rFonts w:hint="eastAsia" w:ascii="宋体" w:hAnsi="宋体" w:cs="宋体"/>
          <w:color w:val="auto"/>
          <w:kern w:val="2"/>
          <w:szCs w:val="24"/>
        </w:rPr>
        <w:t>：</w:t>
      </w:r>
      <w:r>
        <w:rPr>
          <w:rFonts w:hint="eastAsia" w:ascii="宋体" w:hAnsi="宋体" w:cs="宋体"/>
          <w:color w:val="auto"/>
          <w:kern w:val="2"/>
          <w:szCs w:val="24"/>
        </w:rPr>
        <w:t>202</w:t>
      </w:r>
      <w:r>
        <w:rPr>
          <w:rFonts w:ascii="宋体" w:hAnsi="宋体" w:cs="宋体"/>
          <w:color w:val="auto"/>
          <w:kern w:val="2"/>
          <w:szCs w:val="24"/>
        </w:rPr>
        <w:t>3</w:t>
      </w:r>
      <w:r>
        <w:rPr>
          <w:rFonts w:hint="eastAsia" w:ascii="宋体" w:hAnsi="宋体" w:cs="宋体"/>
          <w:color w:val="auto"/>
          <w:kern w:val="2"/>
          <w:szCs w:val="24"/>
        </w:rPr>
        <w:t>年</w:t>
      </w:r>
      <w:r>
        <w:rPr>
          <w:rFonts w:hint="eastAsia" w:hAnsi="宋体" w:cs="宋体"/>
          <w:color w:val="auto"/>
          <w:kern w:val="2"/>
          <w:szCs w:val="24"/>
          <w:lang w:val="en-US" w:eastAsia="zh-CN"/>
        </w:rPr>
        <w:t>12</w:t>
      </w:r>
      <w:r>
        <w:rPr>
          <w:rFonts w:hint="eastAsia" w:ascii="宋体" w:hAnsi="宋体" w:cs="宋体"/>
          <w:color w:val="auto"/>
          <w:kern w:val="2"/>
          <w:szCs w:val="24"/>
        </w:rPr>
        <w:t>月</w:t>
      </w:r>
      <w:r>
        <w:rPr>
          <w:rFonts w:hint="eastAsia" w:hAnsi="宋体" w:cs="宋体"/>
          <w:color w:val="auto"/>
          <w:kern w:val="2"/>
          <w:szCs w:val="24"/>
          <w:lang w:val="en-US" w:eastAsia="zh-CN"/>
        </w:rPr>
        <w:t>25</w:t>
      </w:r>
      <w:r>
        <w:rPr>
          <w:rFonts w:hint="eastAsia" w:ascii="宋体" w:hAnsi="宋体" w:cs="宋体"/>
          <w:color w:val="auto"/>
          <w:kern w:val="2"/>
          <w:szCs w:val="24"/>
        </w:rPr>
        <w:t>日</w:t>
      </w:r>
      <w:r>
        <w:rPr>
          <w:rFonts w:hint="eastAsia" w:hAnsi="宋体" w:cs="宋体"/>
          <w:color w:val="auto"/>
          <w:kern w:val="2"/>
          <w:szCs w:val="24"/>
          <w:lang w:val="en-US" w:eastAsia="zh-CN"/>
        </w:rPr>
        <w:t>14</w:t>
      </w:r>
      <w:r>
        <w:rPr>
          <w:rFonts w:hint="eastAsia" w:ascii="宋体" w:hAnsi="宋体" w:cs="宋体"/>
          <w:color w:val="auto"/>
          <w:kern w:val="2"/>
          <w:szCs w:val="24"/>
        </w:rPr>
        <w:t>点</w:t>
      </w:r>
      <w:r>
        <w:rPr>
          <w:rFonts w:hint="eastAsia" w:hAnsi="宋体" w:cs="宋体"/>
          <w:kern w:val="2"/>
          <w:szCs w:val="24"/>
          <w:lang w:val="en-US" w:eastAsia="zh-CN"/>
        </w:rPr>
        <w:t>30</w:t>
      </w:r>
      <w:r>
        <w:rPr>
          <w:rFonts w:hint="eastAsia" w:ascii="宋体" w:hAnsi="宋体" w:cs="宋体"/>
          <w:kern w:val="2"/>
          <w:szCs w:val="24"/>
        </w:rPr>
        <w:t>分，如有变动，另行通知。</w:t>
      </w:r>
    </w:p>
    <w:p>
      <w:pPr>
        <w:pStyle w:val="8"/>
        <w:adjustRightInd w:val="0"/>
        <w:snapToGrid w:val="0"/>
        <w:ind w:firstLine="480" w:firstLineChars="200"/>
        <w:rPr>
          <w:rFonts w:ascii="宋体" w:hAnsi="宋体" w:cs="宋体"/>
          <w:kern w:val="2"/>
          <w:szCs w:val="24"/>
        </w:rPr>
      </w:pPr>
      <w:r>
        <w:rPr>
          <w:rFonts w:hint="eastAsia" w:ascii="宋体" w:hAnsi="宋体" w:cs="宋体"/>
          <w:kern w:val="2"/>
          <w:szCs w:val="24"/>
        </w:rPr>
        <w:t>2、开标地点：</w:t>
      </w:r>
      <w:r>
        <w:rPr>
          <w:rFonts w:hint="eastAsia" w:ascii="宋体" w:hAnsi="宋体" w:cs="宋体"/>
          <w:b/>
          <w:bCs/>
          <w:szCs w:val="24"/>
          <w:u w:val="single"/>
          <w:shd w:val="clear" w:color="auto" w:fill="FFFFFF"/>
        </w:rPr>
        <w:t>南通市崇川区石桥路3</w:t>
      </w:r>
      <w:r>
        <w:rPr>
          <w:rFonts w:ascii="宋体" w:hAnsi="宋体" w:cs="宋体"/>
          <w:b/>
          <w:bCs/>
          <w:szCs w:val="24"/>
          <w:u w:val="single"/>
          <w:shd w:val="clear" w:color="auto" w:fill="FFFFFF"/>
        </w:rPr>
        <w:t>33</w:t>
      </w:r>
      <w:r>
        <w:rPr>
          <w:rFonts w:hint="eastAsia" w:ascii="宋体" w:hAnsi="宋体" w:cs="宋体"/>
          <w:b/>
          <w:bCs/>
          <w:szCs w:val="24"/>
          <w:u w:val="single"/>
          <w:shd w:val="clear" w:color="auto" w:fill="FFFFFF"/>
        </w:rPr>
        <w:t>号南通市保安服务有限公司6楼会议室2</w:t>
      </w:r>
      <w:r>
        <w:rPr>
          <w:rFonts w:hint="eastAsia" w:ascii="宋体" w:hAnsi="宋体" w:cs="宋体"/>
          <w:kern w:val="2"/>
          <w:szCs w:val="24"/>
        </w:rPr>
        <w:t>。</w:t>
      </w:r>
    </w:p>
    <w:p>
      <w:pPr>
        <w:pStyle w:val="8"/>
        <w:adjustRightInd w:val="0"/>
        <w:snapToGrid w:val="0"/>
        <w:ind w:firstLine="482" w:firstLineChars="200"/>
        <w:rPr>
          <w:rFonts w:asciiTheme="minorEastAsia" w:hAnsiTheme="minorEastAsia" w:cstheme="minorEastAsia"/>
          <w:b/>
          <w:bCs/>
          <w:szCs w:val="24"/>
          <w:shd w:val="clear" w:color="auto" w:fill="FFFFFF"/>
        </w:rPr>
      </w:pPr>
      <w:r>
        <w:rPr>
          <w:rFonts w:hint="eastAsia" w:asciiTheme="minorEastAsia" w:hAnsiTheme="minorEastAsia" w:cstheme="minorEastAsia"/>
          <w:b/>
          <w:bCs/>
          <w:szCs w:val="24"/>
          <w:shd w:val="clear" w:color="auto" w:fill="FFFFFF"/>
          <w:lang w:val="en-US" w:eastAsia="zh-CN"/>
        </w:rPr>
        <w:t>九</w:t>
      </w:r>
      <w:r>
        <w:rPr>
          <w:rFonts w:hint="eastAsia" w:asciiTheme="minorEastAsia" w:hAnsiTheme="minorEastAsia" w:cstheme="minorEastAsia"/>
          <w:b/>
          <w:bCs/>
          <w:szCs w:val="24"/>
          <w:shd w:val="clear" w:color="auto" w:fill="FFFFFF"/>
        </w:rPr>
        <w:t>、本项目中选人在领取中选通知书的同时，须向招标代理单位一次性支付招标代理服务费和评审费，否则取消其中标资格。招标代理服务费2500元，评审费按实结算。参选人在报价时一并考虑，比选人不再另行支付任何费用。</w:t>
      </w:r>
    </w:p>
    <w:p>
      <w:pPr>
        <w:pStyle w:val="8"/>
        <w:adjustRightInd w:val="0"/>
        <w:snapToGrid w:val="0"/>
        <w:ind w:firstLine="482" w:firstLineChars="200"/>
        <w:rPr>
          <w:rFonts w:asciiTheme="minorEastAsia" w:hAnsiTheme="minorEastAsia" w:cstheme="minorEastAsia"/>
          <w:b/>
          <w:bCs/>
          <w:szCs w:val="24"/>
          <w:shd w:val="clear" w:color="auto" w:fill="FFFFFF"/>
        </w:rPr>
      </w:pPr>
      <w:r>
        <w:rPr>
          <w:rFonts w:hint="eastAsia" w:asciiTheme="minorEastAsia" w:hAnsiTheme="minorEastAsia" w:cstheme="minorEastAsia"/>
          <w:b/>
          <w:bCs/>
          <w:szCs w:val="24"/>
          <w:shd w:val="clear" w:color="auto" w:fill="FFFFFF"/>
          <w:lang w:val="en-US" w:eastAsia="zh-CN"/>
        </w:rPr>
        <w:t>十</w:t>
      </w:r>
      <w:r>
        <w:rPr>
          <w:rFonts w:hint="eastAsia" w:asciiTheme="minorEastAsia" w:hAnsiTheme="minorEastAsia" w:cstheme="minorEastAsia"/>
          <w:b/>
          <w:bCs/>
          <w:szCs w:val="24"/>
          <w:shd w:val="clear" w:color="auto" w:fill="FFFFFF"/>
        </w:rPr>
        <w:t>、联系方式</w:t>
      </w:r>
    </w:p>
    <w:p>
      <w:pPr>
        <w:pStyle w:val="8"/>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1、比选人：南通市保安服务有限公司</w:t>
      </w:r>
    </w:p>
    <w:p>
      <w:pPr>
        <w:pStyle w:val="8"/>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地 址：南通市崇川区石桥路3</w:t>
      </w:r>
      <w:r>
        <w:rPr>
          <w:rFonts w:asciiTheme="minorEastAsia" w:hAnsiTheme="minorEastAsia" w:cstheme="minorEastAsia"/>
          <w:szCs w:val="24"/>
          <w:shd w:val="clear" w:color="auto" w:fill="FFFFFF"/>
        </w:rPr>
        <w:t>33</w:t>
      </w:r>
      <w:r>
        <w:rPr>
          <w:rFonts w:hint="eastAsia" w:asciiTheme="minorEastAsia" w:hAnsiTheme="minorEastAsia" w:cstheme="minorEastAsia"/>
          <w:szCs w:val="24"/>
          <w:shd w:val="clear" w:color="auto" w:fill="FFFFFF"/>
        </w:rPr>
        <w:t>号</w:t>
      </w:r>
    </w:p>
    <w:p>
      <w:pPr>
        <w:pStyle w:val="8"/>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联系</w:t>
      </w:r>
      <w:r>
        <w:rPr>
          <w:rFonts w:hint="eastAsia" w:asciiTheme="minorEastAsia" w:hAnsiTheme="minorEastAsia" w:cstheme="minorEastAsia"/>
          <w:szCs w:val="24"/>
          <w:shd w:val="clear" w:color="auto" w:fill="FFFFFF"/>
          <w:lang w:eastAsia="zh-CN"/>
        </w:rPr>
        <w:t>人</w:t>
      </w:r>
      <w:r>
        <w:rPr>
          <w:rFonts w:hint="eastAsia" w:asciiTheme="minorEastAsia" w:hAnsiTheme="minorEastAsia" w:cstheme="minorEastAsia"/>
          <w:szCs w:val="24"/>
          <w:shd w:val="clear" w:color="auto" w:fill="FFFFFF"/>
        </w:rPr>
        <w:t>：</w:t>
      </w:r>
      <w:r>
        <w:rPr>
          <w:rFonts w:hint="eastAsia" w:asciiTheme="minorEastAsia" w:hAnsiTheme="minorEastAsia" w:cstheme="minorEastAsia"/>
          <w:szCs w:val="24"/>
          <w:shd w:val="clear" w:color="auto" w:fill="FFFFFF"/>
          <w:lang w:val="en-US" w:eastAsia="zh-CN"/>
        </w:rPr>
        <w:t>徐雷</w:t>
      </w:r>
      <w:r>
        <w:rPr>
          <w:rFonts w:hint="eastAsia" w:asciiTheme="minorEastAsia" w:hAnsiTheme="minorEastAsia" w:cstheme="minorEastAsia"/>
          <w:szCs w:val="24"/>
          <w:shd w:val="clear" w:color="auto" w:fill="FFFFFF"/>
        </w:rPr>
        <w:t xml:space="preserve"> 　　</w:t>
      </w:r>
    </w:p>
    <w:p>
      <w:pPr>
        <w:pStyle w:val="8"/>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联系方式：</w:t>
      </w:r>
      <w:r>
        <w:rPr>
          <w:rFonts w:hint="eastAsia" w:asciiTheme="minorEastAsia" w:hAnsiTheme="minorEastAsia" w:cstheme="minorEastAsia"/>
          <w:szCs w:val="24"/>
          <w:shd w:val="clear" w:color="auto" w:fill="FFFFFF"/>
          <w:lang w:val="en-US" w:eastAsia="zh-CN"/>
        </w:rPr>
        <w:t>18252508066</w:t>
      </w:r>
    </w:p>
    <w:p>
      <w:pPr>
        <w:pStyle w:val="8"/>
        <w:numPr>
          <w:ilvl w:val="0"/>
          <w:numId w:val="1"/>
        </w:numPr>
        <w:adjustRightInd w:val="0"/>
        <w:snapToGrid w:val="0"/>
        <w:ind w:firstLine="480" w:firstLineChars="200"/>
        <w:rPr>
          <w:rFonts w:asciiTheme="minorEastAsia" w:hAnsiTheme="minorEastAsia" w:cstheme="minorEastAsia"/>
          <w:shd w:val="clear" w:color="auto" w:fill="FFFFFF"/>
        </w:rPr>
      </w:pPr>
      <w:r>
        <w:rPr>
          <w:rFonts w:hint="eastAsia" w:asciiTheme="minorEastAsia" w:hAnsiTheme="minorEastAsia" w:cstheme="minorEastAsia"/>
          <w:szCs w:val="24"/>
          <w:shd w:val="clear" w:color="auto" w:fill="FFFFFF"/>
        </w:rPr>
        <w:t>招标代理机构：</w:t>
      </w:r>
      <w:r>
        <w:rPr>
          <w:rFonts w:hint="eastAsia" w:asciiTheme="minorEastAsia" w:hAnsiTheme="minorEastAsia" w:cstheme="minorEastAsia"/>
          <w:shd w:val="clear" w:color="auto" w:fill="FFFFFF"/>
        </w:rPr>
        <w:t>中诚智信工程咨询集团股份有限公司</w:t>
      </w:r>
    </w:p>
    <w:p>
      <w:pPr>
        <w:pStyle w:val="8"/>
        <w:numPr>
          <w:ilvl w:val="0"/>
          <w:numId w:val="0"/>
        </w:numPr>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地 址：</w:t>
      </w:r>
      <w:r>
        <w:rPr>
          <w:rFonts w:hAnsi="宋体" w:eastAsia="宋体" w:cs="宋体"/>
          <w:szCs w:val="24"/>
        </w:rPr>
        <w:t>南通市恒隆国际B座801室</w:t>
      </w:r>
    </w:p>
    <w:p>
      <w:pPr>
        <w:pStyle w:val="8"/>
        <w:adjustRightInd w:val="0"/>
        <w:snapToGrid w:val="0"/>
        <w:ind w:firstLine="480" w:firstLineChars="200"/>
        <w:rPr>
          <w:rFonts w:asciiTheme="minorEastAsia" w:hAnsiTheme="minorEastAsia" w:cstheme="minorEastAsia"/>
          <w:szCs w:val="24"/>
        </w:rPr>
      </w:pPr>
      <w:r>
        <w:rPr>
          <w:rFonts w:hint="eastAsia" w:asciiTheme="minorEastAsia" w:hAnsiTheme="minorEastAsia" w:cstheme="minorEastAsia"/>
          <w:szCs w:val="24"/>
          <w:shd w:val="clear" w:color="auto" w:fill="FFFFFF"/>
        </w:rPr>
        <w:t>联系人：单舒</w:t>
      </w:r>
    </w:p>
    <w:p>
      <w:pPr>
        <w:snapToGrid w:val="0"/>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kern w:val="0"/>
          <w:sz w:val="24"/>
          <w:shd w:val="clear" w:color="auto" w:fill="FFFFFF"/>
        </w:rPr>
        <w:t>联系电话：</w:t>
      </w:r>
      <w:r>
        <w:rPr>
          <w:rFonts w:hint="eastAsia" w:ascii="宋体" w:hAnsi="宋体" w:eastAsia="宋体" w:cs="宋体"/>
          <w:sz w:val="24"/>
        </w:rPr>
        <w:t>0513-85980007/13328094029</w:t>
      </w:r>
    </w:p>
    <w:bookmarkEnd w:id="59"/>
    <w:p>
      <w:pPr>
        <w:adjustRightInd w:val="0"/>
        <w:snapToGrid w:val="0"/>
        <w:spacing w:line="360" w:lineRule="auto"/>
        <w:ind w:firstLine="480" w:firstLineChars="200"/>
        <w:rPr>
          <w:rFonts w:asciiTheme="minorEastAsia" w:hAnsiTheme="minorEastAsia" w:cstheme="minorEastAsia"/>
          <w:sz w:val="24"/>
        </w:rPr>
      </w:pPr>
    </w:p>
    <w:p>
      <w:pPr>
        <w:pStyle w:val="6"/>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widowControl/>
        <w:jc w:val="left"/>
        <w:rPr>
          <w:rFonts w:asciiTheme="minorEastAsia" w:hAnsiTheme="minorEastAsia" w:cstheme="minorEastAsia"/>
          <w:b/>
          <w:bCs/>
          <w:sz w:val="32"/>
          <w:szCs w:val="32"/>
        </w:rPr>
      </w:pPr>
      <w:r>
        <w:rPr>
          <w:rFonts w:asciiTheme="minorEastAsia" w:hAnsiTheme="minorEastAsia" w:cstheme="minorEastAsia"/>
          <w:b/>
          <w:bCs/>
          <w:sz w:val="32"/>
          <w:szCs w:val="32"/>
        </w:rPr>
        <w:br w:type="page"/>
      </w: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第二章  比选须知</w:t>
      </w:r>
    </w:p>
    <w:p>
      <w:pPr>
        <w:adjustRightInd w:val="0"/>
        <w:snapToGrid w:val="0"/>
        <w:spacing w:line="360" w:lineRule="auto"/>
        <w:ind w:firstLine="482" w:firstLineChars="200"/>
        <w:rPr>
          <w:rFonts w:asciiTheme="minorEastAsia" w:hAnsiTheme="minorEastAsia" w:cstheme="minorEastAsia"/>
          <w:b/>
          <w:bCs/>
          <w:sz w:val="24"/>
        </w:rPr>
      </w:pPr>
      <w:bookmarkStart w:id="0" w:name="_Toc513029209"/>
      <w:bookmarkStart w:id="1" w:name="_Toc20823281"/>
      <w:bookmarkStart w:id="2" w:name="_Toc16938525"/>
      <w:bookmarkStart w:id="3" w:name="_Toc120614215"/>
      <w:r>
        <w:rPr>
          <w:rFonts w:hint="eastAsia" w:asciiTheme="minorEastAsia" w:hAnsiTheme="minorEastAsia" w:cstheme="minorEastAsia"/>
          <w:b/>
          <w:bCs/>
          <w:sz w:val="24"/>
        </w:rPr>
        <w:t>一、比选文件</w:t>
      </w:r>
      <w:bookmarkEnd w:id="0"/>
      <w:bookmarkEnd w:id="1"/>
      <w:bookmarkEnd w:id="2"/>
      <w:bookmarkEnd w:id="3"/>
    </w:p>
    <w:p>
      <w:pPr>
        <w:adjustRightInd w:val="0"/>
        <w:snapToGrid w:val="0"/>
        <w:spacing w:line="360" w:lineRule="auto"/>
        <w:ind w:firstLine="480" w:firstLineChars="200"/>
        <w:rPr>
          <w:rFonts w:asciiTheme="minorEastAsia" w:hAnsiTheme="minorEastAsia" w:cstheme="minorEastAsia"/>
          <w:sz w:val="24"/>
        </w:rPr>
      </w:pPr>
      <w:bookmarkStart w:id="4" w:name="_Toc513029210"/>
      <w:bookmarkStart w:id="5" w:name="_Toc16938526"/>
      <w:bookmarkStart w:id="6" w:name="_Toc20823282"/>
      <w:r>
        <w:rPr>
          <w:rFonts w:hint="eastAsia" w:asciiTheme="minorEastAsia" w:hAnsiTheme="minorEastAsia" w:cstheme="minorEastAsia"/>
          <w:sz w:val="24"/>
        </w:rPr>
        <w:t>1、比选文件构成</w:t>
      </w:r>
      <w:bookmarkEnd w:id="4"/>
      <w:bookmarkEnd w:id="5"/>
      <w:bookmarkEnd w:id="6"/>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 比选文件由以下部分组成：</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（1）比选公告</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（2）投标须知</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（3）评标办法</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（4）项目需求</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（5）参选文件格式</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（6）拟签订合同格式</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请仔细检查比选文件是否齐全，如有缺漏请立即与比选人或代理机构联系解决。</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参选人应认真阅读比选文件中所有的事项、格式、条款和规范等要求。按比选文件要求和规定编制参选文件，并保证所提供的全部资料的真实性，以使其参选文件对比选文件作出实质性响应，否则其风险由参选人自行承担。</w:t>
      </w:r>
    </w:p>
    <w:p>
      <w:pPr>
        <w:adjustRightInd w:val="0"/>
        <w:snapToGrid w:val="0"/>
        <w:spacing w:line="360" w:lineRule="auto"/>
        <w:ind w:firstLine="480" w:firstLineChars="200"/>
        <w:rPr>
          <w:rFonts w:asciiTheme="minorEastAsia" w:hAnsiTheme="minorEastAsia" w:cstheme="minorEastAsia"/>
          <w:sz w:val="24"/>
        </w:rPr>
      </w:pPr>
      <w:bookmarkStart w:id="7" w:name="_Toc20823283"/>
      <w:bookmarkStart w:id="8" w:name="_Toc16938527"/>
      <w:bookmarkStart w:id="9" w:name="_Toc462564070"/>
      <w:bookmarkStart w:id="10" w:name="_Toc513029211"/>
      <w:r>
        <w:rPr>
          <w:rFonts w:hint="eastAsia" w:asciiTheme="minorEastAsia" w:hAnsiTheme="minorEastAsia" w:cstheme="minorEastAsia"/>
          <w:sz w:val="24"/>
        </w:rPr>
        <w:t>2、比选文件的澄清</w:t>
      </w:r>
      <w:bookmarkEnd w:id="7"/>
      <w:bookmarkEnd w:id="8"/>
      <w:bookmarkEnd w:id="9"/>
      <w:bookmarkEnd w:id="10"/>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2.1任何要求对比选文件进行澄清的参选人，应</w:t>
      </w:r>
      <w:r>
        <w:rPr>
          <w:rFonts w:hint="eastAsia" w:asciiTheme="minorEastAsia" w:hAnsiTheme="minorEastAsia" w:cstheme="minorEastAsia"/>
          <w:color w:val="auto"/>
          <w:sz w:val="24"/>
        </w:rPr>
        <w:t>于202</w:t>
      </w:r>
      <w:r>
        <w:rPr>
          <w:rFonts w:asciiTheme="minorEastAsia" w:hAnsiTheme="minorEastAsia" w:cstheme="minorEastAsia"/>
          <w:color w:val="auto"/>
          <w:sz w:val="24"/>
        </w:rPr>
        <w:t>3</w:t>
      </w:r>
      <w:r>
        <w:rPr>
          <w:rFonts w:hint="eastAsia" w:asciiTheme="minorEastAsia" w:hAnsiTheme="minorEastAsia" w:cstheme="minorEastAsia"/>
          <w:color w:val="auto"/>
          <w:sz w:val="24"/>
        </w:rPr>
        <w:t>年</w:t>
      </w:r>
      <w:r>
        <w:rPr>
          <w:rFonts w:hint="eastAsia" w:asciiTheme="minorEastAsia" w:hAnsiTheme="minorEastAsia" w:cstheme="minorEastAsia"/>
          <w:color w:val="auto"/>
          <w:sz w:val="24"/>
          <w:lang w:val="en-US" w:eastAsia="zh-CN"/>
        </w:rPr>
        <w:t>12</w:t>
      </w:r>
      <w:r>
        <w:rPr>
          <w:rFonts w:hint="eastAsia" w:asciiTheme="minorEastAsia" w:hAnsiTheme="minorEastAsia" w:cstheme="minorEastAsia"/>
          <w:color w:val="auto"/>
          <w:sz w:val="24"/>
        </w:rPr>
        <w:t>月</w:t>
      </w:r>
      <w:r>
        <w:rPr>
          <w:rFonts w:hint="eastAsia" w:asciiTheme="minorEastAsia" w:hAnsiTheme="minorEastAsia" w:cstheme="minorEastAsia"/>
          <w:color w:val="auto"/>
          <w:sz w:val="24"/>
          <w:lang w:val="en-US" w:eastAsia="zh-CN"/>
        </w:rPr>
        <w:t>21</w:t>
      </w:r>
      <w:r>
        <w:rPr>
          <w:rFonts w:hint="eastAsia" w:asciiTheme="minorEastAsia" w:hAnsiTheme="minorEastAsia" w:cstheme="minorEastAsia"/>
          <w:color w:val="auto"/>
          <w:sz w:val="24"/>
        </w:rPr>
        <w:t>日</w:t>
      </w:r>
      <w:r>
        <w:rPr>
          <w:rFonts w:hint="eastAsia" w:asciiTheme="minorEastAsia" w:hAnsiTheme="minorEastAsia" w:cstheme="minorEastAsia"/>
          <w:sz w:val="24"/>
        </w:rPr>
        <w:t>17:30之前以邮件形式发送至如下邮箱1010491310@qq.com。</w:t>
      </w:r>
    </w:p>
    <w:p>
      <w:pPr>
        <w:adjustRightInd w:val="0"/>
        <w:snapToGrid w:val="0"/>
        <w:spacing w:line="360" w:lineRule="auto"/>
        <w:ind w:firstLine="480" w:firstLineChars="200"/>
        <w:rPr>
          <w:rFonts w:asciiTheme="minorEastAsia" w:hAnsiTheme="minorEastAsia" w:cstheme="minorEastAsia"/>
          <w:sz w:val="24"/>
        </w:rPr>
      </w:pPr>
      <w:bookmarkStart w:id="11" w:name="_Toc513029212"/>
      <w:bookmarkStart w:id="12" w:name="_Toc20823284"/>
      <w:bookmarkStart w:id="13" w:name="_Toc462564071"/>
      <w:bookmarkStart w:id="14" w:name="_Toc16938528"/>
      <w:r>
        <w:rPr>
          <w:rFonts w:hint="eastAsia" w:asciiTheme="minorEastAsia" w:hAnsiTheme="minorEastAsia" w:cstheme="minorEastAsia"/>
          <w:sz w:val="24"/>
        </w:rPr>
        <w:t>3、比选文件的修改</w:t>
      </w:r>
      <w:bookmarkEnd w:id="11"/>
      <w:bookmarkEnd w:id="12"/>
      <w:bookmarkEnd w:id="13"/>
      <w:bookmarkEnd w:id="14"/>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 在投标截止时间前，比选人可以对比选文件进行修改。</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3.2 比选人有权按照法定的要求推迟投标截止日期和开标日期。</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3.3 比选文件的修改将作为比选文件的组成部分，并对参选人具有约束力。</w:t>
      </w:r>
    </w:p>
    <w:p>
      <w:pPr>
        <w:adjustRightInd w:val="0"/>
        <w:snapToGrid w:val="0"/>
        <w:spacing w:line="360" w:lineRule="auto"/>
        <w:ind w:firstLine="482" w:firstLineChars="200"/>
        <w:rPr>
          <w:rFonts w:asciiTheme="minorEastAsia" w:hAnsiTheme="minorEastAsia" w:cstheme="minorEastAsia"/>
          <w:b/>
          <w:bCs/>
          <w:sz w:val="24"/>
        </w:rPr>
      </w:pPr>
      <w:bookmarkStart w:id="15" w:name="_Toc513029213"/>
      <w:bookmarkStart w:id="16" w:name="_Toc462564072"/>
      <w:bookmarkStart w:id="17" w:name="_Toc120614216"/>
      <w:bookmarkStart w:id="18" w:name="_Toc20823285"/>
      <w:bookmarkStart w:id="19" w:name="_Toc16938529"/>
      <w:r>
        <w:rPr>
          <w:rFonts w:hint="eastAsia" w:asciiTheme="minorEastAsia" w:hAnsiTheme="minorEastAsia" w:cstheme="minorEastAsia"/>
          <w:b/>
          <w:bCs/>
          <w:sz w:val="24"/>
        </w:rPr>
        <w:t>二、参选文件的编制</w:t>
      </w:r>
      <w:bookmarkEnd w:id="15"/>
      <w:bookmarkEnd w:id="16"/>
      <w:bookmarkEnd w:id="17"/>
      <w:bookmarkEnd w:id="18"/>
      <w:bookmarkEnd w:id="19"/>
    </w:p>
    <w:p>
      <w:pPr>
        <w:adjustRightInd w:val="0"/>
        <w:snapToGrid w:val="0"/>
        <w:spacing w:line="360" w:lineRule="auto"/>
        <w:ind w:firstLine="480" w:firstLineChars="200"/>
        <w:rPr>
          <w:rFonts w:asciiTheme="minorEastAsia" w:hAnsiTheme="minorEastAsia" w:cstheme="minorEastAsia"/>
          <w:sz w:val="24"/>
        </w:rPr>
      </w:pPr>
      <w:bookmarkStart w:id="20" w:name="_Toc513029214"/>
      <w:bookmarkStart w:id="21" w:name="_Toc20823286"/>
      <w:bookmarkStart w:id="22" w:name="_Toc462564073"/>
      <w:bookmarkStart w:id="23" w:name="_Toc16938530"/>
      <w:r>
        <w:rPr>
          <w:rFonts w:hint="eastAsia" w:asciiTheme="minorEastAsia" w:hAnsiTheme="minorEastAsia" w:cstheme="minorEastAsia"/>
          <w:sz w:val="24"/>
        </w:rPr>
        <w:t>1、参选文件的语言及度量衡单位</w:t>
      </w:r>
      <w:bookmarkEnd w:id="20"/>
      <w:bookmarkEnd w:id="21"/>
      <w:bookmarkEnd w:id="22"/>
      <w:bookmarkEnd w:id="23"/>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 参选人提交的参选文件以及参选人与比选人就有关比选的所有来往通知、函件和文件均应使用简体中文。</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 除技术性能另有规定外，参选文件所使用的度量衡单位，均须采用国家法定计量单位。</w:t>
      </w:r>
    </w:p>
    <w:p>
      <w:pPr>
        <w:adjustRightInd w:val="0"/>
        <w:snapToGrid w:val="0"/>
        <w:spacing w:line="360" w:lineRule="auto"/>
        <w:ind w:firstLine="480" w:firstLineChars="200"/>
        <w:rPr>
          <w:rFonts w:asciiTheme="minorEastAsia" w:hAnsiTheme="minorEastAsia" w:cstheme="minorEastAsia"/>
          <w:sz w:val="24"/>
        </w:rPr>
      </w:pPr>
      <w:bookmarkStart w:id="24" w:name="_Hlt26670360"/>
      <w:bookmarkEnd w:id="24"/>
      <w:bookmarkStart w:id="25" w:name="_Hlt26954838"/>
      <w:bookmarkEnd w:id="25"/>
      <w:bookmarkStart w:id="26" w:name="_Hlt26668975"/>
      <w:bookmarkEnd w:id="26"/>
      <w:bookmarkStart w:id="27" w:name="_Toc49090511"/>
      <w:bookmarkStart w:id="28" w:name="_Toc14577360"/>
      <w:r>
        <w:rPr>
          <w:rFonts w:hint="eastAsia" w:asciiTheme="minorEastAsia" w:hAnsiTheme="minorEastAsia" w:cstheme="minorEastAsia"/>
          <w:sz w:val="24"/>
        </w:rPr>
        <w:t>2、参选文件要求</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2.1参选文件组成</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2.1.1资格审查部分</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（1）法定代表人身份证明书或授权委托书；</w:t>
      </w:r>
    </w:p>
    <w:p>
      <w:pPr>
        <w:pStyle w:val="8"/>
        <w:adjustRightInd w:val="0"/>
        <w:snapToGrid w:val="0"/>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cstheme="minorEastAsia"/>
          <w:kern w:val="2"/>
          <w:szCs w:val="24"/>
        </w:rPr>
        <w:t>（2）提供有效的营业执照复印件（扫描件）并加盖公章</w:t>
      </w:r>
      <w:r>
        <w:rPr>
          <w:rFonts w:hint="eastAsia" w:asciiTheme="minorEastAsia" w:hAnsiTheme="minorEastAsia" w:cstheme="minorEastAsia"/>
          <w:kern w:val="2"/>
          <w:szCs w:val="24"/>
          <w:lang w:eastAsia="zh-CN"/>
        </w:rPr>
        <w:t>；</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w:t>
      </w:r>
      <w:r>
        <w:rPr>
          <w:rFonts w:hint="eastAsia" w:ascii="宋体" w:hAnsi="宋体" w:eastAsiaTheme="minorEastAsia" w:cstheme="minorBidi"/>
          <w:sz w:val="24"/>
          <w:szCs w:val="24"/>
        </w:rPr>
        <w:t>供应商符合国家规定的消防技术服务机构的从业条件，供应商在社会消防技术服务信息系统（</w:t>
      </w:r>
      <w:r>
        <w:rPr>
          <w:rFonts w:ascii="宋体" w:hAnsi="宋体" w:eastAsiaTheme="minorEastAsia" w:cstheme="minorBidi"/>
          <w:sz w:val="24"/>
          <w:szCs w:val="24"/>
        </w:rPr>
        <w:t>https://shhxf.119.gov.cn/templet/index_7.jsp</w:t>
      </w:r>
      <w:r>
        <w:rPr>
          <w:rFonts w:hint="eastAsia" w:ascii="宋体" w:hAnsi="宋体" w:eastAsiaTheme="minorEastAsia" w:cstheme="minorBidi"/>
          <w:sz w:val="24"/>
          <w:szCs w:val="24"/>
        </w:rPr>
        <w:t>）中本单位基本信息已满足要求（单位类型为消防设施维护保养检测）的截图证明</w:t>
      </w:r>
      <w:r>
        <w:rPr>
          <w:rFonts w:hint="eastAsia" w:asciiTheme="minorEastAsia" w:hAnsiTheme="minorEastAsia" w:cstheme="minorEastAsia"/>
          <w:kern w:val="2"/>
          <w:szCs w:val="24"/>
        </w:rPr>
        <w:t>；</w:t>
      </w:r>
    </w:p>
    <w:p>
      <w:pPr>
        <w:pStyle w:val="8"/>
        <w:adjustRightInd w:val="0"/>
        <w:snapToGrid w:val="0"/>
        <w:ind w:firstLine="480" w:firstLineChars="200"/>
        <w:rPr>
          <w:rFonts w:hint="eastAsia" w:asciiTheme="minorEastAsia" w:hAnsiTheme="minorEastAsia" w:eastAsiaTheme="minorEastAsia" w:cstheme="minorEastAsia"/>
          <w:kern w:val="2"/>
          <w:szCs w:val="24"/>
          <w:lang w:eastAsia="zh-CN"/>
        </w:rPr>
      </w:pPr>
      <w:r>
        <w:rPr>
          <w:rFonts w:hint="eastAsia" w:asciiTheme="minorEastAsia" w:hAnsiTheme="minorEastAsia" w:cstheme="minorEastAsia"/>
          <w:kern w:val="2"/>
          <w:szCs w:val="24"/>
        </w:rPr>
        <w:t>（4）拟派项目负责人需具有有效的二级及以上注册消防工程师，证书需注册在</w:t>
      </w:r>
      <w:r>
        <w:rPr>
          <w:rFonts w:hint="eastAsia" w:asciiTheme="minorEastAsia" w:hAnsiTheme="minorEastAsia" w:cstheme="minorEastAsia"/>
          <w:kern w:val="2"/>
          <w:szCs w:val="24"/>
          <w:lang w:val="en-US" w:eastAsia="zh-CN"/>
        </w:rPr>
        <w:t>参选</w:t>
      </w:r>
      <w:r>
        <w:rPr>
          <w:rFonts w:hint="eastAsia" w:asciiTheme="minorEastAsia" w:hAnsiTheme="minorEastAsia" w:cstheme="minorEastAsia"/>
          <w:kern w:val="2"/>
          <w:szCs w:val="24"/>
        </w:rPr>
        <w:t>单位</w:t>
      </w:r>
      <w:r>
        <w:rPr>
          <w:rFonts w:hint="eastAsia" w:ascii="宋体" w:hAnsi="宋体" w:cs="宋体"/>
          <w:color w:val="000000"/>
          <w:sz w:val="24"/>
          <w:szCs w:val="24"/>
          <w:lang w:eastAsia="zh-CN"/>
        </w:rPr>
        <w:t>；</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（5）参选人认为需要提供的其他材料。</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2.1.2技术标文件</w:t>
      </w:r>
    </w:p>
    <w:p>
      <w:pPr>
        <w:pStyle w:val="8"/>
        <w:adjustRightInd w:val="0"/>
        <w:snapToGrid w:val="0"/>
        <w:ind w:firstLine="480" w:firstLineChars="200"/>
        <w:rPr>
          <w:rFonts w:hint="eastAsia" w:asciiTheme="minorEastAsia" w:hAnsiTheme="minorEastAsia" w:cstheme="minorEastAsia"/>
          <w:kern w:val="2"/>
          <w:szCs w:val="24"/>
          <w:lang w:val="en-US" w:eastAsia="zh-CN"/>
        </w:rPr>
      </w:pPr>
      <w:r>
        <w:rPr>
          <w:rFonts w:hint="eastAsia" w:asciiTheme="minorEastAsia" w:hAnsiTheme="minorEastAsia" w:cstheme="minorEastAsia"/>
          <w:kern w:val="2"/>
          <w:szCs w:val="24"/>
          <w:lang w:val="en-US" w:eastAsia="zh-CN"/>
        </w:rPr>
        <w:t>（1）技术比选响应函；</w:t>
      </w:r>
    </w:p>
    <w:p>
      <w:pPr>
        <w:pStyle w:val="8"/>
        <w:adjustRightInd w:val="0"/>
        <w:snapToGrid w:val="0"/>
        <w:ind w:firstLine="480" w:firstLineChars="200"/>
        <w:rPr>
          <w:rFonts w:hint="eastAsia" w:asciiTheme="minorEastAsia" w:hAnsiTheme="minorEastAsia" w:eastAsiaTheme="minorEastAsia" w:cstheme="minorEastAsia"/>
          <w:kern w:val="2"/>
          <w:szCs w:val="24"/>
          <w:lang w:val="en-US" w:eastAsia="zh-CN"/>
        </w:rPr>
      </w:pPr>
      <w:r>
        <w:rPr>
          <w:rFonts w:hint="eastAsia" w:asciiTheme="minorEastAsia" w:hAnsiTheme="minorEastAsia" w:cstheme="minorEastAsia"/>
          <w:kern w:val="2"/>
          <w:szCs w:val="24"/>
          <w:lang w:val="en-US" w:eastAsia="zh-CN"/>
        </w:rPr>
        <w:t>（2）</w:t>
      </w:r>
      <w:r>
        <w:rPr>
          <w:rFonts w:hint="eastAsia" w:asciiTheme="minorEastAsia" w:hAnsiTheme="minorEastAsia" w:cstheme="minorEastAsia"/>
          <w:kern w:val="2"/>
          <w:szCs w:val="24"/>
        </w:rPr>
        <w:t>消防设施维护保养检测设备配备对照检查表</w:t>
      </w:r>
      <w:r>
        <w:rPr>
          <w:rFonts w:hint="eastAsia" w:asciiTheme="minorEastAsia" w:hAnsiTheme="minorEastAsia" w:cstheme="minorEastAsia"/>
          <w:kern w:val="2"/>
          <w:szCs w:val="24"/>
          <w:lang w:eastAsia="zh-CN"/>
        </w:rPr>
        <w:t>；</w:t>
      </w:r>
    </w:p>
    <w:p>
      <w:pPr>
        <w:pStyle w:val="8"/>
        <w:adjustRightInd w:val="0"/>
        <w:snapToGrid w:val="0"/>
        <w:ind w:firstLine="480" w:firstLineChars="200"/>
        <w:rPr>
          <w:rFonts w:hint="eastAsia" w:asciiTheme="minorEastAsia" w:hAnsiTheme="minorEastAsia" w:cstheme="minorEastAsia"/>
          <w:kern w:val="2"/>
          <w:szCs w:val="24"/>
          <w:lang w:val="en-US" w:eastAsia="zh-CN"/>
        </w:rPr>
      </w:pPr>
      <w:r>
        <w:rPr>
          <w:rFonts w:hint="eastAsia" w:asciiTheme="minorEastAsia" w:hAnsiTheme="minorEastAsia" w:cstheme="minorEastAsia"/>
          <w:kern w:val="2"/>
          <w:szCs w:val="24"/>
          <w:lang w:val="en-US" w:eastAsia="zh-CN"/>
        </w:rPr>
        <w:t>（3）根据第三章</w:t>
      </w:r>
      <w:r>
        <w:rPr>
          <w:rFonts w:hint="eastAsia" w:asciiTheme="minorEastAsia" w:hAnsiTheme="minorEastAsia" w:cstheme="minorEastAsia"/>
          <w:kern w:val="2"/>
          <w:szCs w:val="24"/>
        </w:rPr>
        <w:t>技术标评审</w:t>
      </w:r>
      <w:r>
        <w:rPr>
          <w:rFonts w:hint="eastAsia" w:asciiTheme="minorEastAsia" w:hAnsiTheme="minorEastAsia" w:cstheme="minorEastAsia"/>
          <w:kern w:val="2"/>
          <w:szCs w:val="24"/>
          <w:lang w:val="en-US" w:eastAsia="zh-CN"/>
        </w:rPr>
        <w:t>细则提供。</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2.1.3商务标文件</w:t>
      </w:r>
    </w:p>
    <w:p>
      <w:pPr>
        <w:pStyle w:val="8"/>
        <w:numPr>
          <w:ilvl w:val="0"/>
          <w:numId w:val="2"/>
        </w:numPr>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报价响应函</w:t>
      </w:r>
    </w:p>
    <w:p>
      <w:pPr>
        <w:pStyle w:val="8"/>
        <w:numPr>
          <w:ilvl w:val="0"/>
          <w:numId w:val="2"/>
        </w:numPr>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报价表（详见第四章）</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2.2参选文件装订及份数</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参选文件分册装订，第一册为“资格审查文件”、第二册为“技术标”、第三册为“商务标文件”。所有文件正本1份，副本4份。所有参选文件不予退还。正本与副本不一致的以正本为准。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3、投标有效期</w:t>
      </w:r>
      <w:bookmarkEnd w:id="27"/>
      <w:bookmarkEnd w:id="28"/>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3.1投标有效期为比选人规定的开标之日后45天。投标有效期比规定短的将被视为非响应性投标而予以拒绝。</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4、投标有效期的延长</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在特殊情况下，比选人于原投标有效期满之前，可向参选人提出延长投标有效期的要求。这种要求与答复均应采用书面形式。参选人可以拒绝比选人的这一要求而放弃投标，同意延长投标有效期的参选人既不能要求也不允许修改其参选文件。受投标有效期约束的所有权利与义务均延长至新的有效期。</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三、参选文件的递交</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1、文件递交方式：直接送达。</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2、参选文件递交截止时间及地点：</w:t>
      </w:r>
      <w:r>
        <w:rPr>
          <w:rFonts w:hint="eastAsia" w:ascii="宋体" w:hAnsi="宋体" w:cs="宋体"/>
          <w:color w:val="auto"/>
          <w:kern w:val="2"/>
          <w:szCs w:val="24"/>
        </w:rPr>
        <w:t>202</w:t>
      </w:r>
      <w:r>
        <w:rPr>
          <w:rFonts w:ascii="宋体" w:hAnsi="宋体" w:cs="宋体"/>
          <w:color w:val="auto"/>
          <w:kern w:val="2"/>
          <w:szCs w:val="24"/>
        </w:rPr>
        <w:t>3</w:t>
      </w:r>
      <w:r>
        <w:rPr>
          <w:rFonts w:hint="eastAsia" w:ascii="宋体" w:hAnsi="宋体" w:cs="宋体"/>
          <w:color w:val="auto"/>
          <w:kern w:val="2"/>
          <w:szCs w:val="24"/>
        </w:rPr>
        <w:t>年</w:t>
      </w:r>
      <w:r>
        <w:rPr>
          <w:rFonts w:hint="eastAsia" w:hAnsi="宋体" w:cs="宋体"/>
          <w:color w:val="auto"/>
          <w:kern w:val="2"/>
          <w:szCs w:val="24"/>
          <w:lang w:val="en-US" w:eastAsia="zh-CN"/>
        </w:rPr>
        <w:t>12</w:t>
      </w:r>
      <w:r>
        <w:rPr>
          <w:rFonts w:hint="eastAsia" w:ascii="宋体" w:hAnsi="宋体" w:cs="宋体"/>
          <w:color w:val="auto"/>
          <w:kern w:val="2"/>
          <w:szCs w:val="24"/>
        </w:rPr>
        <w:t>月</w:t>
      </w:r>
      <w:r>
        <w:rPr>
          <w:rFonts w:hint="eastAsia" w:hAnsi="宋体" w:cs="宋体"/>
          <w:color w:val="auto"/>
          <w:kern w:val="2"/>
          <w:szCs w:val="24"/>
          <w:lang w:val="en-US" w:eastAsia="zh-CN"/>
        </w:rPr>
        <w:t>25</w:t>
      </w:r>
      <w:r>
        <w:rPr>
          <w:rFonts w:hint="eastAsia" w:ascii="宋体" w:hAnsi="宋体" w:cs="宋体"/>
          <w:color w:val="auto"/>
          <w:kern w:val="2"/>
          <w:szCs w:val="24"/>
        </w:rPr>
        <w:t>日</w:t>
      </w:r>
      <w:r>
        <w:rPr>
          <w:rFonts w:hint="eastAsia" w:hAnsi="宋体" w:cs="宋体"/>
          <w:color w:val="auto"/>
          <w:kern w:val="2"/>
          <w:szCs w:val="24"/>
          <w:lang w:val="en-US" w:eastAsia="zh-CN"/>
        </w:rPr>
        <w:t>14</w:t>
      </w:r>
      <w:r>
        <w:rPr>
          <w:rFonts w:hint="eastAsia" w:ascii="宋体" w:hAnsi="宋体" w:cs="宋体"/>
          <w:color w:val="auto"/>
          <w:kern w:val="2"/>
          <w:szCs w:val="24"/>
        </w:rPr>
        <w:t>点</w:t>
      </w:r>
      <w:r>
        <w:rPr>
          <w:rFonts w:hint="eastAsia" w:hAnsi="宋体" w:cs="宋体"/>
          <w:kern w:val="2"/>
          <w:szCs w:val="24"/>
          <w:lang w:val="en-US" w:eastAsia="zh-CN"/>
        </w:rPr>
        <w:t>30</w:t>
      </w:r>
      <w:r>
        <w:rPr>
          <w:rFonts w:hint="eastAsia" w:ascii="宋体" w:hAnsi="宋体" w:cs="宋体"/>
          <w:kern w:val="2"/>
          <w:szCs w:val="24"/>
        </w:rPr>
        <w:t>分</w:t>
      </w:r>
      <w:r>
        <w:rPr>
          <w:rFonts w:hint="eastAsia" w:asciiTheme="minorEastAsia" w:hAnsiTheme="minorEastAsia" w:cstheme="minorEastAsia"/>
          <w:kern w:val="2"/>
          <w:szCs w:val="24"/>
        </w:rPr>
        <w:t>前；</w:t>
      </w:r>
      <w:r>
        <w:rPr>
          <w:rFonts w:hint="eastAsia" w:asciiTheme="minorEastAsia" w:hAnsiTheme="minorEastAsia" w:cstheme="minorEastAsia"/>
          <w:szCs w:val="24"/>
          <w:shd w:val="clear" w:color="auto" w:fill="FFFFFF"/>
        </w:rPr>
        <w:t>南通市崇川区石桥路3</w:t>
      </w:r>
      <w:r>
        <w:rPr>
          <w:rFonts w:asciiTheme="minorEastAsia" w:hAnsiTheme="minorEastAsia" w:cstheme="minorEastAsia"/>
          <w:szCs w:val="24"/>
          <w:shd w:val="clear" w:color="auto" w:fill="FFFFFF"/>
        </w:rPr>
        <w:t>33</w:t>
      </w:r>
      <w:r>
        <w:rPr>
          <w:rFonts w:hint="eastAsia" w:asciiTheme="minorEastAsia" w:hAnsiTheme="minorEastAsia" w:cstheme="minorEastAsia"/>
          <w:szCs w:val="24"/>
          <w:shd w:val="clear" w:color="auto" w:fill="FFFFFF"/>
        </w:rPr>
        <w:t>号南通市保安服务有限公司6楼会议室2。</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3、参选文件截止时间：参选文件必须在规定的接收截止时间前送至</w:t>
      </w:r>
      <w:r>
        <w:rPr>
          <w:rFonts w:hint="eastAsia" w:asciiTheme="minorEastAsia" w:hAnsiTheme="minorEastAsia" w:cstheme="minorEastAsia"/>
          <w:kern w:val="2"/>
          <w:szCs w:val="24"/>
          <w:lang w:val="en-US" w:eastAsia="zh-CN"/>
        </w:rPr>
        <w:t>指定地点</w:t>
      </w:r>
      <w:r>
        <w:rPr>
          <w:rFonts w:hint="eastAsia" w:asciiTheme="minorEastAsia" w:hAnsiTheme="minorEastAsia" w:cstheme="minorEastAsia"/>
          <w:kern w:val="2"/>
          <w:szCs w:val="24"/>
          <w:lang w:eastAsia="zh-CN"/>
        </w:rPr>
        <w:t>，</w:t>
      </w:r>
      <w:r>
        <w:rPr>
          <w:rFonts w:hint="eastAsia" w:asciiTheme="minorEastAsia" w:hAnsiTheme="minorEastAsia" w:cstheme="minorEastAsia"/>
          <w:kern w:val="2"/>
          <w:szCs w:val="24"/>
        </w:rPr>
        <w:t>比选人或代理机构将拒绝接收在截止时间后递交的文件。</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四、评标及中选通知</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1、开标时间：</w:t>
      </w:r>
      <w:r>
        <w:rPr>
          <w:rFonts w:hint="eastAsia" w:ascii="宋体" w:hAnsi="宋体" w:cs="宋体"/>
          <w:color w:val="auto"/>
          <w:kern w:val="2"/>
          <w:szCs w:val="24"/>
        </w:rPr>
        <w:t>202</w:t>
      </w:r>
      <w:r>
        <w:rPr>
          <w:rFonts w:ascii="宋体" w:hAnsi="宋体" w:cs="宋体"/>
          <w:color w:val="auto"/>
          <w:kern w:val="2"/>
          <w:szCs w:val="24"/>
        </w:rPr>
        <w:t>3</w:t>
      </w:r>
      <w:r>
        <w:rPr>
          <w:rFonts w:hint="eastAsia" w:ascii="宋体" w:hAnsi="宋体" w:cs="宋体"/>
          <w:color w:val="auto"/>
          <w:kern w:val="2"/>
          <w:szCs w:val="24"/>
        </w:rPr>
        <w:t>年</w:t>
      </w:r>
      <w:r>
        <w:rPr>
          <w:rFonts w:hint="eastAsia" w:hAnsi="宋体" w:cs="宋体"/>
          <w:color w:val="auto"/>
          <w:kern w:val="2"/>
          <w:szCs w:val="24"/>
          <w:lang w:val="en-US" w:eastAsia="zh-CN"/>
        </w:rPr>
        <w:t>12</w:t>
      </w:r>
      <w:r>
        <w:rPr>
          <w:rFonts w:hint="eastAsia" w:ascii="宋体" w:hAnsi="宋体" w:cs="宋体"/>
          <w:color w:val="auto"/>
          <w:kern w:val="2"/>
          <w:szCs w:val="24"/>
        </w:rPr>
        <w:t>月</w:t>
      </w:r>
      <w:r>
        <w:rPr>
          <w:rFonts w:hint="eastAsia" w:hAnsi="宋体" w:cs="宋体"/>
          <w:color w:val="auto"/>
          <w:kern w:val="2"/>
          <w:szCs w:val="24"/>
          <w:lang w:val="en-US" w:eastAsia="zh-CN"/>
        </w:rPr>
        <w:t>25</w:t>
      </w:r>
      <w:r>
        <w:rPr>
          <w:rFonts w:hint="eastAsia" w:ascii="宋体" w:hAnsi="宋体" w:cs="宋体"/>
          <w:color w:val="auto"/>
          <w:kern w:val="2"/>
          <w:szCs w:val="24"/>
        </w:rPr>
        <w:t>日</w:t>
      </w:r>
      <w:r>
        <w:rPr>
          <w:rFonts w:hint="eastAsia" w:hAnsi="宋体" w:cs="宋体"/>
          <w:color w:val="auto"/>
          <w:kern w:val="2"/>
          <w:szCs w:val="24"/>
          <w:lang w:val="en-US" w:eastAsia="zh-CN"/>
        </w:rPr>
        <w:t>14</w:t>
      </w:r>
      <w:r>
        <w:rPr>
          <w:rFonts w:hint="eastAsia" w:ascii="宋体" w:hAnsi="宋体" w:cs="宋体"/>
          <w:color w:val="auto"/>
          <w:kern w:val="2"/>
          <w:szCs w:val="24"/>
        </w:rPr>
        <w:t>点</w:t>
      </w:r>
      <w:r>
        <w:rPr>
          <w:rFonts w:hint="eastAsia" w:hAnsi="宋体" w:cs="宋体"/>
          <w:kern w:val="2"/>
          <w:szCs w:val="24"/>
          <w:lang w:val="en-US" w:eastAsia="zh-CN"/>
        </w:rPr>
        <w:t>30</w:t>
      </w:r>
      <w:r>
        <w:rPr>
          <w:rFonts w:hint="eastAsia" w:ascii="宋体" w:hAnsi="宋体" w:cs="宋体"/>
          <w:kern w:val="2"/>
          <w:szCs w:val="24"/>
        </w:rPr>
        <w:t>分</w:t>
      </w:r>
      <w:r>
        <w:rPr>
          <w:rFonts w:hint="eastAsia" w:asciiTheme="minorEastAsia" w:hAnsiTheme="minorEastAsia" w:cstheme="minorEastAsia"/>
          <w:kern w:val="2"/>
          <w:szCs w:val="24"/>
        </w:rPr>
        <w:t>，如有变动，另行通知。</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2、开标地点：</w:t>
      </w:r>
      <w:r>
        <w:rPr>
          <w:rFonts w:hint="eastAsia" w:asciiTheme="minorEastAsia" w:hAnsiTheme="minorEastAsia" w:cstheme="minorEastAsia"/>
          <w:b/>
          <w:bCs/>
          <w:szCs w:val="24"/>
          <w:u w:val="single"/>
          <w:shd w:val="clear" w:color="auto" w:fill="FFFFFF"/>
        </w:rPr>
        <w:t>南通市崇川区石桥路3</w:t>
      </w:r>
      <w:r>
        <w:rPr>
          <w:rFonts w:asciiTheme="minorEastAsia" w:hAnsiTheme="minorEastAsia" w:cstheme="minorEastAsia"/>
          <w:b/>
          <w:bCs/>
          <w:szCs w:val="24"/>
          <w:u w:val="single"/>
          <w:shd w:val="clear" w:color="auto" w:fill="FFFFFF"/>
        </w:rPr>
        <w:t>33</w:t>
      </w:r>
      <w:r>
        <w:rPr>
          <w:rFonts w:hint="eastAsia" w:asciiTheme="minorEastAsia" w:hAnsiTheme="minorEastAsia" w:cstheme="minorEastAsia"/>
          <w:b/>
          <w:bCs/>
          <w:szCs w:val="24"/>
          <w:u w:val="single"/>
          <w:shd w:val="clear" w:color="auto" w:fill="FFFFFF"/>
        </w:rPr>
        <w:t>号南通市保安服务有限公司6楼会议室2</w:t>
      </w:r>
      <w:r>
        <w:rPr>
          <w:rFonts w:hint="eastAsia" w:asciiTheme="minorEastAsia" w:hAnsiTheme="minorEastAsia" w:cstheme="minorEastAsia"/>
          <w:kern w:val="2"/>
          <w:szCs w:val="24"/>
        </w:rPr>
        <w:t>。</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3、中选通知书一经发出，即具有法律效力。比选人、中选人依法承担法律责任。</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4、本项目解释权在比选人，比选人无需向落选参选人解释任何理由。</w:t>
      </w:r>
    </w:p>
    <w:p>
      <w:pPr>
        <w:pStyle w:val="9"/>
        <w:spacing w:line="360" w:lineRule="auto"/>
        <w:ind w:firstLine="482" w:firstLineChars="200"/>
        <w:rPr>
          <w:rFonts w:hint="default" w:asciiTheme="minorEastAsia" w:hAnsiTheme="minorEastAsia" w:eastAsiaTheme="minorEastAsia" w:cstheme="minorEastAsia"/>
          <w:b/>
          <w:bCs/>
          <w:kern w:val="2"/>
          <w:sz w:val="24"/>
          <w:szCs w:val="24"/>
          <w:lang w:val="en-US" w:eastAsia="zh-CN" w:bidi="ar-SA"/>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480" w:firstLineChars="200"/>
        <w:rPr>
          <w:rFonts w:asciiTheme="minorEastAsia" w:hAnsiTheme="minorEastAsia" w:eastAsiaTheme="minorEastAsia" w:cstheme="minorEastAsia"/>
          <w:sz w:val="24"/>
        </w:rPr>
      </w:pPr>
    </w:p>
    <w:p>
      <w:pPr>
        <w:pStyle w:val="9"/>
        <w:spacing w:line="360" w:lineRule="auto"/>
        <w:ind w:firstLine="643" w:firstLineChars="2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kern w:val="2"/>
          <w:sz w:val="32"/>
          <w:szCs w:val="32"/>
          <w:lang w:val="en-US" w:eastAsia="zh-CN" w:bidi="ar-SA"/>
        </w:rPr>
        <w:t>第三章 项目需求</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sz w:val="24"/>
          <w:szCs w:val="24"/>
        </w:rPr>
      </w:pPr>
      <w:r>
        <w:rPr>
          <w:rFonts w:hint="eastAsia" w:ascii="宋体" w:hAnsi="宋体" w:cs="宋体"/>
          <w:b/>
          <w:sz w:val="28"/>
          <w:szCs w:val="28"/>
        </w:rPr>
        <w:t>一</w:t>
      </w:r>
      <w:r>
        <w:rPr>
          <w:rFonts w:hint="eastAsia" w:asciiTheme="minorEastAsia" w:hAnsiTheme="minorEastAsia" w:eastAsiaTheme="minorEastAsia" w:cstheme="minorEastAsia"/>
          <w:b/>
          <w:sz w:val="24"/>
          <w:szCs w:val="24"/>
        </w:rPr>
        <w:t>、项目概况</w:t>
      </w:r>
    </w:p>
    <w:p>
      <w:pPr>
        <w:pStyle w:val="2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南通市保安服务有限公司，建筑面积</w:t>
      </w:r>
      <w:r>
        <w:rPr>
          <w:rFonts w:hint="eastAsia" w:asciiTheme="minorEastAsia" w:hAnsiTheme="minorEastAsia" w:eastAsiaTheme="minorEastAsia" w:cstheme="minorEastAsia"/>
          <w:kern w:val="0"/>
          <w:sz w:val="24"/>
          <w:szCs w:val="24"/>
          <w:lang w:val="en-US" w:eastAsia="zh-CN"/>
        </w:rPr>
        <w:t>52391.28</w:t>
      </w:r>
      <w:r>
        <w:rPr>
          <w:rFonts w:hint="eastAsia" w:asciiTheme="minorEastAsia" w:hAnsiTheme="minorEastAsia" w:eastAsiaTheme="minorEastAsia" w:cstheme="minorEastAsia"/>
          <w:kern w:val="0"/>
          <w:sz w:val="24"/>
          <w:szCs w:val="24"/>
          <w:lang w:val="zh-CN"/>
        </w:rPr>
        <w:t>平方米，</w:t>
      </w:r>
      <w:r>
        <w:rPr>
          <w:rFonts w:hint="eastAsia" w:asciiTheme="minorEastAsia" w:hAnsiTheme="minorEastAsia" w:eastAsiaTheme="minorEastAsia" w:cstheme="minorEastAsia"/>
          <w:kern w:val="0"/>
          <w:sz w:val="24"/>
          <w:szCs w:val="24"/>
        </w:rPr>
        <w:t>包括1号楼（业务库档案库）、2号楼（办公楼）、3号楼（档案库）、变配电房、门卫房等。</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消防维保项目主要内容：火灾自动报警系统、消火栓系统、自动喷水灭火系统、气体灭火设施、防排烟系统、应急照明和疏散指示标志的维护保养。</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主要设备清单如下：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180"/>
        <w:gridCol w:w="1365"/>
        <w:gridCol w:w="153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序 号</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设备名称</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单  位</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数  量</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点型感</w:t>
            </w:r>
            <w:r>
              <w:rPr>
                <w:rFonts w:hint="eastAsia" w:asciiTheme="minorEastAsia" w:hAnsiTheme="minorEastAsia" w:eastAsiaTheme="minorEastAsia" w:cstheme="minorEastAsia"/>
                <w:kern w:val="0"/>
                <w:sz w:val="24"/>
                <w:szCs w:val="24"/>
                <w:lang w:val="zh-CN"/>
              </w:rPr>
              <w:t>烟</w:t>
            </w:r>
            <w:r>
              <w:rPr>
                <w:rFonts w:hint="eastAsia" w:asciiTheme="minorEastAsia" w:hAnsiTheme="minorEastAsia" w:eastAsiaTheme="minorEastAsia" w:cstheme="minorEastAsia"/>
                <w:kern w:val="0"/>
                <w:sz w:val="24"/>
                <w:szCs w:val="24"/>
              </w:rPr>
              <w:t>探测器</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只</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1348</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点型感温探测器</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只</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1097</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手动报警按钮</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173</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消火栓按钮</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213</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5</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声光报警器</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131</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6</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输入模块</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148</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7</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控制模块</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386</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8</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火灾报警主机</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火灾显示盘</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气体灭火控制器</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台</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紧急启停按钮</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台</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73</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IG100高压贮存钢瓶</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个</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436</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罗达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恒定外置减压装置</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436</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吸气式感烟探测器</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5</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吸气式感烟探测器专用模块</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套</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能美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6</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喷淋泵</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台</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7</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消火栓泵</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台</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8</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稳压泵</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台</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p>
        </w:tc>
        <w:tc>
          <w:tcPr>
            <w:tcW w:w="318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防排烟</w:t>
            </w:r>
            <w:r>
              <w:rPr>
                <w:rFonts w:hint="eastAsia" w:asciiTheme="minorEastAsia" w:hAnsiTheme="minorEastAsia" w:eastAsiaTheme="minorEastAsia" w:cstheme="minorEastAsia"/>
                <w:kern w:val="0"/>
                <w:sz w:val="24"/>
                <w:szCs w:val="24"/>
                <w:lang w:val="zh-CN"/>
              </w:rPr>
              <w:t>风机</w:t>
            </w:r>
          </w:p>
        </w:tc>
        <w:tc>
          <w:tcPr>
            <w:tcW w:w="136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台</w:t>
            </w:r>
          </w:p>
        </w:tc>
        <w:tc>
          <w:tcPr>
            <w:tcW w:w="1530"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w:t>
            </w:r>
          </w:p>
        </w:tc>
        <w:tc>
          <w:tcPr>
            <w:tcW w:w="1635" w:type="dxa"/>
            <w:vAlign w:val="center"/>
          </w:tcPr>
          <w:p>
            <w:pPr>
              <w:pStyle w:val="26"/>
              <w:adjustRightInd w:val="0"/>
              <w:snapToGrid w:val="0"/>
              <w:spacing w:line="360" w:lineRule="auto"/>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r>
    </w:tbl>
    <w:p>
      <w:pPr>
        <w:pStyle w:val="26"/>
        <w:adjustRightInd w:val="0"/>
        <w:snapToGrid w:val="0"/>
        <w:spacing w:line="360" w:lineRule="auto"/>
        <w:ind w:left="0" w:leftChars="0" w:firstLine="0" w:firstLineChars="0"/>
        <w:rPr>
          <w:rFonts w:hint="eastAsia" w:asciiTheme="minorEastAsia" w:hAnsiTheme="minorEastAsia" w:eastAsiaTheme="minorEastAsia" w:cstheme="minorEastAsia"/>
          <w:kern w:val="0"/>
          <w:sz w:val="24"/>
          <w:szCs w:val="24"/>
          <w:lang w:val="zh-CN"/>
        </w:rPr>
      </w:pPr>
    </w:p>
    <w:p>
      <w:pPr>
        <w:pStyle w:val="26"/>
        <w:adjustRightInd w:val="0"/>
        <w:snapToGrid w:val="0"/>
        <w:spacing w:line="360" w:lineRule="auto"/>
        <w:ind w:firstLine="482" w:firstLineChars="200"/>
        <w:rPr>
          <w:rFonts w:hint="eastAsia" w:asciiTheme="minorEastAsia" w:hAnsiTheme="minorEastAsia" w:eastAsiaTheme="minorEastAsia" w:cstheme="minorEastAsia"/>
          <w:b/>
          <w:kern w:val="0"/>
          <w:sz w:val="24"/>
          <w:szCs w:val="24"/>
          <w:lang w:val="zh-CN"/>
        </w:rPr>
      </w:pPr>
      <w:r>
        <w:rPr>
          <w:rFonts w:hint="eastAsia" w:asciiTheme="minorEastAsia" w:hAnsiTheme="minorEastAsia" w:eastAsiaTheme="minorEastAsia" w:cstheme="minorEastAsia"/>
          <w:b/>
          <w:kern w:val="0"/>
          <w:sz w:val="24"/>
          <w:szCs w:val="24"/>
          <w:lang w:val="zh-CN"/>
        </w:rPr>
        <w:t>二、项目需求内容</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1、按照《建筑消防设施的维护管理》以及现行最新的消防维保技术标准规定的内容、程序、周期等要求，派驻技术人员对消防设施开展检查、维修、保养、测试等技术服务。</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按照《江苏省建筑消防设施维修保养技术服务管理暂行办法》第二十二条规定，对维修保养的建筑消防设施每年至少进行一次全面检查测试。年度检查测试报告应由经办人、项目负责人、法定代表人签名，并加盖维保机构印章。年度检查测试报告应当按规定报辖区公安机关消防机构备案。</w:t>
      </w:r>
    </w:p>
    <w:p>
      <w:pPr>
        <w:pStyle w:val="26"/>
        <w:adjustRightInd w:val="0"/>
        <w:snapToGrid w:val="0"/>
        <w:spacing w:line="360" w:lineRule="auto"/>
        <w:ind w:firstLine="577"/>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及时做好故障设备的维修，一般故障在2小时内到场服务，一般故障应在10小时内排除，最长不超过24小时内修复完毕（如须更换部件，时间除外，但确保以最快的时间更换、恢复），同时采用备选应急预案保障维修期间内消防系统正常工作。</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zh-CN"/>
        </w:rPr>
        <w:t>、应通过消防维保技术服务，延长消防设备的使用寿命，减少静态损耗，降低设备的更新维修费用，保证系统开通率和完好率。确保消防设备的运行安全、可靠。</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val="zh-CN"/>
        </w:rPr>
        <w:t>、接收、整理、完善用户提供的相关消防资料，在维保合同结束时一并移交给用户。</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6</w:t>
      </w:r>
      <w:r>
        <w:rPr>
          <w:rFonts w:hint="eastAsia" w:asciiTheme="minorEastAsia" w:hAnsiTheme="minorEastAsia" w:eastAsiaTheme="minorEastAsia" w:cstheme="minorEastAsia"/>
          <w:kern w:val="0"/>
          <w:sz w:val="24"/>
          <w:szCs w:val="24"/>
          <w:lang w:val="zh-CN"/>
        </w:rPr>
        <w:t>、派出技术服务人员的安全，一切人身伤亡事故由中选供应商负责，与比选人无关。</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zh-CN"/>
        </w:rPr>
        <w:t>根据维修保养对象的具体情况，拟定具体的维修保养方案，明确项目负责人，执业人员维修保养时应当认真如实填写维修保养记录；对采购方值班或者管理人员进行专业技术指导。</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8、对故障零部件提供临时备件，保障消防设施能够在紧急状态下发挥作用，维保公司</w:t>
      </w:r>
      <w:r>
        <w:rPr>
          <w:rFonts w:hint="eastAsia" w:asciiTheme="minorEastAsia" w:hAnsiTheme="minorEastAsia" w:eastAsiaTheme="minorEastAsia" w:cstheme="minorEastAsia"/>
          <w:kern w:val="0"/>
          <w:sz w:val="24"/>
          <w:szCs w:val="24"/>
          <w:lang w:val="en-US" w:eastAsia="zh-CN"/>
        </w:rPr>
        <w:t>需</w:t>
      </w:r>
      <w:r>
        <w:rPr>
          <w:rFonts w:hint="eastAsia" w:asciiTheme="minorEastAsia" w:hAnsiTheme="minorEastAsia" w:eastAsiaTheme="minorEastAsia" w:cstheme="minorEastAsia"/>
          <w:kern w:val="0"/>
          <w:sz w:val="24"/>
          <w:szCs w:val="24"/>
        </w:rPr>
        <w:t>检查出需要更换、维修的消防维保设施</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并进行维修。</w:t>
      </w:r>
      <w:r>
        <w:rPr>
          <w:rFonts w:hint="eastAsia" w:asciiTheme="minorEastAsia" w:hAnsiTheme="minorEastAsia" w:eastAsiaTheme="minorEastAsia" w:cstheme="minorEastAsia"/>
          <w:kern w:val="0"/>
          <w:sz w:val="24"/>
          <w:szCs w:val="24"/>
        </w:rPr>
        <w:t>维</w:t>
      </w:r>
      <w:r>
        <w:rPr>
          <w:rFonts w:hint="eastAsia" w:asciiTheme="minorEastAsia" w:hAnsiTheme="minorEastAsia" w:eastAsiaTheme="minorEastAsia" w:cstheme="minorEastAsia"/>
          <w:kern w:val="0"/>
          <w:sz w:val="24"/>
          <w:szCs w:val="24"/>
          <w:lang w:val="en-US" w:eastAsia="zh-CN"/>
        </w:rPr>
        <w:t>修</w:t>
      </w:r>
      <w:r>
        <w:rPr>
          <w:rFonts w:hint="eastAsia" w:asciiTheme="minorEastAsia" w:hAnsiTheme="minorEastAsia" w:eastAsiaTheme="minorEastAsia" w:cstheme="minorEastAsia"/>
          <w:kern w:val="0"/>
          <w:sz w:val="24"/>
          <w:szCs w:val="24"/>
        </w:rPr>
        <w:t>程中所需的</w:t>
      </w:r>
      <w:r>
        <w:rPr>
          <w:rFonts w:hint="eastAsia" w:asciiTheme="minorEastAsia" w:hAnsiTheme="minorEastAsia" w:eastAsiaTheme="minorEastAsia" w:cstheme="minorEastAsia"/>
          <w:kern w:val="0"/>
          <w:sz w:val="24"/>
          <w:szCs w:val="24"/>
          <w:lang w:val="en-US" w:eastAsia="zh-CN"/>
        </w:rPr>
        <w:t>材料费用</w:t>
      </w:r>
      <w:r>
        <w:rPr>
          <w:rFonts w:hint="eastAsia" w:asciiTheme="minorEastAsia" w:hAnsiTheme="minorEastAsia" w:eastAsiaTheme="minorEastAsia" w:cstheme="minorEastAsia"/>
          <w:kern w:val="0"/>
          <w:sz w:val="24"/>
          <w:szCs w:val="24"/>
        </w:rPr>
        <w:t>由</w:t>
      </w:r>
      <w:r>
        <w:rPr>
          <w:rFonts w:hint="eastAsia" w:asciiTheme="minorEastAsia" w:hAnsiTheme="minorEastAsia" w:eastAsiaTheme="minorEastAsia" w:cstheme="minorEastAsia"/>
          <w:kern w:val="0"/>
          <w:sz w:val="24"/>
          <w:szCs w:val="24"/>
          <w:lang w:eastAsia="zh-CN"/>
        </w:rPr>
        <w:t>比选人</w:t>
      </w:r>
      <w:r>
        <w:rPr>
          <w:rFonts w:hint="eastAsia" w:asciiTheme="minorEastAsia" w:hAnsiTheme="minorEastAsia" w:eastAsiaTheme="minorEastAsia" w:cstheme="minorEastAsia"/>
          <w:kern w:val="0"/>
          <w:sz w:val="24"/>
          <w:szCs w:val="24"/>
        </w:rPr>
        <w:t>承担</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维修更换的材料由维保公司负责采购、维修、更换并上报</w:t>
      </w:r>
      <w:r>
        <w:rPr>
          <w:rFonts w:hint="eastAsia" w:asciiTheme="minorEastAsia" w:hAnsiTheme="minorEastAsia" w:eastAsiaTheme="minorEastAsia" w:cstheme="minorEastAsia"/>
          <w:kern w:val="0"/>
          <w:sz w:val="24"/>
          <w:szCs w:val="24"/>
          <w:lang w:eastAsia="zh-CN"/>
        </w:rPr>
        <w:t>比选人</w:t>
      </w:r>
      <w:r>
        <w:rPr>
          <w:rFonts w:hint="eastAsia" w:asciiTheme="minorEastAsia" w:hAnsiTheme="minorEastAsia" w:eastAsiaTheme="minorEastAsia" w:cstheme="minorEastAsia"/>
          <w:kern w:val="0"/>
          <w:sz w:val="24"/>
          <w:szCs w:val="24"/>
        </w:rPr>
        <w:t>提供材料清单经</w:t>
      </w:r>
      <w:r>
        <w:rPr>
          <w:rFonts w:hint="eastAsia" w:asciiTheme="minorEastAsia" w:hAnsiTheme="minorEastAsia" w:eastAsiaTheme="minorEastAsia" w:cstheme="minorEastAsia"/>
          <w:kern w:val="0"/>
          <w:sz w:val="24"/>
          <w:szCs w:val="24"/>
          <w:lang w:eastAsia="zh-CN"/>
        </w:rPr>
        <w:t>比选人</w:t>
      </w:r>
      <w:r>
        <w:rPr>
          <w:rFonts w:hint="eastAsia" w:asciiTheme="minorEastAsia" w:hAnsiTheme="minorEastAsia" w:eastAsiaTheme="minorEastAsia" w:cstheme="minorEastAsia"/>
          <w:kern w:val="0"/>
          <w:sz w:val="24"/>
          <w:szCs w:val="24"/>
        </w:rPr>
        <w:t>确认，承包人提供的所有零配件必须符合消防使用要求的合格产品</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向采购方提出建议，否则，由此造成的损失由</w:t>
      </w:r>
      <w:r>
        <w:rPr>
          <w:rFonts w:hint="eastAsia" w:asciiTheme="minorEastAsia" w:hAnsiTheme="minorEastAsia" w:eastAsiaTheme="minorEastAsia" w:cstheme="minorEastAsia"/>
          <w:kern w:val="0"/>
          <w:sz w:val="24"/>
          <w:szCs w:val="24"/>
          <w:lang w:val="en-US" w:eastAsia="zh-CN"/>
        </w:rPr>
        <w:t>维保方</w:t>
      </w:r>
      <w:r>
        <w:rPr>
          <w:rFonts w:hint="eastAsia" w:asciiTheme="minorEastAsia" w:hAnsiTheme="minorEastAsia" w:eastAsiaTheme="minorEastAsia" w:cstheme="minorEastAsia"/>
          <w:kern w:val="0"/>
          <w:sz w:val="24"/>
          <w:szCs w:val="24"/>
        </w:rPr>
        <w:t>承担。维保公司</w:t>
      </w:r>
      <w:r>
        <w:rPr>
          <w:rFonts w:hint="eastAsia" w:asciiTheme="minorEastAsia" w:hAnsiTheme="minorEastAsia" w:eastAsiaTheme="minorEastAsia" w:cstheme="minorEastAsia"/>
          <w:kern w:val="0"/>
          <w:sz w:val="24"/>
          <w:szCs w:val="24"/>
          <w:lang w:val="en-US" w:eastAsia="zh-CN"/>
        </w:rPr>
        <w:t>维修时，需</w:t>
      </w:r>
      <w:r>
        <w:rPr>
          <w:rFonts w:hint="eastAsia" w:asciiTheme="minorEastAsia" w:hAnsiTheme="minorEastAsia" w:eastAsiaTheme="minorEastAsia" w:cstheme="minorEastAsia"/>
          <w:kern w:val="0"/>
          <w:sz w:val="24"/>
          <w:szCs w:val="24"/>
        </w:rPr>
        <w:t>更换的材料</w:t>
      </w:r>
      <w:r>
        <w:rPr>
          <w:rFonts w:hint="eastAsia" w:asciiTheme="minorEastAsia" w:hAnsiTheme="minorEastAsia" w:eastAsiaTheme="minorEastAsia" w:cstheme="minorEastAsia"/>
          <w:kern w:val="0"/>
          <w:sz w:val="24"/>
          <w:szCs w:val="24"/>
          <w:lang w:val="en-US" w:eastAsia="zh-CN"/>
        </w:rPr>
        <w:t>也可由甲供。</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9、负责新增消防设备的安装、调试。负责恶劣天气等特殊情况下的消防设备设施运行监护等服务。</w:t>
      </w:r>
    </w:p>
    <w:p>
      <w:pPr>
        <w:pStyle w:val="26"/>
        <w:adjustRightInd w:val="0"/>
        <w:snapToGrid w:val="0"/>
        <w:spacing w:line="360" w:lineRule="auto"/>
        <w:ind w:firstLine="482" w:firstLineChars="200"/>
        <w:rPr>
          <w:rFonts w:hint="eastAsia" w:asciiTheme="minorEastAsia" w:hAnsiTheme="minorEastAsia" w:eastAsiaTheme="minorEastAsia" w:cstheme="minorEastAsia"/>
          <w:b/>
          <w:bCs/>
          <w:kern w:val="0"/>
          <w:sz w:val="24"/>
          <w:szCs w:val="24"/>
          <w:lang w:val="zh-CN"/>
        </w:rPr>
      </w:pPr>
      <w:r>
        <w:rPr>
          <w:rFonts w:hint="eastAsia" w:asciiTheme="minorEastAsia" w:hAnsiTheme="minorEastAsia" w:eastAsiaTheme="minorEastAsia" w:cstheme="minorEastAsia"/>
          <w:b/>
          <w:bCs/>
          <w:kern w:val="0"/>
          <w:sz w:val="24"/>
          <w:szCs w:val="24"/>
        </w:rPr>
        <w:t>三、</w:t>
      </w:r>
      <w:r>
        <w:rPr>
          <w:rFonts w:hint="eastAsia" w:asciiTheme="minorEastAsia" w:hAnsiTheme="minorEastAsia" w:eastAsiaTheme="minorEastAsia" w:cstheme="minorEastAsia"/>
          <w:b/>
          <w:bCs/>
          <w:kern w:val="0"/>
          <w:sz w:val="24"/>
          <w:szCs w:val="24"/>
          <w:lang w:val="zh-CN"/>
        </w:rPr>
        <w:t>维保服务的内容及要求</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1、火灾自动报警系统维护保养方案：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1.1每月检查火灾报警控制器的功能并填写系统运行和控制器月检登记表。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1.2采用专用检测仪分期分批试验探测器的报警及确认灯显示（每季度检测数量不少于总数的30%），不同类型的探测器应有1%且不少于50只的备品；1－3次主电和备电自动切换试验；人为的操作试验手动报警器。</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1.3检查试验火灾报警系统的报警功能及相应报警设备，并填写月检登记表。</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1.4对火灾报警线路进行一次检查，用专用仪器表测试每个回路的对地电阻值并填写测试表格，抽查导线的连接是否良好。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1.5附表：</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火灾报警系统维护管理工作一览表 </w:t>
      </w:r>
    </w:p>
    <w:tbl>
      <w:tblPr>
        <w:tblStyle w:val="16"/>
        <w:tblW w:w="0" w:type="auto"/>
        <w:tblCellSpacing w:w="7"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65"/>
        <w:gridCol w:w="365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部 位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工 作 内 容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周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火灾报警控制器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检查运行状况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探测器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检查报警功能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警铃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检查声压分贝率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水流指示器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检查报警功能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压力开关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检查报警功能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电源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检查自动切换及充电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重复显示盘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检查运行状况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整个系统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检查运行状况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探测器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检查报警功能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手动动报警器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检查报警功能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34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线路 </w:t>
            </w:r>
          </w:p>
        </w:tc>
        <w:tc>
          <w:tcPr>
            <w:tcW w:w="364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检查线路的对地电阻 </w:t>
            </w:r>
          </w:p>
        </w:tc>
        <w:tc>
          <w:tcPr>
            <w:tcW w:w="177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bl>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报警联动维护方法：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1.6检查联动控制器的功能并填写系统运行和控制器月检登记表。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1.7检查和试验报警联动系统的控制功能及相应联动设备，并填写联动季度登记表。采用手动或自动检查消防泵、喷淋泵的启泵功能并要有反馈信号显示；检查排烟风机、排烟阀能否动作及机械装置。对消防电梯进行试验性的迫降试验；检查控制器上的各个转换开关；人为的操作试验消火栓击碎报警按钮的启泵功能。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1.8检查报警联动系统的控制功能及相应联动设备，并填写联动月检登记表。</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1.9对火灾报警线路进行一次全面的检查，用专用仪器表测试联动控制线路的对地电阻值并填写电阻测试表格，抽查导线的连接是否良好。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1.10附表： </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58"/>
        <w:gridCol w:w="404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部 位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工 作 内 容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周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联动控制器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检查联动控制功能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消防泵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检查启泵功能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喷淋泵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检查启泵功能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排烟阀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检查自动功能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联动控制器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检查转换开关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接地电阻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测试电阻值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消火栓按钮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检查远程启泵功能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火灾广播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检查自动切换功能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线路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检查线路的绝缘电阻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137"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整个系统 </w:t>
            </w:r>
          </w:p>
        </w:tc>
        <w:tc>
          <w:tcPr>
            <w:tcW w:w="4028"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检查运行状况 </w:t>
            </w:r>
          </w:p>
        </w:tc>
        <w:tc>
          <w:tcPr>
            <w:tcW w:w="195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bl>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2、消火栓系统维护保养方案：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2.1检查消火栓系统的功能并填写系统运行和控制器月检登记表，并应保证系统处于准工作状态。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2.2消防水池、消防水箱给水设备应每月检查一次，并应检查其消防储备水位。消防水泵应每月启动运行一次，消防水泵应每月模拟自动控制的条件启动运转一次；电磁阀应检查并应作启动试验，动作失常时必须及时更换；消火栓系统上所有的控制阀门均应采用铅封或锁链固定在开启或规定的状态。应对铅封、锁链进行一次检查，当有破坏或损坏时必须及时修理更换；检查人员应巡视各个消火栓箱内组件是否齐全、是否损坏，发现有缺损必须及时修理、配齐。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2.3对消火栓的静水压力和出水压力进行检查：在每个室内消火栓系统的压力最不利点的消火栓处进行水枪出水试验，检验压力是否达标；室外阀门井中，进水管上的控制阀门应每月检查一次，核实处于全开启状态。每月对水源的供水能力进行一次测定。对于室外消火栓要求每半年进行一次除锈、喷漆并在假期期间进行放水实验，对于放水实验出现的各种问题要有相应的保护措施。</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2.4附表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消火栓系统维护管理工作一览表 </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36"/>
        <w:gridCol w:w="472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部 位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工 作 内 容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周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水源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测试供水能力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蓄水池、水箱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检测水位及消防储备水不被他用的措施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消防水泵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启动试运转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最低层消火栓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检查静水压力和出水压力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水源控制阀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目测巡检完好状态及开闭位置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系统所有控制阀门、电磁阀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检查铅封、锁链完好状态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室外阀门井中控制阀门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检查是否处于开启状态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消火栓箱 </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消火栓及其及其组件 </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371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室外消火栓</w:t>
            </w:r>
          </w:p>
        </w:tc>
        <w:tc>
          <w:tcPr>
            <w:tcW w:w="471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消火栓及其组件除锈喷漆、放水实验</w:t>
            </w:r>
          </w:p>
        </w:tc>
        <w:tc>
          <w:tcPr>
            <w:tcW w:w="123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每半年</w:t>
            </w:r>
          </w:p>
        </w:tc>
      </w:tr>
    </w:tbl>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3、自动喷水灭火系统维护保养方案：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3.1检查自动喷水灭火系统的功能并填写系统运行和控制器月检登记表，保证系统处于准工作状态。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3.2喷淋水泵应每月启动运行一次，喷淋水泵应模拟自动控制的条件启动运转一次；压力开关应检查并应作启动试验，动作失常时必须及时更换；系统上所有的控制阀门均应采用铅封或锁链固定在开启或规定的状态。应对铅封、锁链进行一次检查，当有破坏或损坏时必须及时修理更换。应利用末端试水装置对水流指示器进行试验；应对喷头进行一次外观检查，发现有不正常的喷头应及时更换；当喷头上有异物时必须及时清除。</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3.3应对报警阀旁的放水试验阀进行每月一次供水试验，验证系统的供水能力；室外阀门井中，进水管上的控制阀门应每月检查一次，核实处于全开启状态；对气压装置进行一次检查；对水池储水设备进行检查，修补缺损和重新油漆。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3.4各种不同规格的喷头均应有一定数量的备用品，其数量不应小于安装总数的1%。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3.5附表：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自动喷水灭火系统维护管理工作一览表 </w:t>
      </w:r>
    </w:p>
    <w:tbl>
      <w:tblPr>
        <w:tblStyle w:val="16"/>
        <w:tblW w:w="0" w:type="auto"/>
        <w:tblCellSpacing w:w="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41"/>
        <w:gridCol w:w="4099"/>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部 位</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 作 内 容</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周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水源</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测试供水能力</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蓄水池、高位水箱</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检测水位及消防储备水不被他用的措施</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设置储水设备的房间</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检查室温</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寒冷季节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储水设备</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检查结构材料</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电动喷淋水泵</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启动试运转</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报警阀</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放水试验</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水源控制阀、报警控制装置</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目测巡检完好状态及开闭位置</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系统所有控制阀门、电磁阀</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检查铅封、锁链完好状态</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室外阀门井中控制阀门</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检查开启状况</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水流指示器</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试验报警</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3620"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喷头</w:t>
            </w:r>
          </w:p>
        </w:tc>
        <w:tc>
          <w:tcPr>
            <w:tcW w:w="4085"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检查完好状态</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每月</w:t>
            </w:r>
          </w:p>
        </w:tc>
      </w:tr>
    </w:tbl>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rPr>
        <w:t xml:space="preserve">、防排烟系统维护保养方案：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rPr>
        <w:t xml:space="preserve">.1风机应具有手动/自动启动、排烟防火阀联动停止功能，且切换正常。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rPr>
        <w:t xml:space="preserve">.2排烟口平时应处于关闭状态；手动、电动及远距离开启时应正常，并输出信号，启动排烟风机；可手动复位（检测数量不少于总数的30%）。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rPr>
        <w:t xml:space="preserve">.3排烟防火阀手动、电动关闭时动作应正常，并向消防控制中心发出排烟防火阀关闭信号，手动能复位。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rPr>
        <w:t xml:space="preserve">.4手动可开启送风口或排烟口；信号送消防控制室，消防控制室能进行手动开启送风口或排烟口。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rPr>
        <w:t xml:space="preserve">.5当有火灾报警时，能自动打开送风口、排烟口，启动风机。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rPr>
        <w:t xml:space="preserve">.6送风口、排烟口应能启闭自如，无机械故障。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防排烟系统维护管理工作一览表</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02"/>
        <w:gridCol w:w="493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278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部 位 </w:t>
            </w:r>
          </w:p>
        </w:tc>
        <w:tc>
          <w:tcPr>
            <w:tcW w:w="492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工 作 内 容 </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周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278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风机电源 </w:t>
            </w:r>
          </w:p>
        </w:tc>
        <w:tc>
          <w:tcPr>
            <w:tcW w:w="492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检查送风、排烟机房工作环境 </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278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排烟口 </w:t>
            </w:r>
          </w:p>
        </w:tc>
        <w:tc>
          <w:tcPr>
            <w:tcW w:w="492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检查排烟口是否处于完好状态 </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278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机械传动装置 </w:t>
            </w:r>
          </w:p>
        </w:tc>
        <w:tc>
          <w:tcPr>
            <w:tcW w:w="492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检查送风、排烟口机械执行机构 </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每半年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2781"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自动开启 </w:t>
            </w:r>
          </w:p>
        </w:tc>
        <w:tc>
          <w:tcPr>
            <w:tcW w:w="4924"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检查排烟口的自动打开装置 </w:t>
            </w:r>
          </w:p>
        </w:tc>
        <w:tc>
          <w:tcPr>
            <w:tcW w:w="1599" w:type="dxa"/>
            <w:tcBorders>
              <w:top w:val="single" w:color="auto" w:sz="4" w:space="0"/>
              <w:left w:val="single" w:color="auto" w:sz="4" w:space="0"/>
              <w:bottom w:val="single" w:color="auto" w:sz="4" w:space="0"/>
              <w:right w:val="single" w:color="auto" w:sz="4" w:space="0"/>
            </w:tcBorders>
            <w:shd w:val="clear" w:color="auto" w:fill="FBFDFE"/>
            <w:vAlign w:val="center"/>
          </w:tcPr>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每半年 </w:t>
            </w:r>
          </w:p>
        </w:tc>
      </w:tr>
    </w:tbl>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、气体灭火系统维护保养方案：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.1维护人员应每月对气体灭火系统进行外观检查。检查内容包括：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灭火剂贮存容器、选择阀、液体单向阀、高压软管、集流管、阀驱动装置、管网与喷嘴等全部系统组件应的无碰撞变形及其他机械性损伤，表面应无锈蚀，保护涂层完好，铭牌应清晰，手动操作装置的防护罩、铅封和安全标志应完整。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.2灭火剂储存容器内的压力，不得小于设计储存压力的90％。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.3气动驱动装置的每年检查试验。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维护人员应每年对气体灭火系统进行一次全面检查。检查内容包括：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.4防护区的开口情况、防护区的用途及可燃物的种类数量分布情况，应符合原设计规定。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.5灭火剂储存容器间设备、灭火剂输送管道和支、吊架的固定，应无松动。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.6必要时应对每根高压软管进行水压强度和气压严密性试验。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.7检查各喷嘴孔有无堵塞、喷嘴外观有无变形等现象。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.8灭火剂净重不得小于设计储存量的9 5％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.9灭火剂的输送管道如有损伤与堵塞现象，应进行严密性试验和吹扫。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 xml:space="preserve">.10对每个防护区进行一次模拟自动启动试验。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zh-CN"/>
        </w:rPr>
        <w:t>紧急按钮启动检查试验。</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 xml:space="preserve">机械应急启动检查试验。 </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zh-CN"/>
        </w:rPr>
        <w:t>紧急中断检查试验。</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lang w:val="zh-CN"/>
        </w:rPr>
        <w:t>、应急照明和疏散指示标志维护保养方案：</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7.1检查应急灯具及疏散指示标志外观、工作状态。</w:t>
      </w:r>
    </w:p>
    <w:p>
      <w:pPr>
        <w:pStyle w:val="26"/>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lang w:val="zh-CN"/>
        </w:rPr>
        <w:t>.2切断正常供电，测试应急灯具照度、电源切换、充电、放电功能；测试应急电源供电时间；通过报警联动，检查应急灯具自动投入功能。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四、消防维保服务考核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1.考核标准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消防维保考核完成情况：基础项目（20分），维保项目（80分）两部分组成，总分100分。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2.考核细则（此考核表作为月度考核，季度及年度未到考核期限，作为满分计算，考核累计扣分＞100分解除合同，累计扣分≤100分≥20分，每扣1分100元）</w:t>
      </w:r>
    </w:p>
    <w:tbl>
      <w:tblPr>
        <w:tblStyle w:val="1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67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考核项目</w:t>
            </w: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达到的标准</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扣分的标准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00" w:type="dxa"/>
            <w:vMerge w:val="restart"/>
            <w:noWrap w:val="0"/>
            <w:vAlign w:val="center"/>
          </w:tcPr>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基础项目</w:t>
            </w: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维保单位取得建筑消防设施维修保养资质并保证合同期内资质的有效性。</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取消合同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维护保养人员持有《消防行业中级及以上职业资格》证书</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维保单位严格遵守</w:t>
            </w:r>
            <w:r>
              <w:rPr>
                <w:rFonts w:hint="eastAsia" w:ascii="宋体" w:hAnsi="宋体" w:eastAsia="宋体"/>
                <w:sz w:val="24"/>
                <w:szCs w:val="24"/>
                <w:lang w:val="en-US" w:eastAsia="zh-CN"/>
              </w:rPr>
              <w:t>甲</w:t>
            </w:r>
            <w:r>
              <w:rPr>
                <w:rFonts w:hint="eastAsia" w:ascii="宋体" w:hAnsi="宋体" w:eastAsia="宋体"/>
                <w:sz w:val="24"/>
                <w:szCs w:val="24"/>
              </w:rPr>
              <w:t>方各项规章制度</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restart"/>
            <w:noWrap w:val="0"/>
            <w:vAlign w:val="center"/>
          </w:tcPr>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维保项目</w:t>
            </w: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维保单位每月派人员不少于</w:t>
            </w:r>
            <w:r>
              <w:rPr>
                <w:rFonts w:hint="eastAsia" w:ascii="宋体" w:hAnsi="宋体" w:eastAsia="宋体"/>
                <w:sz w:val="24"/>
                <w:szCs w:val="24"/>
                <w:lang w:val="en-US" w:eastAsia="zh-CN"/>
              </w:rPr>
              <w:t>1</w:t>
            </w:r>
            <w:r>
              <w:rPr>
                <w:rFonts w:hint="eastAsia" w:ascii="宋体" w:hAnsi="宋体" w:eastAsia="宋体"/>
                <w:sz w:val="24"/>
                <w:szCs w:val="24"/>
              </w:rPr>
              <w:t>次对火灾自动报警系统进行清查</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确保消防水泵、稳压泵、增压泵及所有相关设备运行正常，各水箱水位正常</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对消防水系统进行末端试水，室（内）外消火栓抽查、检查。确保室内外消火栓的完整好用，</w:t>
            </w:r>
            <w:r>
              <w:rPr>
                <w:rFonts w:hint="eastAsia" w:ascii="宋体" w:hAnsi="宋体" w:eastAsia="宋体"/>
                <w:sz w:val="24"/>
                <w:szCs w:val="24"/>
                <w:lang w:eastAsia="zh-CN"/>
              </w:rPr>
              <w:t>室外消火栓做好除锈及油漆防护，</w:t>
            </w:r>
            <w:r>
              <w:rPr>
                <w:rFonts w:hint="eastAsia" w:ascii="宋体" w:hAnsi="宋体" w:eastAsia="宋体"/>
                <w:sz w:val="24"/>
                <w:szCs w:val="24"/>
              </w:rPr>
              <w:t>消防水出水状况符合消防规定。</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发现隐患在24小时内排除修复，重大隐患在征得</w:t>
            </w:r>
            <w:r>
              <w:rPr>
                <w:rFonts w:hint="eastAsia" w:ascii="宋体" w:hAnsi="宋体" w:eastAsia="宋体"/>
                <w:sz w:val="24"/>
                <w:szCs w:val="24"/>
                <w:lang w:val="en-US" w:eastAsia="zh-CN"/>
              </w:rPr>
              <w:t>甲</w:t>
            </w:r>
            <w:r>
              <w:rPr>
                <w:rFonts w:hint="eastAsia" w:ascii="宋体" w:hAnsi="宋体" w:eastAsia="宋体"/>
                <w:sz w:val="24"/>
                <w:szCs w:val="24"/>
              </w:rPr>
              <w:t>方同意后，立即采取应急措施</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每</w:t>
            </w:r>
            <w:r>
              <w:rPr>
                <w:rFonts w:hint="eastAsia" w:ascii="宋体" w:hAnsi="宋体" w:eastAsia="宋体"/>
                <w:sz w:val="24"/>
                <w:szCs w:val="24"/>
                <w:lang w:val="en-US" w:eastAsia="zh-CN"/>
              </w:rPr>
              <w:t>季度</w:t>
            </w:r>
            <w:r>
              <w:rPr>
                <w:rFonts w:hint="eastAsia" w:ascii="宋体" w:hAnsi="宋体" w:eastAsia="宋体"/>
                <w:sz w:val="24"/>
                <w:szCs w:val="24"/>
              </w:rPr>
              <w:t>进行一次报警系统的联动测试（测试内容见维保合同）</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每</w:t>
            </w:r>
            <w:r>
              <w:rPr>
                <w:rFonts w:hint="eastAsia" w:ascii="宋体" w:hAnsi="宋体" w:eastAsia="宋体"/>
                <w:sz w:val="24"/>
                <w:szCs w:val="24"/>
                <w:lang w:val="en-US" w:eastAsia="zh-CN"/>
              </w:rPr>
              <w:t>年</w:t>
            </w:r>
            <w:r>
              <w:rPr>
                <w:rFonts w:hint="eastAsia" w:ascii="宋体" w:hAnsi="宋体" w:eastAsia="宋体"/>
                <w:sz w:val="24"/>
                <w:szCs w:val="24"/>
              </w:rPr>
              <w:t>度测试烟感、温感报警点灵敏度，抽查率达到100%</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每月一次对消防防水系统的联动检查测试。（测试内容见维保合同）</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每</w:t>
            </w:r>
            <w:r>
              <w:rPr>
                <w:rFonts w:hint="eastAsia" w:ascii="宋体" w:hAnsi="宋体" w:eastAsia="宋体"/>
                <w:sz w:val="24"/>
                <w:szCs w:val="24"/>
                <w:lang w:val="en-US" w:eastAsia="zh-CN"/>
              </w:rPr>
              <w:t>年</w:t>
            </w:r>
            <w:r>
              <w:rPr>
                <w:rFonts w:hint="eastAsia" w:ascii="宋体" w:hAnsi="宋体" w:eastAsia="宋体"/>
                <w:sz w:val="24"/>
                <w:szCs w:val="24"/>
              </w:rPr>
              <w:t>对手动报警器、喷淋泵、消火栓泵及管道系统的阀门轴心上润滑油，对正压风口、防火阀、风机等上润滑油</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每年进行一次系统的全面检测及实验，并就测试情况出具检测报告。</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800" w:type="dxa"/>
            <w:vMerge w:val="continue"/>
            <w:noWrap w:val="0"/>
            <w:vAlign w:val="center"/>
          </w:tcPr>
          <w:p>
            <w:pPr>
              <w:spacing w:line="360" w:lineRule="auto"/>
              <w:jc w:val="center"/>
              <w:rPr>
                <w:rFonts w:ascii="宋体" w:hAnsi="宋体" w:eastAsia="宋体"/>
                <w:sz w:val="24"/>
                <w:szCs w:val="24"/>
              </w:rPr>
            </w:pPr>
          </w:p>
        </w:tc>
        <w:tc>
          <w:tcPr>
            <w:tcW w:w="4677" w:type="dxa"/>
            <w:noWrap w:val="0"/>
            <w:vAlign w:val="center"/>
          </w:tcPr>
          <w:p>
            <w:pPr>
              <w:spacing w:line="360"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乙方</w:t>
            </w:r>
            <w:r>
              <w:rPr>
                <w:rFonts w:hint="eastAsia" w:ascii="宋体" w:hAnsi="宋体" w:eastAsia="宋体"/>
                <w:sz w:val="24"/>
                <w:szCs w:val="24"/>
              </w:rPr>
              <w:t>接到</w:t>
            </w:r>
            <w:r>
              <w:rPr>
                <w:rFonts w:hint="eastAsia" w:ascii="宋体" w:hAnsi="宋体" w:eastAsia="宋体"/>
                <w:sz w:val="24"/>
                <w:szCs w:val="24"/>
                <w:lang w:val="en-US" w:eastAsia="zh-CN"/>
              </w:rPr>
              <w:t>甲</w:t>
            </w:r>
            <w:r>
              <w:rPr>
                <w:rFonts w:hint="eastAsia" w:ascii="宋体" w:hAnsi="宋体" w:eastAsia="宋体"/>
                <w:sz w:val="24"/>
                <w:szCs w:val="24"/>
              </w:rPr>
              <w:t>方故障报告或电话通知后，派遣持有资格证书的维修人员（每次至少2人），日间</w:t>
            </w:r>
            <w:r>
              <w:rPr>
                <w:rFonts w:hint="eastAsia" w:ascii="宋体" w:hAnsi="宋体" w:eastAsia="宋体"/>
                <w:sz w:val="24"/>
                <w:szCs w:val="24"/>
                <w:lang w:val="en-US" w:eastAsia="zh-CN"/>
              </w:rPr>
              <w:t>2</w:t>
            </w:r>
            <w:r>
              <w:rPr>
                <w:rFonts w:hint="eastAsia" w:ascii="宋体" w:hAnsi="宋体" w:eastAsia="宋体"/>
                <w:sz w:val="24"/>
                <w:szCs w:val="24"/>
              </w:rPr>
              <w:t>小时；夜间</w:t>
            </w:r>
            <w:r>
              <w:rPr>
                <w:rFonts w:hint="eastAsia" w:ascii="宋体" w:hAnsi="宋体" w:eastAsia="宋体"/>
                <w:sz w:val="24"/>
                <w:szCs w:val="24"/>
                <w:lang w:val="en-US" w:eastAsia="zh-CN"/>
              </w:rPr>
              <w:t>3</w:t>
            </w:r>
            <w:r>
              <w:rPr>
                <w:rFonts w:hint="eastAsia" w:ascii="宋体" w:hAnsi="宋体" w:eastAsia="宋体"/>
                <w:sz w:val="24"/>
                <w:szCs w:val="24"/>
              </w:rPr>
              <w:t>小时内到达现场，遇有超过24小时的特殊故障不能及时修复运行时，须书面报告甲方故障原因，维修方案和修复时间，于甲方</w:t>
            </w:r>
            <w:r>
              <w:rPr>
                <w:rFonts w:hint="eastAsia" w:ascii="宋体" w:hAnsi="宋体" w:eastAsia="宋体"/>
                <w:sz w:val="24"/>
                <w:szCs w:val="24"/>
                <w:lang w:val="en-US" w:eastAsia="zh-CN"/>
              </w:rPr>
              <w:t>协商</w:t>
            </w:r>
            <w:r>
              <w:rPr>
                <w:rFonts w:hint="eastAsia" w:ascii="宋体" w:hAnsi="宋体" w:eastAsia="宋体"/>
                <w:sz w:val="24"/>
                <w:szCs w:val="24"/>
              </w:rPr>
              <w:t>一致后实施，乙方未按维修时间到达，承担不及时维修发生的责任</w:t>
            </w:r>
            <w:r>
              <w:rPr>
                <w:rFonts w:hint="eastAsia" w:ascii="宋体" w:hAnsi="宋体"/>
                <w:sz w:val="24"/>
                <w:szCs w:val="24"/>
                <w:lang w:val="en-US" w:eastAsia="zh-CN"/>
              </w:rPr>
              <w:t>,</w:t>
            </w:r>
            <w:r>
              <w:rPr>
                <w:rFonts w:hint="eastAsia" w:ascii="宋体" w:hAnsi="宋体" w:eastAsia="宋体"/>
                <w:sz w:val="24"/>
                <w:szCs w:val="24"/>
                <w:lang w:val="en-US" w:eastAsia="zh-CN"/>
              </w:rPr>
              <w:t>配合指导甲方新设备安装的调试。</w:t>
            </w:r>
          </w:p>
        </w:tc>
        <w:tc>
          <w:tcPr>
            <w:tcW w:w="3119" w:type="dxa"/>
            <w:noWrap w:val="0"/>
            <w:vAlign w:val="center"/>
          </w:tcPr>
          <w:p>
            <w:pPr>
              <w:spacing w:line="360" w:lineRule="auto"/>
              <w:jc w:val="center"/>
              <w:rPr>
                <w:rFonts w:ascii="宋体" w:hAnsi="宋体" w:eastAsia="宋体"/>
                <w:sz w:val="24"/>
                <w:szCs w:val="24"/>
              </w:rPr>
            </w:pPr>
            <w:r>
              <w:rPr>
                <w:rFonts w:hint="eastAsia" w:ascii="宋体" w:hAnsi="宋体" w:eastAsia="宋体"/>
                <w:sz w:val="24"/>
                <w:szCs w:val="24"/>
              </w:rPr>
              <w:t>20</w:t>
            </w:r>
          </w:p>
        </w:tc>
      </w:tr>
    </w:tbl>
    <w:p>
      <w:pPr>
        <w:adjustRightInd w:val="0"/>
        <w:snapToGrid w:val="0"/>
        <w:spacing w:beforeLines="50" w:afterLines="50" w:line="360" w:lineRule="auto"/>
        <w:ind w:firstLine="2249" w:firstLineChars="700"/>
        <w:rPr>
          <w:rFonts w:asciiTheme="minorEastAsia" w:hAnsiTheme="minorEastAsia" w:cstheme="minorEastAsia"/>
          <w:b/>
          <w:bCs/>
          <w:sz w:val="32"/>
          <w:szCs w:val="32"/>
        </w:rPr>
      </w:pPr>
      <w:r>
        <w:rPr>
          <w:rFonts w:hint="eastAsia" w:asciiTheme="minorEastAsia" w:hAnsiTheme="minorEastAsia" w:cstheme="minorEastAsia"/>
          <w:b/>
          <w:bCs/>
          <w:sz w:val="32"/>
          <w:szCs w:val="32"/>
        </w:rPr>
        <w:t>第</w:t>
      </w:r>
      <w:r>
        <w:rPr>
          <w:rFonts w:hint="eastAsia" w:asciiTheme="minorEastAsia" w:hAnsiTheme="minorEastAsia" w:cstheme="minorEastAsia"/>
          <w:b/>
          <w:bCs/>
          <w:sz w:val="32"/>
          <w:szCs w:val="32"/>
          <w:lang w:val="en-US" w:eastAsia="zh-CN"/>
        </w:rPr>
        <w:t>四</w:t>
      </w:r>
      <w:r>
        <w:rPr>
          <w:rFonts w:hint="eastAsia" w:asciiTheme="minorEastAsia" w:hAnsiTheme="minorEastAsia" w:cstheme="minorEastAsia"/>
          <w:b/>
          <w:bCs/>
          <w:sz w:val="32"/>
          <w:szCs w:val="32"/>
        </w:rPr>
        <w:t>章  评标办法（综合评分法）</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第一条  评标原则</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1、符合资格的比选人数量不少于三个时，进入评选程序，不足三家的本项目流选。</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2、参选人资格同时审查，资格审查未通过的，不再对其后续文件进行评审。</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3、本项目参选报价以一次性报价为准。</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4、参选人提供的资料必须真实有效，评委在评审中如发现有弄虚作假行为，按无效参选文件处理，骗取中选的，将取消其中选资格，并将提交主管部门依法处理。</w:t>
      </w:r>
    </w:p>
    <w:p>
      <w:pPr>
        <w:pStyle w:val="8"/>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5、如第一中标候选人放弃中选资格的或者被取消中选资格的，则确定综合得分第二名的参选人为中标候选人，以此类推。</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第二条  评审细则</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本项目采用综合评分法。分资格审查、技术标、商务标三部分评审，总分值为100分。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1、资格审查（符合性评审）</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本项目评选小组根据参加资格审查的参选人递交的资格证明文件，按照本项目比选文件要求对参选人的资格进行审查。</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714"/>
        <w:gridCol w:w="3663"/>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71"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957"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项目内容</w:t>
            </w:r>
          </w:p>
        </w:tc>
        <w:tc>
          <w:tcPr>
            <w:tcW w:w="2046"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合格条件</w:t>
            </w:r>
          </w:p>
        </w:tc>
        <w:tc>
          <w:tcPr>
            <w:tcW w:w="172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需提供的证明材料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71"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957"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法定代表人身份证明书或授权委托书</w:t>
            </w:r>
          </w:p>
        </w:tc>
        <w:tc>
          <w:tcPr>
            <w:tcW w:w="2046"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rPr>
              <w:t>格式详见第四章</w:t>
            </w:r>
          </w:p>
        </w:tc>
        <w:tc>
          <w:tcPr>
            <w:tcW w:w="1724"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rPr>
              <w:t>格式详见第四章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71"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957"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营业执照</w:t>
            </w:r>
          </w:p>
        </w:tc>
        <w:tc>
          <w:tcPr>
            <w:tcW w:w="2046"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kern w:val="0"/>
                <w:szCs w:val="21"/>
              </w:rPr>
              <w:t>提供有效的营业执照。</w:t>
            </w:r>
          </w:p>
        </w:tc>
        <w:tc>
          <w:tcPr>
            <w:tcW w:w="1724"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kern w:val="0"/>
                <w:szCs w:val="21"/>
              </w:rPr>
              <w:t>提供营业执照复印件并加盖公章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71"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957" w:type="pct"/>
            <w:vAlign w:val="center"/>
          </w:tcPr>
          <w:p>
            <w:pPr>
              <w:spacing w:line="320" w:lineRule="exact"/>
              <w:ind w:firstLine="27" w:firstLineChars="13"/>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截图证明</w:t>
            </w:r>
          </w:p>
        </w:tc>
        <w:tc>
          <w:tcPr>
            <w:tcW w:w="2046" w:type="pct"/>
            <w:vAlign w:val="center"/>
          </w:tcPr>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kern w:val="0"/>
                <w:szCs w:val="21"/>
              </w:rPr>
              <w:t>供应商符合国家规定的消防技术服务机构的从业条件，供应商在社会消防技术服务信息系统（</w:t>
            </w:r>
            <w:r>
              <w:rPr>
                <w:rFonts w:asciiTheme="minorEastAsia" w:hAnsiTheme="minorEastAsia" w:cstheme="minorEastAsia"/>
                <w:kern w:val="0"/>
                <w:szCs w:val="21"/>
              </w:rPr>
              <w:t>https://shhxf.119.gov.cn/templet/index_7.jsp</w:t>
            </w:r>
            <w:r>
              <w:rPr>
                <w:rFonts w:hint="eastAsia" w:asciiTheme="minorEastAsia" w:hAnsiTheme="minorEastAsia" w:cstheme="minorEastAsia"/>
                <w:kern w:val="0"/>
                <w:szCs w:val="21"/>
              </w:rPr>
              <w:t>）中本单位基本信息已满足要求（单位类型为消防设施维护保养检测）的截图证明</w:t>
            </w:r>
          </w:p>
        </w:tc>
        <w:tc>
          <w:tcPr>
            <w:tcW w:w="1724"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kern w:val="0"/>
                <w:szCs w:val="21"/>
              </w:rPr>
              <w:t>提供截图证明并加盖公章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71"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957" w:type="pct"/>
            <w:vAlign w:val="center"/>
          </w:tcPr>
          <w:p>
            <w:pPr>
              <w:spacing w:line="320" w:lineRule="exact"/>
              <w:ind w:firstLine="27" w:firstLineChars="13"/>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拟派项目负责人资质等级</w:t>
            </w:r>
          </w:p>
        </w:tc>
        <w:tc>
          <w:tcPr>
            <w:tcW w:w="2046" w:type="pct"/>
            <w:vAlign w:val="center"/>
          </w:tcPr>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kern w:val="0"/>
                <w:szCs w:val="21"/>
              </w:rPr>
              <w:t>拟派项目负责人需具有有效的二级及以上注册消防工程师，证书需注册在</w:t>
            </w:r>
            <w:r>
              <w:rPr>
                <w:rFonts w:hint="eastAsia" w:asciiTheme="minorEastAsia" w:hAnsiTheme="minorEastAsia" w:cstheme="minorEastAsia"/>
                <w:kern w:val="0"/>
                <w:szCs w:val="21"/>
                <w:lang w:val="en-US" w:eastAsia="zh-CN"/>
              </w:rPr>
              <w:t>参选</w:t>
            </w:r>
            <w:r>
              <w:rPr>
                <w:rFonts w:hint="eastAsia" w:asciiTheme="minorEastAsia" w:hAnsiTheme="minorEastAsia" w:cstheme="minorEastAsia"/>
                <w:kern w:val="0"/>
                <w:szCs w:val="21"/>
              </w:rPr>
              <w:t>单位</w:t>
            </w:r>
            <w:r>
              <w:rPr>
                <w:rFonts w:hint="eastAsia" w:asciiTheme="minorEastAsia" w:hAnsiTheme="minorEastAsia" w:cstheme="minorEastAsia"/>
                <w:kern w:val="0"/>
                <w:szCs w:val="21"/>
                <w:lang w:eastAsia="zh-CN"/>
              </w:rPr>
              <w:t>；</w:t>
            </w:r>
          </w:p>
        </w:tc>
        <w:tc>
          <w:tcPr>
            <w:tcW w:w="1724" w:type="pct"/>
            <w:vAlign w:val="center"/>
          </w:tcPr>
          <w:p>
            <w:pPr>
              <w:widowControl/>
              <w:jc w:val="left"/>
              <w:rPr>
                <w:kern w:val="0"/>
                <w:szCs w:val="21"/>
              </w:rPr>
            </w:pPr>
            <w:r>
              <w:rPr>
                <w:rFonts w:ascii="宋体" w:hAnsi="宋体"/>
                <w:kern w:val="0"/>
                <w:szCs w:val="21"/>
              </w:rPr>
              <w:t>①</w:t>
            </w:r>
            <w:r>
              <w:rPr>
                <w:rFonts w:hAnsi="宋体"/>
                <w:kern w:val="0"/>
                <w:szCs w:val="21"/>
              </w:rPr>
              <w:t>中华人民共和国建造师注册证书</w:t>
            </w:r>
            <w:r>
              <w:rPr>
                <w:kern w:val="0"/>
                <w:szCs w:val="21"/>
              </w:rPr>
              <w:t>(</w:t>
            </w:r>
            <w:r>
              <w:rPr>
                <w:rFonts w:hAnsi="宋体"/>
                <w:kern w:val="0"/>
                <w:szCs w:val="21"/>
              </w:rPr>
              <w:t>注册在</w:t>
            </w:r>
            <w:r>
              <w:rPr>
                <w:rFonts w:hint="eastAsia" w:hAnsi="宋体"/>
                <w:kern w:val="0"/>
                <w:szCs w:val="21"/>
                <w:lang w:val="en-US" w:eastAsia="zh-CN"/>
              </w:rPr>
              <w:t>参选</w:t>
            </w:r>
            <w:r>
              <w:rPr>
                <w:rFonts w:hAnsi="宋体"/>
                <w:kern w:val="0"/>
                <w:szCs w:val="21"/>
              </w:rPr>
              <w:t>单位</w:t>
            </w:r>
            <w:r>
              <w:rPr>
                <w:kern w:val="0"/>
                <w:szCs w:val="21"/>
              </w:rPr>
              <w:t>)</w:t>
            </w:r>
            <w:r>
              <w:rPr>
                <w:rFonts w:hAnsi="宋体"/>
                <w:kern w:val="0"/>
                <w:szCs w:val="21"/>
              </w:rPr>
              <w:t>；</w:t>
            </w:r>
          </w:p>
          <w:p>
            <w:pPr>
              <w:widowControl/>
              <w:jc w:val="left"/>
              <w:rPr>
                <w:rFonts w:hAnsi="宋体"/>
                <w:kern w:val="0"/>
                <w:szCs w:val="21"/>
              </w:rPr>
            </w:pPr>
            <w:r>
              <w:rPr>
                <w:rFonts w:ascii="宋体" w:hAnsi="宋体"/>
                <w:kern w:val="0"/>
                <w:szCs w:val="21"/>
              </w:rPr>
              <w:t>②</w:t>
            </w:r>
            <w:r>
              <w:rPr>
                <w:rFonts w:hAnsi="宋体"/>
                <w:kern w:val="0"/>
                <w:szCs w:val="21"/>
              </w:rPr>
              <w:t>凡建造师注册证书未发放到位的，可由省辖市建设（建筑）行政主管部门出具注册建造师执业证明</w:t>
            </w:r>
          </w:p>
          <w:p>
            <w:pPr>
              <w:spacing w:line="320" w:lineRule="exact"/>
              <w:ind w:firstLine="27" w:firstLineChars="13"/>
              <w:jc w:val="left"/>
              <w:rPr>
                <w:rFonts w:hint="default" w:asciiTheme="minorEastAsia" w:hAnsiTheme="minorEastAsia" w:cstheme="minorEastAsia"/>
                <w:lang w:val="en-US" w:eastAsia="zh-CN"/>
              </w:rPr>
            </w:pPr>
            <w:r>
              <w:rPr>
                <w:rFonts w:hint="eastAsia" w:ascii="Times New Roman" w:hAnsi="宋体" w:eastAsia="宋体" w:cs="Times New Roman"/>
                <w:kern w:val="0"/>
                <w:sz w:val="21"/>
                <w:szCs w:val="21"/>
                <w:lang w:val="en-US" w:eastAsia="zh-CN" w:bidi="ar-SA"/>
              </w:rPr>
              <w:t>注：根据住房和城乡建设部办公厅《住房和城乡建设部办公厅关于全面实行一级建造师电子注册证书的通知》</w:t>
            </w:r>
            <w:r>
              <w:rPr>
                <w:rFonts w:ascii="Times New Roman" w:hAnsi="宋体" w:eastAsia="宋体" w:cs="Times New Roman"/>
                <w:kern w:val="0"/>
                <w:sz w:val="21"/>
                <w:szCs w:val="21"/>
                <w:lang w:val="en-US" w:eastAsia="zh-CN" w:bidi="ar-SA"/>
              </w:rPr>
              <w:t>(建办市[2021]40号)规定，自2022年1月1日起，一级建造师统一使用电子证书，纸质注册证书作废。一级建造师应在电子证书个人签名处手写本人签名，未手写签名或与签名图像笔迹不一致的，该电子证书无效</w:t>
            </w:r>
            <w:r>
              <w:rPr>
                <w:rFonts w:hint="eastAsia" w:ascii="Times New Roman" w:hAnsi="宋体" w:eastAsia="宋体" w:cs="Times New Roman"/>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5000" w:type="pct"/>
            <w:gridSpan w:val="4"/>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kern w:val="0"/>
                <w:szCs w:val="21"/>
              </w:rPr>
              <w:t>备注：所有复印件必须清晰，否则由此引起的后果由参选单位自行承担。</w:t>
            </w:r>
          </w:p>
        </w:tc>
      </w:tr>
    </w:tbl>
    <w:p>
      <w:pPr>
        <w:adjustRightInd w:val="0"/>
        <w:snapToGrid w:val="0"/>
        <w:spacing w:before="100" w:beforeAutospacing="1"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本次资格审查采用合格制，各参选人只有满足资格审查必要合格条件后，方可参与后续评审。</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2、技术标部分评审（</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0分）</w:t>
      </w:r>
    </w:p>
    <w:tbl>
      <w:tblPr>
        <w:tblStyle w:val="16"/>
        <w:tblW w:w="8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0"/>
        <w:gridCol w:w="1321"/>
        <w:gridCol w:w="6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690" w:type="dxa"/>
          </w:tcPr>
          <w:p>
            <w:pPr>
              <w:spacing w:line="48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000000"/>
                <w:sz w:val="21"/>
                <w:szCs w:val="21"/>
              </w:rPr>
              <w:t>序号</w:t>
            </w:r>
          </w:p>
        </w:tc>
        <w:tc>
          <w:tcPr>
            <w:tcW w:w="1321" w:type="dxa"/>
          </w:tcPr>
          <w:p>
            <w:pPr>
              <w:spacing w:line="480" w:lineRule="exact"/>
              <w:jc w:val="center"/>
              <w:rPr>
                <w:rFonts w:hint="eastAsia" w:asciiTheme="majorEastAsia" w:hAnsiTheme="majorEastAsia" w:eastAsiaTheme="majorEastAsia" w:cstheme="majorEastAsia"/>
                <w:b/>
                <w:color w:val="000000"/>
                <w:sz w:val="21"/>
                <w:szCs w:val="21"/>
              </w:rPr>
            </w:pPr>
            <w:r>
              <w:rPr>
                <w:rFonts w:hint="eastAsia" w:asciiTheme="majorEastAsia" w:hAnsiTheme="majorEastAsia" w:eastAsiaTheme="majorEastAsia" w:cstheme="majorEastAsia"/>
                <w:b/>
                <w:color w:val="000000"/>
                <w:sz w:val="21"/>
                <w:szCs w:val="21"/>
              </w:rPr>
              <w:t>评审要素</w:t>
            </w:r>
          </w:p>
        </w:tc>
        <w:tc>
          <w:tcPr>
            <w:tcW w:w="6735" w:type="dxa"/>
          </w:tcPr>
          <w:p>
            <w:pPr>
              <w:spacing w:line="48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heme="majorEastAsia" w:hAnsiTheme="majorEastAsia" w:eastAsiaTheme="majorEastAsia" w:cstheme="majorEastAsia"/>
                <w:b/>
                <w:color w:val="000000"/>
                <w:sz w:val="21"/>
                <w:szCs w:val="21"/>
                <w:lang w:eastAsia="zh-CN"/>
              </w:rPr>
            </w:pPr>
            <w:r>
              <w:rPr>
                <w:rFonts w:hint="eastAsia" w:asciiTheme="majorEastAsia" w:hAnsiTheme="majorEastAsia" w:eastAsiaTheme="majorEastAsia" w:cstheme="majorEastAsia"/>
                <w:b/>
                <w:color w:val="000000"/>
                <w:sz w:val="21"/>
                <w:szCs w:val="21"/>
                <w:lang w:val="en-US" w:eastAsia="zh-CN"/>
              </w:rPr>
              <w:t>1</w:t>
            </w:r>
          </w:p>
        </w:tc>
        <w:tc>
          <w:tcPr>
            <w:tcW w:w="132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rPr>
              <w:t>企业荣誉（1</w:t>
            </w:r>
            <w:r>
              <w:rPr>
                <w:rFonts w:hint="eastAsia" w:asciiTheme="majorEastAsia" w:hAnsiTheme="majorEastAsia" w:eastAsiaTheme="majorEastAsia" w:cstheme="majorEastAsia"/>
                <w:b/>
                <w:color w:val="000000"/>
                <w:sz w:val="21"/>
                <w:szCs w:val="21"/>
                <w:lang w:val="en-US" w:eastAsia="zh-CN"/>
              </w:rPr>
              <w:t>0</w:t>
            </w:r>
            <w:r>
              <w:rPr>
                <w:rFonts w:hint="eastAsia" w:asciiTheme="majorEastAsia" w:hAnsiTheme="majorEastAsia" w:eastAsiaTheme="majorEastAsia" w:cstheme="majorEastAsia"/>
                <w:b/>
                <w:color w:val="000000"/>
                <w:sz w:val="21"/>
                <w:szCs w:val="21"/>
              </w:rPr>
              <w:t>分）</w:t>
            </w:r>
          </w:p>
        </w:tc>
        <w:tc>
          <w:tcPr>
            <w:tcW w:w="6735" w:type="dxa"/>
            <w:tcBorders>
              <w:left w:val="single" w:color="auto" w:sz="4" w:space="0"/>
            </w:tcBorders>
            <w:vAlign w:val="center"/>
          </w:tcPr>
          <w:p>
            <w:pPr>
              <w:widowControl/>
              <w:snapToGrid w:val="0"/>
              <w:textAlignment w:val="baseline"/>
              <w:outlineLvl w:val="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投标人自20</w:t>
            </w:r>
            <w:r>
              <w:rPr>
                <w:rFonts w:hint="eastAsia" w:asciiTheme="majorEastAsia" w:hAnsiTheme="majorEastAsia" w:eastAsiaTheme="majorEastAsia" w:cstheme="majorEastAsia"/>
                <w:color w:val="000000"/>
                <w:sz w:val="21"/>
                <w:szCs w:val="21"/>
                <w:lang w:val="en-US" w:eastAsia="zh-CN"/>
              </w:rPr>
              <w:t>20</w:t>
            </w:r>
            <w:r>
              <w:rPr>
                <w:rFonts w:hint="eastAsia" w:asciiTheme="majorEastAsia" w:hAnsiTheme="majorEastAsia" w:eastAsiaTheme="majorEastAsia" w:cstheme="majorEastAsia"/>
                <w:color w:val="000000"/>
                <w:sz w:val="21"/>
                <w:szCs w:val="21"/>
              </w:rPr>
              <w:t>年1月1日以来，因管理和服务工作突出，获得地级市及以上人民政府机关或政府部门颁发的荣誉奖励的，有一个得5分，获得县（区）级人民政府机关或政府部门颁发的荣誉奖励的，有一个得1分；满分1</w:t>
            </w:r>
            <w:r>
              <w:rPr>
                <w:rFonts w:hint="eastAsia" w:asciiTheme="majorEastAsia" w:hAnsiTheme="majorEastAsia" w:eastAsiaTheme="majorEastAsia" w:cstheme="majorEastAsia"/>
                <w:color w:val="000000"/>
                <w:sz w:val="21"/>
                <w:szCs w:val="21"/>
                <w:lang w:val="en-US" w:eastAsia="zh-CN"/>
              </w:rPr>
              <w:t>0</w:t>
            </w:r>
            <w:r>
              <w:rPr>
                <w:rFonts w:hint="eastAsia" w:asciiTheme="majorEastAsia" w:hAnsiTheme="majorEastAsia" w:eastAsiaTheme="majorEastAsia" w:cstheme="majorEastAsia"/>
                <w:color w:val="000000"/>
                <w:sz w:val="21"/>
                <w:szCs w:val="21"/>
              </w:rPr>
              <w:t>分。提供荣誉证书复印件并加盖公章。原件备查。</w:t>
            </w:r>
            <w:r>
              <w:rPr>
                <w:rFonts w:hint="eastAsia" w:asciiTheme="majorEastAsia" w:hAnsiTheme="majorEastAsia" w:eastAsiaTheme="majorEastAsia" w:cstheme="majorEastAsia"/>
                <w:sz w:val="21"/>
                <w:szCs w:val="21"/>
              </w:rPr>
              <w:t>未提供不得分</w:t>
            </w:r>
            <w:r>
              <w:rPr>
                <w:rFonts w:hint="eastAsia" w:asciiTheme="majorEastAsia" w:hAnsiTheme="majorEastAsia" w:eastAsiaTheme="majorEastAsia" w:cstheme="majorEastAsia"/>
                <w:b/>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2</w:t>
            </w:r>
          </w:p>
        </w:tc>
        <w:tc>
          <w:tcPr>
            <w:tcW w:w="132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color w:val="000000"/>
                <w:sz w:val="21"/>
                <w:szCs w:val="21"/>
              </w:rPr>
              <w:t>类似业绩（</w:t>
            </w:r>
            <w:r>
              <w:rPr>
                <w:rFonts w:hint="eastAsia" w:asciiTheme="majorEastAsia" w:hAnsiTheme="majorEastAsia" w:eastAsiaTheme="majorEastAsia" w:cstheme="majorEastAsia"/>
                <w:b/>
                <w:color w:val="000000"/>
                <w:sz w:val="21"/>
                <w:szCs w:val="21"/>
                <w:lang w:val="en-US" w:eastAsia="zh-CN"/>
              </w:rPr>
              <w:t>2</w:t>
            </w:r>
            <w:r>
              <w:rPr>
                <w:rFonts w:hint="eastAsia" w:asciiTheme="majorEastAsia" w:hAnsiTheme="majorEastAsia" w:eastAsiaTheme="majorEastAsia" w:cstheme="majorEastAsia"/>
                <w:b/>
                <w:color w:val="000000"/>
                <w:sz w:val="21"/>
                <w:szCs w:val="21"/>
              </w:rPr>
              <w:t>分）</w:t>
            </w:r>
          </w:p>
        </w:tc>
        <w:tc>
          <w:tcPr>
            <w:tcW w:w="6735" w:type="dxa"/>
            <w:tcBorders>
              <w:left w:val="single" w:color="auto" w:sz="4" w:space="0"/>
            </w:tcBorders>
            <w:vAlign w:val="center"/>
          </w:tcPr>
          <w:p>
            <w:pPr>
              <w:widowControl/>
              <w:snapToGrid w:val="0"/>
              <w:jc w:val="left"/>
              <w:textAlignment w:val="baseline"/>
              <w:outlineLvl w:val="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供应商在20</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年1月1日以来（时间以合同签订时间为准），承担过类似金融</w:t>
            </w:r>
            <w:r>
              <w:rPr>
                <w:rFonts w:hint="eastAsia" w:asciiTheme="majorEastAsia" w:hAnsiTheme="majorEastAsia" w:eastAsiaTheme="majorEastAsia" w:cstheme="majorEastAsia"/>
                <w:sz w:val="21"/>
                <w:szCs w:val="21"/>
                <w:lang w:val="en-US" w:eastAsia="zh-CN"/>
              </w:rPr>
              <w:t>安保</w:t>
            </w:r>
            <w:r>
              <w:rPr>
                <w:rFonts w:hint="eastAsia" w:asciiTheme="majorEastAsia" w:hAnsiTheme="majorEastAsia" w:eastAsiaTheme="majorEastAsia" w:cstheme="majorEastAsia"/>
                <w:sz w:val="21"/>
                <w:szCs w:val="21"/>
              </w:rPr>
              <w:t>消防维保业绩</w:t>
            </w:r>
            <w:r>
              <w:rPr>
                <w:rFonts w:hint="eastAsia" w:asciiTheme="majorEastAsia" w:hAnsiTheme="majorEastAsia" w:eastAsiaTheme="majorEastAsia" w:cstheme="majorEastAsia"/>
                <w:bCs/>
                <w:sz w:val="21"/>
                <w:szCs w:val="21"/>
              </w:rPr>
              <w:t>，每份合同得1分，</w:t>
            </w:r>
            <w:r>
              <w:rPr>
                <w:rFonts w:hint="eastAsia" w:asciiTheme="majorEastAsia" w:hAnsiTheme="majorEastAsia" w:eastAsiaTheme="majorEastAsia" w:cstheme="majorEastAsia"/>
                <w:sz w:val="21"/>
                <w:szCs w:val="21"/>
              </w:rPr>
              <w:t>最高得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w:t>
            </w:r>
          </w:p>
          <w:p>
            <w:pPr>
              <w:widowControl/>
              <w:snapToGrid w:val="0"/>
              <w:jc w:val="left"/>
              <w:textAlignment w:val="baseline"/>
              <w:outlineLvl w:val="1"/>
              <w:rPr>
                <w:rFonts w:hint="eastAsia" w:asciiTheme="majorEastAsia" w:hAnsiTheme="majorEastAsia" w:eastAsiaTheme="majorEastAsia" w:cstheme="majorEastAsia"/>
                <w:sz w:val="21"/>
                <w:szCs w:val="21"/>
                <w:u w:val="thick" w:color="C0504D"/>
              </w:rPr>
            </w:pPr>
            <w:r>
              <w:rPr>
                <w:rFonts w:hint="eastAsia" w:asciiTheme="majorEastAsia" w:hAnsiTheme="majorEastAsia" w:eastAsiaTheme="majorEastAsia" w:cstheme="majorEastAsia"/>
                <w:sz w:val="21"/>
                <w:szCs w:val="21"/>
              </w:rPr>
              <w:t>注：提供完整合同的复印件。</w:t>
            </w:r>
            <w:r>
              <w:rPr>
                <w:rFonts w:hint="eastAsia" w:asciiTheme="majorEastAsia" w:hAnsiTheme="majorEastAsia" w:eastAsiaTheme="majorEastAsia" w:cstheme="majorEastAsia"/>
                <w:sz w:val="21"/>
                <w:szCs w:val="21"/>
                <w:lang w:val="en-US" w:eastAsia="zh-CN"/>
              </w:rPr>
              <w:t>非金融安保维保业绩</w:t>
            </w:r>
            <w:r>
              <w:rPr>
                <w:rFonts w:hint="eastAsia" w:asciiTheme="majorEastAsia" w:hAnsiTheme="majorEastAsia" w:eastAsiaTheme="majorEastAsia" w:cstheme="majorEastAsia"/>
                <w:sz w:val="21"/>
                <w:szCs w:val="21"/>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8" w:hRule="atLeast"/>
          <w:jc w:val="center"/>
        </w:trPr>
        <w:tc>
          <w:tcPr>
            <w:tcW w:w="690" w:type="dxa"/>
            <w:tcBorders>
              <w:top w:val="single" w:color="auto" w:sz="4" w:space="0"/>
              <w:bottom w:val="nil"/>
            </w:tcBorders>
            <w:vAlign w:val="center"/>
          </w:tcPr>
          <w:p>
            <w:pPr>
              <w:spacing w:line="48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3</w:t>
            </w:r>
          </w:p>
        </w:tc>
        <w:tc>
          <w:tcPr>
            <w:tcW w:w="1321" w:type="dxa"/>
            <w:tcBorders>
              <w:top w:val="single" w:color="auto" w:sz="4" w:space="0"/>
              <w:bottom w:val="nil"/>
            </w:tcBorders>
            <w:vAlign w:val="center"/>
          </w:tcPr>
          <w:p>
            <w:pPr>
              <w:spacing w:line="3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拟派服务人员技术力量</w:t>
            </w:r>
          </w:p>
          <w:p>
            <w:pP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000000"/>
                <w:kern w:val="0"/>
                <w:sz w:val="21"/>
                <w:szCs w:val="21"/>
              </w:rPr>
              <w:t>（</w:t>
            </w:r>
            <w:r>
              <w:rPr>
                <w:rFonts w:hint="eastAsia" w:asciiTheme="majorEastAsia" w:hAnsiTheme="majorEastAsia" w:eastAsiaTheme="majorEastAsia" w:cstheme="majorEastAsia"/>
                <w:b/>
                <w:color w:val="000000"/>
                <w:kern w:val="0"/>
                <w:sz w:val="21"/>
                <w:szCs w:val="21"/>
                <w:lang w:val="en-US" w:eastAsia="zh-CN"/>
              </w:rPr>
              <w:t>8</w:t>
            </w:r>
            <w:r>
              <w:rPr>
                <w:rFonts w:hint="eastAsia" w:asciiTheme="majorEastAsia" w:hAnsiTheme="majorEastAsia" w:eastAsiaTheme="majorEastAsia" w:cstheme="majorEastAsia"/>
                <w:b/>
                <w:color w:val="000000"/>
                <w:kern w:val="0"/>
                <w:sz w:val="21"/>
                <w:szCs w:val="21"/>
              </w:rPr>
              <w:t>分）</w:t>
            </w:r>
          </w:p>
        </w:tc>
        <w:tc>
          <w:tcPr>
            <w:tcW w:w="6735" w:type="dxa"/>
            <w:vAlign w:val="center"/>
          </w:tcPr>
          <w:p>
            <w:pPr>
              <w:numPr>
                <w:ilvl w:val="0"/>
                <w:numId w:val="3"/>
              </w:numPr>
              <w:spacing w:line="276"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项目负责人1名。持有一级注册消防工程师证书或高级消防设施操作员或建（构）筑物消防员证，得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分，如有消防专业大专及以上文凭，另加</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分，最高得</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分。</w:t>
            </w:r>
          </w:p>
          <w:p>
            <w:pPr>
              <w:numPr>
                <w:ilvl w:val="0"/>
                <w:numId w:val="3"/>
              </w:numPr>
              <w:spacing w:line="276"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项目组人员具有高级消防设施操作员或建（构）筑物消防员证，得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分，如有消防专业大专及以上文凭，另加</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分；最高得</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分。</w:t>
            </w:r>
          </w:p>
          <w:p>
            <w:pPr>
              <w:numPr>
                <w:ilvl w:val="0"/>
                <w:numId w:val="3"/>
              </w:numPr>
              <w:spacing w:line="276"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具有中级消防设施操作员或建（构）筑物消防员证，得1分，如有消防专业大专及以上文凭，另加</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分。最高得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w:t>
            </w:r>
          </w:p>
          <w:p>
            <w:pPr>
              <w:numPr>
                <w:ilvl w:val="0"/>
                <w:numId w:val="3"/>
              </w:numPr>
              <w:spacing w:line="276"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本项目满分</w:t>
            </w: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分。</w:t>
            </w:r>
          </w:p>
          <w:p>
            <w:pPr>
              <w:numPr>
                <w:ilvl w:val="0"/>
                <w:numId w:val="3"/>
              </w:numPr>
              <w:spacing w:line="276"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以上需提供相关证书复印件，大专及以上文凭</w:t>
            </w:r>
            <w:r>
              <w:rPr>
                <w:rFonts w:hint="eastAsia" w:asciiTheme="majorEastAsia" w:hAnsiTheme="majorEastAsia" w:eastAsiaTheme="majorEastAsia" w:cstheme="majorEastAsia"/>
                <w:sz w:val="21"/>
                <w:szCs w:val="21"/>
                <w:lang w:val="en-US" w:eastAsia="zh-CN"/>
              </w:rPr>
              <w:t>需提供</w:t>
            </w:r>
            <w:r>
              <w:rPr>
                <w:rFonts w:hint="eastAsia" w:asciiTheme="majorEastAsia" w:hAnsiTheme="majorEastAsia" w:eastAsiaTheme="majorEastAsia" w:cstheme="majorEastAsia"/>
                <w:sz w:val="21"/>
                <w:szCs w:val="21"/>
              </w:rPr>
              <w:t>学信网</w:t>
            </w:r>
            <w:r>
              <w:rPr>
                <w:rFonts w:hint="eastAsia" w:asciiTheme="majorEastAsia" w:hAnsiTheme="majorEastAsia" w:eastAsiaTheme="majorEastAsia" w:cstheme="majorEastAsia"/>
                <w:sz w:val="21"/>
                <w:szCs w:val="21"/>
                <w:lang w:val="en-US" w:eastAsia="zh-CN"/>
              </w:rPr>
              <w:t>截图，否则不得分</w:t>
            </w:r>
            <w:r>
              <w:rPr>
                <w:rFonts w:hint="eastAsia" w:asciiTheme="majorEastAsia" w:hAnsiTheme="majorEastAsia" w:eastAsiaTheme="majorEastAsia" w:cstheme="majorEastAsia"/>
                <w:sz w:val="21"/>
                <w:szCs w:val="21"/>
              </w:rPr>
              <w:t>（消防专业是指消防管理专业或消防工程专业），并提供</w:t>
            </w:r>
            <w:r>
              <w:rPr>
                <w:rFonts w:hint="eastAsia" w:asciiTheme="majorEastAsia" w:hAnsiTheme="majorEastAsia" w:eastAsiaTheme="majorEastAsia" w:cstheme="majorEastAsia"/>
                <w:sz w:val="21"/>
                <w:szCs w:val="21"/>
                <w:lang w:val="en-US" w:eastAsia="zh-CN"/>
              </w:rPr>
              <w:t>参选人</w:t>
            </w:r>
            <w:r>
              <w:rPr>
                <w:rFonts w:hint="eastAsia" w:asciiTheme="majorEastAsia" w:hAnsiTheme="majorEastAsia" w:eastAsiaTheme="majorEastAsia" w:cstheme="majorEastAsia"/>
                <w:sz w:val="21"/>
                <w:szCs w:val="21"/>
              </w:rPr>
              <w:t>为其缴纳2022年</w:t>
            </w: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rPr>
              <w:t>月-2023年</w:t>
            </w: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rPr>
              <w:t>月的社保缴费记录。人员不能重复计分。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1" w:hRule="atLeast"/>
          <w:jc w:val="center"/>
        </w:trPr>
        <w:tc>
          <w:tcPr>
            <w:tcW w:w="690" w:type="dxa"/>
            <w:vAlign w:val="center"/>
          </w:tcPr>
          <w:p>
            <w:pPr>
              <w:spacing w:line="480" w:lineRule="exact"/>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b/>
                <w:color w:val="000000"/>
                <w:sz w:val="21"/>
                <w:szCs w:val="21"/>
                <w:lang w:val="en-US" w:eastAsia="zh-CN"/>
              </w:rPr>
              <w:t>4</w:t>
            </w:r>
          </w:p>
        </w:tc>
        <w:tc>
          <w:tcPr>
            <w:tcW w:w="1321" w:type="dxa"/>
            <w:vAlign w:val="center"/>
          </w:tcPr>
          <w:p>
            <w:pPr>
              <w:spacing w:line="3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消防维保服务方案（</w:t>
            </w:r>
            <w:r>
              <w:rPr>
                <w:rFonts w:hint="eastAsia" w:asciiTheme="majorEastAsia" w:hAnsiTheme="majorEastAsia" w:eastAsiaTheme="majorEastAsia" w:cstheme="majorEastAsia"/>
                <w:b/>
                <w:bCs/>
                <w:sz w:val="21"/>
                <w:szCs w:val="21"/>
                <w:lang w:val="en-US" w:eastAsia="zh-CN"/>
              </w:rPr>
              <w:t>30</w:t>
            </w:r>
            <w:r>
              <w:rPr>
                <w:rFonts w:hint="eastAsia" w:asciiTheme="majorEastAsia" w:hAnsiTheme="majorEastAsia" w:eastAsiaTheme="majorEastAsia" w:cstheme="majorEastAsia"/>
                <w:b/>
                <w:bCs/>
                <w:sz w:val="21"/>
                <w:szCs w:val="21"/>
              </w:rPr>
              <w:t>分）</w:t>
            </w:r>
          </w:p>
          <w:p>
            <w:pPr>
              <w:spacing w:line="360" w:lineRule="exact"/>
              <w:jc w:val="center"/>
              <w:rPr>
                <w:rFonts w:hint="eastAsia" w:asciiTheme="majorEastAsia" w:hAnsiTheme="majorEastAsia" w:eastAsiaTheme="majorEastAsia" w:cstheme="majorEastAsia"/>
                <w:sz w:val="21"/>
                <w:szCs w:val="21"/>
              </w:rPr>
            </w:pPr>
          </w:p>
        </w:tc>
        <w:tc>
          <w:tcPr>
            <w:tcW w:w="6735" w:type="dxa"/>
            <w:vAlign w:val="center"/>
          </w:tcPr>
          <w:p>
            <w:pPr>
              <w:spacing w:line="276"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服务响应方案。针对项目需求提供服务响应方案。方案内容全面完整，科学合理，与项目需求契合度高，得</w:t>
            </w: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分；方案内容基本完整，与项目需求契合度较高，得</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分；方案内容不够完整，与项目需求契合度不高，得1分；最高得</w:t>
            </w: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分。</w:t>
            </w:r>
            <w:r>
              <w:rPr>
                <w:rFonts w:hint="eastAsia" w:asciiTheme="majorEastAsia" w:hAnsiTheme="majorEastAsia" w:eastAsiaTheme="majorEastAsia" w:cstheme="majorEastAsia"/>
                <w:bCs/>
                <w:sz w:val="21"/>
                <w:szCs w:val="21"/>
              </w:rPr>
              <w:t>未提供不得分</w:t>
            </w:r>
            <w:r>
              <w:rPr>
                <w:rFonts w:hint="eastAsia" w:asciiTheme="majorEastAsia" w:hAnsiTheme="majorEastAsia" w:eastAsiaTheme="majorEastAsia" w:cstheme="majorEastAsia"/>
                <w:bCs/>
                <w:sz w:val="21"/>
                <w:szCs w:val="21"/>
                <w:lang w:eastAsia="zh-CN"/>
              </w:rPr>
              <w:t>。</w:t>
            </w:r>
          </w:p>
          <w:p>
            <w:pPr>
              <w:spacing w:line="276"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消防维保方案：主要是指提供相关的维保方案。方案内容全面完整，科学合理，得</w:t>
            </w: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分；方案内容基本完整，与项目需求契合度</w:t>
            </w:r>
            <w:r>
              <w:rPr>
                <w:rFonts w:hint="eastAsia" w:asciiTheme="majorEastAsia" w:hAnsiTheme="majorEastAsia" w:eastAsiaTheme="majorEastAsia" w:cstheme="majorEastAsia"/>
                <w:sz w:val="21"/>
                <w:szCs w:val="21"/>
                <w:lang w:val="en-US" w:eastAsia="zh-CN"/>
              </w:rPr>
              <w:t>一般</w:t>
            </w:r>
            <w:r>
              <w:rPr>
                <w:rFonts w:hint="eastAsia" w:asciiTheme="majorEastAsia" w:hAnsiTheme="majorEastAsia" w:eastAsiaTheme="majorEastAsia" w:cstheme="majorEastAsia"/>
                <w:sz w:val="21"/>
                <w:szCs w:val="21"/>
              </w:rPr>
              <w:t>，得</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分；方案内容不够完整，与项目需求契合度不高，得1分；最高得</w:t>
            </w: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分。</w:t>
            </w:r>
            <w:r>
              <w:rPr>
                <w:rFonts w:hint="eastAsia" w:asciiTheme="majorEastAsia" w:hAnsiTheme="majorEastAsia" w:eastAsiaTheme="majorEastAsia" w:cstheme="majorEastAsia"/>
                <w:bCs/>
                <w:sz w:val="21"/>
                <w:szCs w:val="21"/>
              </w:rPr>
              <w:t>未提供不得分</w:t>
            </w:r>
            <w:r>
              <w:rPr>
                <w:rFonts w:hint="eastAsia" w:asciiTheme="majorEastAsia" w:hAnsiTheme="majorEastAsia" w:eastAsiaTheme="majorEastAsia" w:cstheme="majorEastAsia"/>
                <w:sz w:val="21"/>
                <w:szCs w:val="21"/>
              </w:rPr>
              <w:t>。</w:t>
            </w:r>
          </w:p>
          <w:p>
            <w:pPr>
              <w:spacing w:line="276" w:lineRule="auto"/>
              <w:jc w:val="left"/>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sz w:val="21"/>
                <w:szCs w:val="21"/>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bCs/>
                <w:sz w:val="21"/>
                <w:szCs w:val="21"/>
              </w:rPr>
              <w:t>参选供应商的管理制度、应急方案与措施、服务响应措施、安全和文明服务措施方案。方案合理性、可行性、完整性较好</w:t>
            </w:r>
            <w:r>
              <w:rPr>
                <w:rFonts w:hint="eastAsia" w:asciiTheme="majorEastAsia" w:hAnsiTheme="majorEastAsia" w:eastAsiaTheme="majorEastAsia" w:cstheme="majorEastAsia"/>
                <w:sz w:val="21"/>
                <w:szCs w:val="21"/>
              </w:rPr>
              <w:t>得</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bCs/>
                <w:sz w:val="21"/>
                <w:szCs w:val="21"/>
              </w:rPr>
              <w:t>方案合理性、可行性、完整性一般</w:t>
            </w:r>
            <w:r>
              <w:rPr>
                <w:rFonts w:hint="eastAsia" w:asciiTheme="majorEastAsia" w:hAnsiTheme="majorEastAsia" w:eastAsiaTheme="majorEastAsia" w:cstheme="majorEastAsia"/>
                <w:bCs/>
                <w:sz w:val="21"/>
                <w:szCs w:val="21"/>
                <w:lang w:val="en-US" w:eastAsia="zh-CN"/>
              </w:rPr>
              <w:t>得3</w:t>
            </w:r>
            <w:r>
              <w:rPr>
                <w:rFonts w:hint="eastAsia" w:asciiTheme="majorEastAsia" w:hAnsiTheme="majorEastAsia" w:eastAsiaTheme="majorEastAsia" w:cstheme="majorEastAsia"/>
                <w:bCs/>
                <w:sz w:val="21"/>
                <w:szCs w:val="21"/>
              </w:rPr>
              <w:t>分，方案合理性、可行性、完整性较差</w:t>
            </w:r>
            <w:r>
              <w:rPr>
                <w:rFonts w:hint="eastAsia" w:asciiTheme="majorEastAsia" w:hAnsiTheme="majorEastAsia" w:eastAsiaTheme="majorEastAsia" w:cstheme="majorEastAsia"/>
                <w:bCs/>
                <w:sz w:val="21"/>
                <w:szCs w:val="21"/>
                <w:lang w:val="en-US" w:eastAsia="zh-CN"/>
              </w:rPr>
              <w:t>得1</w:t>
            </w:r>
            <w:r>
              <w:rPr>
                <w:rFonts w:hint="eastAsia" w:asciiTheme="majorEastAsia" w:hAnsiTheme="majorEastAsia" w:eastAsiaTheme="majorEastAsia" w:cstheme="majorEastAsia"/>
                <w:bCs/>
                <w:sz w:val="21"/>
                <w:szCs w:val="21"/>
              </w:rPr>
              <w:t>分，最高得</w:t>
            </w:r>
            <w:r>
              <w:rPr>
                <w:rFonts w:hint="eastAsia" w:asciiTheme="majorEastAsia" w:hAnsiTheme="majorEastAsia" w:eastAsiaTheme="majorEastAsia" w:cstheme="majorEastAsia"/>
                <w:bCs/>
                <w:sz w:val="21"/>
                <w:szCs w:val="21"/>
                <w:lang w:val="en-US" w:eastAsia="zh-CN"/>
              </w:rPr>
              <w:t>6</w:t>
            </w:r>
            <w:r>
              <w:rPr>
                <w:rFonts w:hint="eastAsia" w:asciiTheme="majorEastAsia" w:hAnsiTheme="majorEastAsia" w:eastAsiaTheme="majorEastAsia" w:cstheme="majorEastAsia"/>
                <w:bCs/>
                <w:sz w:val="21"/>
                <w:szCs w:val="21"/>
              </w:rPr>
              <w:t>分。未提供不得分。</w:t>
            </w:r>
          </w:p>
          <w:p>
            <w:pPr>
              <w:spacing w:line="276" w:lineRule="auto"/>
              <w:jc w:val="left"/>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 w:val="21"/>
                <w:szCs w:val="21"/>
                <w:highlight w:val="none"/>
                <w:lang w:val="en-US" w:eastAsia="zh-CN"/>
              </w:rPr>
              <w:t>4、参选人</w:t>
            </w:r>
            <w:r>
              <w:rPr>
                <w:rFonts w:hint="eastAsia" w:asciiTheme="majorEastAsia" w:hAnsiTheme="majorEastAsia" w:eastAsiaTheme="majorEastAsia" w:cstheme="majorEastAsia"/>
                <w:kern w:val="0"/>
                <w:sz w:val="21"/>
                <w:szCs w:val="21"/>
                <w:highlight w:val="none"/>
                <w:lang w:val="en-US" w:eastAsia="zh-CN"/>
              </w:rPr>
              <w:t>持</w:t>
            </w:r>
            <w:r>
              <w:rPr>
                <w:rFonts w:hint="eastAsia" w:asciiTheme="majorEastAsia" w:hAnsiTheme="majorEastAsia" w:eastAsiaTheme="majorEastAsia" w:cstheme="majorEastAsia"/>
                <w:kern w:val="0"/>
                <w:sz w:val="21"/>
                <w:szCs w:val="21"/>
                <w:highlight w:val="none"/>
              </w:rPr>
              <w:t>有</w:t>
            </w:r>
            <w:r>
              <w:rPr>
                <w:rFonts w:hint="eastAsia" w:asciiTheme="majorEastAsia" w:hAnsiTheme="majorEastAsia" w:eastAsiaTheme="majorEastAsia" w:cstheme="majorEastAsia"/>
                <w:kern w:val="0"/>
                <w:sz w:val="21"/>
                <w:szCs w:val="21"/>
                <w:highlight w:val="none"/>
                <w:lang w:val="en-US" w:eastAsia="zh-CN"/>
              </w:rPr>
              <w:t>与本单位</w:t>
            </w:r>
            <w:r>
              <w:rPr>
                <w:rFonts w:hint="eastAsia" w:asciiTheme="majorEastAsia" w:hAnsiTheme="majorEastAsia" w:eastAsiaTheme="majorEastAsia" w:cstheme="majorEastAsia"/>
                <w:kern w:val="0"/>
                <w:sz w:val="21"/>
                <w:szCs w:val="21"/>
                <w:highlight w:val="none"/>
              </w:rPr>
              <w:t>火灾报警设备</w:t>
            </w:r>
            <w:r>
              <w:rPr>
                <w:rFonts w:hint="eastAsia" w:asciiTheme="majorEastAsia" w:hAnsiTheme="majorEastAsia" w:eastAsiaTheme="majorEastAsia" w:cstheme="majorEastAsia"/>
                <w:kern w:val="0"/>
                <w:sz w:val="21"/>
                <w:szCs w:val="21"/>
                <w:highlight w:val="none"/>
                <w:lang w:val="en-US" w:eastAsia="zh-CN"/>
              </w:rPr>
              <w:t>品牌一致的</w:t>
            </w:r>
            <w:r>
              <w:rPr>
                <w:rFonts w:hint="eastAsia" w:asciiTheme="majorEastAsia" w:hAnsiTheme="majorEastAsia" w:eastAsiaTheme="majorEastAsia" w:cstheme="majorEastAsia"/>
                <w:kern w:val="0"/>
                <w:sz w:val="21"/>
                <w:szCs w:val="21"/>
                <w:highlight w:val="none"/>
              </w:rPr>
              <w:t>生产厂家提供的维修保养操作</w:t>
            </w:r>
            <w:r>
              <w:rPr>
                <w:rFonts w:hint="eastAsia" w:asciiTheme="majorEastAsia" w:hAnsiTheme="majorEastAsia" w:eastAsiaTheme="majorEastAsia" w:cstheme="majorEastAsia"/>
                <w:kern w:val="0"/>
                <w:sz w:val="21"/>
                <w:szCs w:val="21"/>
                <w:highlight w:val="none"/>
                <w:lang w:val="en-US" w:eastAsia="zh-CN"/>
              </w:rPr>
              <w:t>合格证书的</w:t>
            </w:r>
            <w:r>
              <w:rPr>
                <w:rFonts w:hint="eastAsia" w:asciiTheme="majorEastAsia" w:hAnsiTheme="majorEastAsia" w:eastAsiaTheme="majorEastAsia" w:cstheme="majorEastAsia"/>
                <w:kern w:val="0"/>
                <w:sz w:val="21"/>
                <w:szCs w:val="21"/>
                <w:highlight w:val="none"/>
              </w:rPr>
              <w:t>，得</w:t>
            </w:r>
            <w:r>
              <w:rPr>
                <w:rFonts w:hint="eastAsia" w:asciiTheme="majorEastAsia" w:hAnsiTheme="majorEastAsia" w:eastAsiaTheme="majorEastAsia" w:cstheme="majorEastAsia"/>
                <w:kern w:val="0"/>
                <w:sz w:val="21"/>
                <w:szCs w:val="21"/>
                <w:highlight w:val="none"/>
                <w:lang w:val="en-US" w:eastAsia="zh-CN"/>
              </w:rPr>
              <w:t>8</w:t>
            </w:r>
            <w:r>
              <w:rPr>
                <w:rFonts w:hint="eastAsia" w:asciiTheme="majorEastAsia" w:hAnsiTheme="majorEastAsia" w:eastAsiaTheme="majorEastAsia" w:cstheme="majorEastAsia"/>
                <w:kern w:val="0"/>
                <w:sz w:val="21"/>
                <w:szCs w:val="21"/>
                <w:highlight w:val="none"/>
              </w:rPr>
              <w:t>分</w:t>
            </w:r>
            <w:r>
              <w:rPr>
                <w:rFonts w:hint="eastAsia" w:asciiTheme="majorEastAsia" w:hAnsiTheme="majorEastAsia" w:eastAsiaTheme="majorEastAsia" w:cstheme="majorEastAsia"/>
                <w:kern w:val="0"/>
                <w:sz w:val="21"/>
                <w:szCs w:val="21"/>
                <w:highlight w:val="none"/>
                <w:lang w:eastAsia="zh-CN"/>
              </w:rPr>
              <w:t>。未提供不得分。</w:t>
            </w:r>
          </w:p>
        </w:tc>
      </w:tr>
    </w:tbl>
    <w:p>
      <w:pPr>
        <w:adjustRightInd w:val="0"/>
        <w:snapToGrid w:val="0"/>
        <w:spacing w:before="100" w:beforeAutospacing="1"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3、价格部分评审</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68"/>
        <w:gridCol w:w="1269"/>
        <w:gridCol w:w="94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tblHeader/>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评分因素</w:t>
            </w:r>
          </w:p>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及权重</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分值</w:t>
            </w:r>
          </w:p>
        </w:tc>
        <w:tc>
          <w:tcPr>
            <w:tcW w:w="3280"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报价</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5</w:t>
            </w:r>
            <w:r>
              <w:rPr>
                <w:rFonts w:hint="eastAsia" w:asciiTheme="minorEastAsia" w:hAnsiTheme="minorEastAsia" w:cstheme="minorEastAsia"/>
                <w:kern w:val="0"/>
                <w:szCs w:val="21"/>
              </w:rPr>
              <w:t>0分</w:t>
            </w:r>
          </w:p>
        </w:tc>
        <w:tc>
          <w:tcPr>
            <w:tcW w:w="3280" w:type="pct"/>
            <w:tcBorders>
              <w:tl2br w:val="nil"/>
              <w:tr2bl w:val="nil"/>
            </w:tcBorders>
            <w:shd w:val="clear" w:color="000000" w:fill="FFFFFF"/>
            <w:tcMar>
              <w:left w:w="108" w:type="dxa"/>
              <w:right w:w="108" w:type="dxa"/>
            </w:tcMar>
            <w:vAlign w:val="center"/>
          </w:tcPr>
          <w:p>
            <w:pPr>
              <w:spacing w:line="320" w:lineRule="exact"/>
              <w:rPr>
                <w:rFonts w:hint="default" w:asciiTheme="minorEastAsia" w:hAnsiTheme="minorEastAsia" w:cstheme="minorEastAsia"/>
                <w:kern w:val="0"/>
                <w:szCs w:val="21"/>
                <w:lang w:val="en-US"/>
              </w:rPr>
            </w:pPr>
            <w:r>
              <w:rPr>
                <w:rFonts w:hint="eastAsia" w:asciiTheme="minorEastAsia" w:hAnsiTheme="minorEastAsia" w:cstheme="minorEastAsia"/>
                <w:kern w:val="0"/>
                <w:szCs w:val="21"/>
                <w:lang w:val="en-US" w:eastAsia="zh-CN"/>
              </w:rPr>
              <w:t>有效报价的平均价为评标基准价。</w:t>
            </w:r>
          </w:p>
          <w:p>
            <w:pPr>
              <w:spacing w:line="320" w:lineRule="exact"/>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投标人的有效报价等于评标基准价的得50分，有效报价相对评标基准价每低 1%扣0.6分，每高 1%扣0.9分；偏离不足 1% 的，按照插入法计算得分。分值计算结果 均保留两位小数，第三位四舍五入。</w:t>
            </w:r>
          </w:p>
        </w:tc>
      </w:tr>
    </w:tbl>
    <w:p>
      <w:pPr>
        <w:adjustRightInd w:val="0"/>
        <w:snapToGrid w:val="0"/>
        <w:spacing w:before="100" w:beforeAutospacing="1"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第三条 确定中标候选人</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参选人技术标和商务标的合计分值，为该参选人的评标总得分。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评标结果按评审后得分由高到低顺序排列。得分相同的，按投标报价由低到高顺序排列。得分且投标报价均相同的由比选人代表抽签确定。参选文件满足比选文件全部实质性要求，且按照评审因素的量化指标评审得分前三名的参选人为中标候选人。</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第四条  无效投标条款</w:t>
      </w:r>
    </w:p>
    <w:p>
      <w:pPr>
        <w:adjustRightInd w:val="0"/>
        <w:snapToGrid w:val="0"/>
        <w:spacing w:line="360" w:lineRule="auto"/>
        <w:ind w:firstLine="480" w:firstLineChars="200"/>
        <w:rPr>
          <w:rFonts w:asciiTheme="minorEastAsia" w:hAnsiTheme="minorEastAsia" w:cstheme="minorEastAsia"/>
          <w:sz w:val="24"/>
        </w:rPr>
      </w:pPr>
      <w:bookmarkStart w:id="29" w:name="_Toc20823307"/>
      <w:bookmarkStart w:id="30" w:name="_Toc513029235"/>
      <w:bookmarkStart w:id="31" w:name="_Toc16938551"/>
      <w:r>
        <w:rPr>
          <w:rFonts w:hint="eastAsia" w:asciiTheme="minorEastAsia" w:hAnsiTheme="minorEastAsia" w:cstheme="minorEastAsia"/>
          <w:sz w:val="24"/>
        </w:rPr>
        <w:t>1、同一参选人提交两个（含两个）以上不同的投标报价的。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2、参选人不具备比选文件中规定资格要求的。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3、参选人的报价超过了最高限价的。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4、未通过符合性检查的。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5、不符合比选文件中规定的其他实质性要求和条件的。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6、参选文件含有比选人不能接受的附加条件的。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评标委员会认为参选人的报价明显低于其他通过符合性审查参选人的报价，有可能影响产品质量或者不能诚信履约的，要求其在合理的时间内提供说明，必要时提交相关证明材料；参选人不能证明其报价合理性的，评标委员会应当将其作为无效投标处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8、参选文件未按照比选文件要求签字、盖章的。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9、其他法律、法规及本比选文件规定的属无效投标的情形。</w:t>
      </w:r>
    </w:p>
    <w:bookmarkEnd w:id="29"/>
    <w:bookmarkEnd w:id="30"/>
    <w:bookmarkEnd w:id="31"/>
    <w:p>
      <w:pPr>
        <w:pStyle w:val="2"/>
        <w:rPr>
          <w:rFonts w:asciiTheme="minorEastAsia" w:hAnsiTheme="minorEastAsia" w:cstheme="minorEastAsia"/>
          <w:sz w:val="24"/>
        </w:rPr>
      </w:pPr>
    </w:p>
    <w:p/>
    <w:p>
      <w:pPr>
        <w:adjustRightInd w:val="0"/>
        <w:snapToGrid w:val="0"/>
        <w:spacing w:beforeLines="50" w:afterLines="50" w:line="360" w:lineRule="auto"/>
        <w:jc w:val="center"/>
        <w:rPr>
          <w:rFonts w:asciiTheme="minorEastAsia" w:hAnsiTheme="minorEastAsia" w:cstheme="minorEastAsia"/>
          <w:b/>
          <w:bCs/>
          <w:sz w:val="32"/>
          <w:szCs w:val="32"/>
        </w:rPr>
      </w:pPr>
    </w:p>
    <w:p>
      <w:pPr>
        <w:adjustRightInd w:val="0"/>
        <w:snapToGrid w:val="0"/>
        <w:spacing w:beforeLines="50" w:afterLines="50" w:line="360" w:lineRule="auto"/>
        <w:jc w:val="center"/>
        <w:rPr>
          <w:rFonts w:asciiTheme="minorEastAsia" w:hAnsiTheme="minorEastAsia" w:cstheme="minorEastAsia"/>
          <w:b/>
          <w:bCs/>
          <w:sz w:val="32"/>
          <w:szCs w:val="32"/>
        </w:r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第</w:t>
      </w:r>
      <w:r>
        <w:rPr>
          <w:rFonts w:hint="eastAsia" w:asciiTheme="minorEastAsia" w:hAnsiTheme="minorEastAsia" w:cstheme="minorEastAsia"/>
          <w:b/>
          <w:bCs/>
          <w:sz w:val="32"/>
          <w:szCs w:val="32"/>
          <w:lang w:val="en-US" w:eastAsia="zh-CN"/>
        </w:rPr>
        <w:t>五</w:t>
      </w:r>
      <w:r>
        <w:rPr>
          <w:rFonts w:hint="eastAsia" w:asciiTheme="minorEastAsia" w:hAnsiTheme="minorEastAsia" w:cstheme="minorEastAsia"/>
          <w:b/>
          <w:bCs/>
          <w:sz w:val="32"/>
          <w:szCs w:val="32"/>
        </w:rPr>
        <w:t>章  参选文件格式</w:t>
      </w:r>
    </w:p>
    <w:p>
      <w:pPr>
        <w:jc w:val="center"/>
        <w:rPr>
          <w:rFonts w:asciiTheme="minorEastAsia" w:hAnsiTheme="minorEastAsia" w:cstheme="minorEastAsia"/>
          <w:sz w:val="44"/>
          <w:szCs w:val="44"/>
        </w:rPr>
      </w:pPr>
    </w:p>
    <w:p>
      <w:pPr>
        <w:pStyle w:val="15"/>
        <w:ind w:firstLine="420"/>
        <w:rPr>
          <w:rFonts w:asciiTheme="minorEastAsia" w:hAnsiTheme="minorEastAsia" w:cstheme="minorEastAsia"/>
        </w:rPr>
      </w:pPr>
    </w:p>
    <w:p>
      <w:pPr>
        <w:jc w:val="center"/>
        <w:rPr>
          <w:rFonts w:ascii="宋体" w:hAnsi="宋体" w:eastAsia="宋体" w:cs="宋体"/>
          <w:sz w:val="36"/>
          <w:szCs w:val="44"/>
        </w:rPr>
      </w:pPr>
      <w:r>
        <w:rPr>
          <w:rFonts w:hint="eastAsia" w:ascii="宋体" w:hAnsi="宋体" w:eastAsia="宋体" w:cs="宋体"/>
          <w:sz w:val="44"/>
          <w:szCs w:val="44"/>
          <w:u w:val="single"/>
        </w:rPr>
        <w:t xml:space="preserve">                  </w:t>
      </w:r>
      <w:r>
        <w:rPr>
          <w:rFonts w:hint="eastAsia" w:ascii="宋体" w:hAnsi="宋体" w:eastAsia="宋体" w:cs="宋体"/>
          <w:sz w:val="36"/>
          <w:szCs w:val="44"/>
        </w:rPr>
        <w:t>（项目名称）</w:t>
      </w:r>
    </w:p>
    <w:p>
      <w:pPr>
        <w:jc w:val="center"/>
        <w:rPr>
          <w:rFonts w:ascii="宋体" w:hAnsi="宋体" w:eastAsia="宋体" w:cs="宋体"/>
          <w:sz w:val="22"/>
          <w:szCs w:val="28"/>
        </w:rPr>
      </w:pPr>
    </w:p>
    <w:p>
      <w:pPr>
        <w:jc w:val="center"/>
        <w:rPr>
          <w:rFonts w:ascii="宋体" w:hAnsi="宋体" w:eastAsia="宋体" w:cs="宋体"/>
          <w:sz w:val="22"/>
          <w:szCs w:val="28"/>
        </w:rPr>
      </w:pPr>
    </w:p>
    <w:p>
      <w:pPr>
        <w:rPr>
          <w:rFonts w:ascii="宋体" w:hAnsi="宋体" w:eastAsia="宋体" w:cs="宋体"/>
          <w:sz w:val="22"/>
          <w:szCs w:val="28"/>
        </w:rPr>
      </w:pPr>
    </w:p>
    <w:p>
      <w:pPr>
        <w:jc w:val="center"/>
        <w:rPr>
          <w:rFonts w:ascii="宋体" w:hAnsi="宋体" w:eastAsia="宋体" w:cs="宋体"/>
          <w:sz w:val="22"/>
          <w:szCs w:val="28"/>
        </w:rPr>
      </w:pPr>
    </w:p>
    <w:p>
      <w:pPr>
        <w:spacing w:beforeLines="100"/>
        <w:jc w:val="center"/>
        <w:rPr>
          <w:rFonts w:ascii="宋体" w:hAnsi="宋体" w:eastAsia="宋体" w:cs="宋体"/>
          <w:b/>
          <w:bCs/>
          <w:sz w:val="72"/>
          <w:szCs w:val="72"/>
        </w:rPr>
      </w:pPr>
      <w:r>
        <w:rPr>
          <w:rFonts w:hint="eastAsia" w:ascii="宋体" w:hAnsi="宋体" w:eastAsia="宋体" w:cs="宋体"/>
          <w:b/>
          <w:bCs/>
          <w:sz w:val="72"/>
          <w:szCs w:val="72"/>
        </w:rPr>
        <w:t>投 标 文 件</w:t>
      </w:r>
    </w:p>
    <w:p>
      <w:pPr>
        <w:jc w:val="center"/>
        <w:rPr>
          <w:rFonts w:ascii="宋体" w:hAnsi="宋体" w:eastAsia="宋体" w:cs="宋体"/>
          <w:sz w:val="24"/>
          <w:szCs w:val="32"/>
        </w:rPr>
      </w:pPr>
    </w:p>
    <w:p>
      <w:pPr>
        <w:jc w:val="center"/>
        <w:rPr>
          <w:rFonts w:ascii="宋体" w:hAnsi="宋体" w:eastAsia="宋体" w:cs="宋体"/>
          <w:sz w:val="28"/>
          <w:szCs w:val="28"/>
        </w:rPr>
      </w:pPr>
      <w:r>
        <w:rPr>
          <w:rFonts w:hint="eastAsia" w:ascii="宋体" w:hAnsi="宋体" w:eastAsia="宋体" w:cs="宋体"/>
          <w:sz w:val="28"/>
          <w:szCs w:val="28"/>
        </w:rPr>
        <w:t>（资格审查/技术标/商务标）</w:t>
      </w:r>
    </w:p>
    <w:p>
      <w:pPr>
        <w:jc w:val="center"/>
        <w:rPr>
          <w:rFonts w:ascii="宋体" w:hAnsi="宋体" w:eastAsia="宋体" w:cs="宋体"/>
          <w:sz w:val="24"/>
          <w:szCs w:val="32"/>
        </w:rPr>
      </w:pPr>
    </w:p>
    <w:p>
      <w:pPr>
        <w:jc w:val="center"/>
        <w:rPr>
          <w:rFonts w:ascii="宋体" w:hAnsi="宋体" w:eastAsia="宋体" w:cs="宋体"/>
          <w:sz w:val="24"/>
          <w:szCs w:val="32"/>
        </w:rPr>
      </w:pPr>
    </w:p>
    <w:p>
      <w:pPr>
        <w:rPr>
          <w:rFonts w:ascii="宋体" w:hAnsi="宋体" w:eastAsia="宋体" w:cs="宋体"/>
          <w:sz w:val="32"/>
          <w:szCs w:val="32"/>
        </w:rPr>
      </w:pPr>
    </w:p>
    <w:p>
      <w:pPr>
        <w:pStyle w:val="14"/>
        <w:spacing w:line="420" w:lineRule="atLeast"/>
        <w:ind w:firstLine="840" w:firstLineChars="300"/>
        <w:rPr>
          <w:rFonts w:eastAsia="宋体"/>
          <w:sz w:val="28"/>
          <w:szCs w:val="28"/>
        </w:rPr>
      </w:pPr>
      <w:r>
        <w:rPr>
          <w:rFonts w:hint="eastAsia" w:eastAsia="宋体"/>
          <w:sz w:val="28"/>
          <w:szCs w:val="28"/>
        </w:rPr>
        <w:t>参选单位：</w:t>
      </w:r>
      <w:r>
        <w:rPr>
          <w:rFonts w:hint="eastAsia" w:eastAsia="宋体"/>
          <w:sz w:val="28"/>
          <w:szCs w:val="28"/>
          <w:u w:val="single"/>
        </w:rPr>
        <w:t xml:space="preserve">                           </w:t>
      </w:r>
      <w:r>
        <w:rPr>
          <w:rFonts w:hint="eastAsia" w:eastAsia="宋体"/>
          <w:sz w:val="28"/>
          <w:szCs w:val="28"/>
        </w:rPr>
        <w:t>（盖单位公章）</w:t>
      </w:r>
    </w:p>
    <w:p>
      <w:pPr>
        <w:pStyle w:val="14"/>
        <w:spacing w:line="420" w:lineRule="atLeast"/>
        <w:ind w:firstLine="840" w:firstLineChars="300"/>
        <w:rPr>
          <w:rFonts w:eastAsia="宋体"/>
          <w:sz w:val="28"/>
          <w:szCs w:val="28"/>
        </w:rPr>
      </w:pPr>
      <w:r>
        <w:rPr>
          <w:rFonts w:hint="eastAsia" w:eastAsia="宋体"/>
          <w:sz w:val="28"/>
          <w:szCs w:val="28"/>
        </w:rPr>
        <w:t>法定代表人或其委托代理人：</w:t>
      </w:r>
      <w:r>
        <w:rPr>
          <w:rFonts w:hint="eastAsia" w:eastAsia="宋体"/>
          <w:sz w:val="28"/>
          <w:szCs w:val="28"/>
          <w:u w:val="single"/>
        </w:rPr>
        <w:t xml:space="preserve">         </w:t>
      </w:r>
      <w:r>
        <w:rPr>
          <w:rFonts w:hint="eastAsia" w:eastAsia="宋体"/>
          <w:sz w:val="28"/>
          <w:szCs w:val="28"/>
        </w:rPr>
        <w:t>（签字或盖章）</w:t>
      </w:r>
    </w:p>
    <w:p>
      <w:pPr>
        <w:pStyle w:val="14"/>
        <w:spacing w:line="420" w:lineRule="atLeast"/>
        <w:ind w:firstLine="840" w:firstLineChars="300"/>
        <w:rPr>
          <w:rFonts w:eastAsia="宋体"/>
          <w:sz w:val="28"/>
          <w:szCs w:val="28"/>
          <w:u w:val="single"/>
        </w:rPr>
      </w:pPr>
      <w:r>
        <w:rPr>
          <w:rFonts w:hint="eastAsia" w:eastAsia="宋体"/>
          <w:sz w:val="28"/>
          <w:szCs w:val="28"/>
        </w:rPr>
        <w:t>日期：</w:t>
      </w:r>
      <w:r>
        <w:rPr>
          <w:rFonts w:hint="eastAsia" w:eastAsia="宋体"/>
          <w:sz w:val="28"/>
          <w:szCs w:val="28"/>
          <w:u w:val="single"/>
        </w:rPr>
        <w:t xml:space="preserve">                   </w:t>
      </w:r>
    </w:p>
    <w:p>
      <w:pPr>
        <w:pStyle w:val="14"/>
        <w:spacing w:line="420" w:lineRule="atLeast"/>
        <w:ind w:firstLine="840" w:firstLineChars="300"/>
        <w:rPr>
          <w:rFonts w:eastAsia="宋体"/>
          <w:sz w:val="28"/>
          <w:szCs w:val="28"/>
          <w:u w:val="single"/>
        </w:rPr>
      </w:pPr>
    </w:p>
    <w:p>
      <w:pPr>
        <w:pStyle w:val="10"/>
        <w:spacing w:line="400" w:lineRule="exact"/>
        <w:jc w:val="center"/>
        <w:outlineLvl w:val="2"/>
        <w:rPr>
          <w:rFonts w:asciiTheme="minorEastAsia" w:hAnsiTheme="minorEastAsia" w:cstheme="minorEastAsia"/>
          <w:b/>
          <w:bCs/>
          <w:kern w:val="2"/>
          <w:sz w:val="32"/>
          <w:szCs w:val="32"/>
        </w:rPr>
      </w:pPr>
      <w:bookmarkStart w:id="32" w:name="_Toc5341"/>
      <w:bookmarkStart w:id="33" w:name="_Toc342573643"/>
      <w:bookmarkStart w:id="34" w:name="_Toc5428"/>
    </w:p>
    <w:p>
      <w:pPr>
        <w:pStyle w:val="10"/>
        <w:spacing w:line="400" w:lineRule="exact"/>
        <w:jc w:val="both"/>
        <w:outlineLvl w:val="2"/>
        <w:rPr>
          <w:rFonts w:asciiTheme="minorEastAsia" w:hAnsiTheme="minorEastAsia" w:cstheme="minorEastAsia"/>
          <w:b/>
          <w:bCs/>
          <w:kern w:val="2"/>
          <w:sz w:val="32"/>
          <w:szCs w:val="32"/>
        </w:rPr>
      </w:pPr>
    </w:p>
    <w:p>
      <w:pPr>
        <w:pStyle w:val="10"/>
        <w:spacing w:line="400" w:lineRule="exact"/>
        <w:jc w:val="center"/>
        <w:outlineLvl w:val="2"/>
        <w:rPr>
          <w:rFonts w:asciiTheme="minorEastAsia" w:hAnsiTheme="minorEastAsia" w:cstheme="minorEastAsia"/>
          <w:b/>
          <w:bCs/>
          <w:kern w:val="2"/>
          <w:sz w:val="32"/>
          <w:szCs w:val="32"/>
        </w:rPr>
      </w:pPr>
    </w:p>
    <w:p>
      <w:pPr>
        <w:pStyle w:val="10"/>
        <w:spacing w:line="400" w:lineRule="exact"/>
        <w:jc w:val="center"/>
        <w:outlineLvl w:val="2"/>
        <w:rPr>
          <w:rFonts w:asciiTheme="minorEastAsia" w:hAnsiTheme="minorEastAsia" w:cstheme="minorEastAsia"/>
          <w:b/>
          <w:bCs/>
          <w:kern w:val="2"/>
          <w:sz w:val="32"/>
          <w:szCs w:val="32"/>
        </w:rPr>
      </w:pPr>
      <w:r>
        <w:rPr>
          <w:rFonts w:hint="eastAsia" w:asciiTheme="minorEastAsia" w:hAnsiTheme="minorEastAsia" w:cstheme="minorEastAsia"/>
          <w:b/>
          <w:bCs/>
          <w:kern w:val="2"/>
          <w:sz w:val="32"/>
          <w:szCs w:val="32"/>
        </w:rPr>
        <w:t>一、法定代表人身份证明书</w:t>
      </w:r>
      <w:bookmarkEnd w:id="32"/>
      <w:bookmarkEnd w:id="33"/>
      <w:bookmarkEnd w:id="34"/>
    </w:p>
    <w:p>
      <w:pPr>
        <w:topLinePunct/>
        <w:jc w:val="center"/>
        <w:rPr>
          <w:rFonts w:ascii="宋体"/>
          <w:szCs w:val="21"/>
        </w:rPr>
      </w:pPr>
    </w:p>
    <w:p>
      <w:pPr>
        <w:topLinePunct/>
        <w:jc w:val="center"/>
        <w:rPr>
          <w:rFonts w:ascii="宋体"/>
          <w:szCs w:val="21"/>
        </w:rPr>
      </w:pPr>
      <w:r>
        <w:rPr>
          <w:rFonts w:hint="eastAsia" w:ascii="宋体"/>
          <w:szCs w:val="21"/>
        </w:rPr>
        <w:t>（法定代表人参与时提供此证明）</w:t>
      </w:r>
    </w:p>
    <w:p>
      <w:pPr>
        <w:topLinePunct/>
        <w:jc w:val="center"/>
        <w:rPr>
          <w:rFonts w:ascii="宋体"/>
          <w:szCs w:val="21"/>
        </w:rPr>
      </w:pPr>
    </w:p>
    <w:p>
      <w:pPr>
        <w:topLinePunct/>
        <w:rPr>
          <w:rFonts w:ascii="宋体"/>
          <w:szCs w:val="21"/>
        </w:rPr>
      </w:pPr>
    </w:p>
    <w:p>
      <w:pPr>
        <w:topLinePunct/>
        <w:ind w:firstLine="612"/>
        <w:rPr>
          <w:rFonts w:ascii="宋体"/>
          <w:szCs w:val="21"/>
        </w:rPr>
      </w:pPr>
      <w:r>
        <w:rPr>
          <w:rFonts w:hint="eastAsia" w:ascii="宋体" w:hAnsi="宋体"/>
          <w:szCs w:val="21"/>
        </w:rPr>
        <w:t>单位名称：</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p>
    <w:p>
      <w:pPr>
        <w:topLinePunct/>
        <w:ind w:firstLine="612"/>
        <w:rPr>
          <w:rFonts w:ascii="宋体"/>
          <w:szCs w:val="21"/>
        </w:rPr>
      </w:pPr>
    </w:p>
    <w:p>
      <w:pPr>
        <w:topLinePunct/>
        <w:ind w:firstLine="610"/>
        <w:rPr>
          <w:rFonts w:ascii="宋体"/>
          <w:szCs w:val="21"/>
          <w:u w:val="single"/>
        </w:rPr>
      </w:pPr>
      <w:r>
        <w:rPr>
          <w:rFonts w:hint="eastAsia" w:ascii="宋体" w:hAnsi="宋体"/>
          <w:szCs w:val="21"/>
        </w:rPr>
        <w:t>单位性质：</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地    址：</w:t>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topLinePunct/>
        <w:ind w:firstLine="610"/>
        <w:rPr>
          <w:rFonts w:ascii="宋体"/>
          <w:szCs w:val="21"/>
        </w:rPr>
      </w:pPr>
    </w:p>
    <w:p>
      <w:pPr>
        <w:topLinePunct/>
        <w:ind w:firstLine="610"/>
        <w:rPr>
          <w:rFonts w:asci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经营期限：</w:t>
      </w:r>
      <w:r>
        <w:rPr>
          <w:rFonts w:hint="eastAsia" w:ascii="宋体"/>
          <w:szCs w:val="21"/>
          <w:u w:val="single"/>
        </w:rPr>
        <w:tab/>
      </w:r>
      <w:r>
        <w:rPr>
          <w:rFonts w:hint="eastAsia" w:ascii="宋体" w:hAnsi="宋体"/>
          <w:szCs w:val="21"/>
          <w:u w:val="single"/>
        </w:rPr>
        <w:t xml:space="preserve">                                  </w:t>
      </w:r>
    </w:p>
    <w:p>
      <w:pPr>
        <w:topLinePunct/>
        <w:ind w:firstLine="610"/>
        <w:rPr>
          <w:rFonts w:ascii="宋体"/>
          <w:szCs w:val="21"/>
        </w:rPr>
      </w:pPr>
    </w:p>
    <w:p>
      <w:pPr>
        <w:topLinePunct/>
        <w:ind w:firstLine="610"/>
        <w:rPr>
          <w:rFonts w:asci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系</w:t>
      </w:r>
      <w:r>
        <w:rPr>
          <w:rFonts w:hint="eastAsia" w:ascii="宋体" w:hAnsi="宋体"/>
          <w:i/>
          <w:iCs/>
          <w:szCs w:val="21"/>
          <w:u w:val="single"/>
        </w:rPr>
        <w:t>（参选人名称）</w:t>
      </w:r>
      <w:r>
        <w:rPr>
          <w:rFonts w:hint="eastAsia" w:ascii="宋体" w:hAnsi="宋体"/>
          <w:szCs w:val="21"/>
          <w:u w:val="single"/>
        </w:rPr>
        <w:t xml:space="preserve">          </w:t>
      </w:r>
      <w:r>
        <w:rPr>
          <w:rFonts w:hint="eastAsia" w:ascii="宋体" w:hAnsi="宋体"/>
          <w:szCs w:val="21"/>
        </w:rPr>
        <w:t>的法定代表人。</w:t>
      </w:r>
    </w:p>
    <w:p>
      <w:pPr>
        <w:topLinePunct/>
        <w:ind w:firstLine="610"/>
        <w:rPr>
          <w:rFonts w:ascii="宋体"/>
          <w:szCs w:val="21"/>
        </w:rPr>
      </w:pPr>
    </w:p>
    <w:p>
      <w:pPr>
        <w:topLinePunct/>
        <w:ind w:firstLine="610"/>
        <w:rPr>
          <w:rFonts w:ascii="宋体"/>
          <w:szCs w:val="21"/>
        </w:rPr>
      </w:pPr>
      <w:r>
        <w:rPr>
          <w:rFonts w:hint="eastAsia" w:ascii="宋体" w:hAnsi="宋体"/>
          <w:szCs w:val="21"/>
        </w:rPr>
        <w:t>特此证明。</w:t>
      </w: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3990" w:firstLineChars="1900"/>
        <w:rPr>
          <w:rFonts w:ascii="宋体"/>
          <w:szCs w:val="21"/>
        </w:rPr>
      </w:pPr>
    </w:p>
    <w:p>
      <w:pPr>
        <w:tabs>
          <w:tab w:val="left" w:pos="720"/>
          <w:tab w:val="left" w:pos="900"/>
        </w:tabs>
        <w:topLinePunct/>
        <w:ind w:firstLine="3990" w:firstLineChars="1900"/>
        <w:rPr>
          <w:rFonts w:ascii="宋体"/>
          <w:szCs w:val="21"/>
        </w:rPr>
      </w:pPr>
    </w:p>
    <w:p>
      <w:pPr>
        <w:tabs>
          <w:tab w:val="left" w:pos="851"/>
        </w:tabs>
        <w:spacing w:line="360" w:lineRule="auto"/>
        <w:ind w:left="420" w:leftChars="200"/>
        <w:jc w:val="right"/>
        <w:rPr>
          <w:rFonts w:ascii="宋体" w:hAnsi="宋体" w:cs="宋体"/>
          <w:szCs w:val="21"/>
        </w:rPr>
      </w:pPr>
      <w:r>
        <w:rPr>
          <w:rFonts w:hint="eastAsia" w:ascii="宋体" w:hAnsi="宋体" w:cs="宋体"/>
          <w:szCs w:val="21"/>
        </w:rPr>
        <w:t>参选人：</w:t>
      </w:r>
      <w:r>
        <w:rPr>
          <w:rFonts w:hint="eastAsia" w:ascii="宋体" w:hAnsi="宋体" w:cs="宋体"/>
          <w:szCs w:val="21"/>
          <w:u w:val="single"/>
        </w:rPr>
        <w:t xml:space="preserve">                   </w:t>
      </w:r>
      <w:r>
        <w:rPr>
          <w:rFonts w:hint="eastAsia" w:ascii="宋体" w:hAnsi="宋体" w:cs="宋体"/>
          <w:szCs w:val="21"/>
        </w:rPr>
        <w:t>（盖单位公章）</w:t>
      </w:r>
    </w:p>
    <w:p>
      <w:pPr>
        <w:tabs>
          <w:tab w:val="left" w:pos="851"/>
        </w:tabs>
        <w:spacing w:line="360" w:lineRule="auto"/>
        <w:ind w:left="420" w:leftChars="200"/>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b/>
          <w:bCs/>
          <w:szCs w:val="21"/>
        </w:rPr>
      </w:pPr>
    </w:p>
    <w:p>
      <w:pPr>
        <w:spacing w:line="220" w:lineRule="atLeast"/>
        <w:rPr>
          <w:rFonts w:ascii="宋体" w:hAnsi="宋体"/>
          <w:bCs/>
          <w:sz w:val="24"/>
          <w:szCs w:val="20"/>
        </w:rPr>
      </w:pPr>
    </w:p>
    <w:p>
      <w:pPr>
        <w:pStyle w:val="10"/>
        <w:spacing w:line="400" w:lineRule="exact"/>
        <w:jc w:val="center"/>
        <w:outlineLvl w:val="2"/>
        <w:rPr>
          <w:rFonts w:asciiTheme="minorEastAsia" w:hAnsiTheme="minorEastAsia" w:cstheme="minorEastAsia"/>
          <w:b/>
          <w:bCs/>
          <w:kern w:val="2"/>
          <w:sz w:val="32"/>
          <w:szCs w:val="32"/>
        </w:rPr>
      </w:pPr>
      <w:r>
        <w:rPr>
          <w:rFonts w:hint="eastAsia" w:hAnsi="宋体"/>
          <w:b/>
          <w:sz w:val="36"/>
          <w:szCs w:val="36"/>
        </w:rPr>
        <w:br w:type="page"/>
      </w:r>
      <w:bookmarkStart w:id="35" w:name="_Toc22037"/>
      <w:bookmarkStart w:id="36" w:name="_Toc17292"/>
      <w:r>
        <w:rPr>
          <w:rFonts w:hint="eastAsia" w:asciiTheme="minorEastAsia" w:hAnsiTheme="minorEastAsia" w:cstheme="minorEastAsia"/>
          <w:b/>
          <w:bCs/>
          <w:kern w:val="2"/>
          <w:sz w:val="32"/>
          <w:szCs w:val="32"/>
        </w:rPr>
        <w:t>二、授权委托书</w:t>
      </w:r>
      <w:bookmarkEnd w:id="35"/>
      <w:bookmarkEnd w:id="36"/>
    </w:p>
    <w:p>
      <w:pPr>
        <w:pStyle w:val="10"/>
        <w:jc w:val="center"/>
        <w:rPr>
          <w:rFonts w:hAnsi="宋体"/>
          <w:sz w:val="24"/>
        </w:rPr>
      </w:pPr>
    </w:p>
    <w:p>
      <w:pPr>
        <w:topLinePunct/>
        <w:jc w:val="center"/>
        <w:rPr>
          <w:rFonts w:ascii="宋体"/>
          <w:szCs w:val="21"/>
        </w:rPr>
      </w:pPr>
      <w:r>
        <w:rPr>
          <w:rFonts w:hint="eastAsia" w:ascii="宋体"/>
          <w:szCs w:val="21"/>
        </w:rPr>
        <w:t>（授权代表参与时提供此证明）</w:t>
      </w:r>
    </w:p>
    <w:p>
      <w:pPr>
        <w:spacing w:line="360" w:lineRule="auto"/>
        <w:ind w:firstLine="420" w:firstLineChars="200"/>
        <w:rPr>
          <w:szCs w:val="21"/>
        </w:rPr>
      </w:pPr>
    </w:p>
    <w:p>
      <w:pPr>
        <w:spacing w:line="360" w:lineRule="auto"/>
        <w:ind w:firstLine="420" w:firstLineChars="200"/>
        <w:rPr>
          <w:szCs w:val="21"/>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u w:val="single"/>
        </w:rPr>
        <w:t>（</w:t>
      </w:r>
      <w:r>
        <w:rPr>
          <w:rFonts w:hint="eastAsia"/>
          <w:szCs w:val="21"/>
        </w:rPr>
        <w:t>参选</w:t>
      </w:r>
      <w:r>
        <w:rPr>
          <w:szCs w:val="21"/>
        </w:rPr>
        <w:t>人名称）的法定代表人（单位负责人），现委托</w:t>
      </w:r>
      <w:r>
        <w:rPr>
          <w:szCs w:val="21"/>
          <w:u w:val="single"/>
        </w:rPr>
        <w:t xml:space="preserve"> </w:t>
      </w:r>
      <w:r>
        <w:rPr>
          <w:rFonts w:hint="eastAsia"/>
          <w:szCs w:val="21"/>
          <w:u w:val="single"/>
        </w:rPr>
        <w:t xml:space="preserve">               </w:t>
      </w:r>
      <w:r>
        <w:rPr>
          <w:szCs w:val="21"/>
        </w:rPr>
        <w:t>（姓名）为我方代理人，代理人</w:t>
      </w:r>
      <w:r>
        <w:rPr>
          <w:rFonts w:hint="eastAsia"/>
          <w:szCs w:val="21"/>
        </w:rPr>
        <w:t>有权</w:t>
      </w:r>
      <w:r>
        <w:rPr>
          <w:szCs w:val="21"/>
        </w:rPr>
        <w:t>签署、澄清确认、递交、撤回、修改</w:t>
      </w:r>
      <w:r>
        <w:rPr>
          <w:szCs w:val="21"/>
          <w:u w:val="single"/>
        </w:rPr>
        <w:t xml:space="preserve">                       </w:t>
      </w:r>
      <w:r>
        <w:rPr>
          <w:szCs w:val="21"/>
        </w:rPr>
        <w:t>（项目名称）</w:t>
      </w:r>
      <w:r>
        <w:rPr>
          <w:rFonts w:hint="eastAsia"/>
          <w:szCs w:val="21"/>
        </w:rPr>
        <w:t>参选</w:t>
      </w:r>
      <w:r>
        <w:rPr>
          <w:szCs w:val="21"/>
        </w:rPr>
        <w:t>文件、签订合同和处理有关事宜，其法律后果由我方承担。</w:t>
      </w:r>
    </w:p>
    <w:p>
      <w:pPr>
        <w:spacing w:line="360" w:lineRule="auto"/>
        <w:ind w:firstLine="420" w:firstLineChars="200"/>
        <w:rPr>
          <w:szCs w:val="21"/>
        </w:rPr>
      </w:pPr>
      <w:r>
        <w:rPr>
          <w:szCs w:val="21"/>
        </w:rPr>
        <w:t>代理人无转委托权。</w:t>
      </w:r>
    </w:p>
    <w:p>
      <w:pPr>
        <w:spacing w:line="360" w:lineRule="auto"/>
        <w:ind w:firstLine="420" w:firstLineChars="200"/>
        <w:rPr>
          <w:szCs w:val="21"/>
        </w:rPr>
      </w:pPr>
      <w:r>
        <w:rPr>
          <w:szCs w:val="21"/>
        </w:rPr>
        <w:t>附：法定代表人（单位负责人）身份证复印件及委托代理人身份证复印件</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vAlign w:val="center"/>
          </w:tcPr>
          <w:p>
            <w:pPr>
              <w:pStyle w:val="10"/>
              <w:adjustRightInd w:val="0"/>
              <w:snapToGrid w:val="0"/>
              <w:jc w:val="center"/>
              <w:rPr>
                <w:rFonts w:hAnsi="宋体" w:cs="宋体"/>
                <w:sz w:val="21"/>
              </w:rPr>
            </w:pPr>
            <w:r>
              <w:rPr>
                <w:rFonts w:hint="eastAsia"/>
                <w:sz w:val="21"/>
              </w:rPr>
              <w:t>法定代表人（单位负责人）身份证复印件及委托代理人身份证复印件</w:t>
            </w:r>
          </w:p>
        </w:tc>
      </w:tr>
    </w:tbl>
    <w:p>
      <w:pPr>
        <w:spacing w:line="360" w:lineRule="auto"/>
        <w:ind w:right="-88" w:rightChars="-42" w:firstLine="2738" w:firstLineChars="1304"/>
        <w:rPr>
          <w:rFonts w:ascii="宋体" w:hAnsi="宋体" w:cs="宋体"/>
          <w:szCs w:val="21"/>
        </w:rPr>
      </w:pPr>
    </w:p>
    <w:p>
      <w:pPr>
        <w:spacing w:line="360" w:lineRule="auto"/>
        <w:ind w:right="-88" w:rightChars="-42" w:firstLine="2738" w:firstLineChars="1304"/>
        <w:rPr>
          <w:rFonts w:ascii="宋体" w:hAnsi="宋体" w:cs="宋体"/>
          <w:szCs w:val="21"/>
        </w:rPr>
      </w:pPr>
      <w:r>
        <w:rPr>
          <w:rFonts w:hint="eastAsia" w:ascii="宋体" w:hAnsi="宋体" w:cs="宋体"/>
          <w:szCs w:val="21"/>
        </w:rPr>
        <w:t>参选人：</w:t>
      </w:r>
      <w:r>
        <w:rPr>
          <w:rFonts w:hint="eastAsia" w:ascii="宋体" w:hAnsi="宋体" w:cs="宋体"/>
          <w:szCs w:val="21"/>
          <w:u w:val="single"/>
        </w:rPr>
        <w:t xml:space="preserve">                            </w:t>
      </w:r>
      <w:r>
        <w:rPr>
          <w:rFonts w:hint="eastAsia" w:ascii="宋体" w:hAnsi="宋体" w:cs="宋体"/>
          <w:szCs w:val="21"/>
        </w:rPr>
        <w:t>（盖单位公章）</w:t>
      </w:r>
    </w:p>
    <w:p>
      <w:pPr>
        <w:spacing w:line="360" w:lineRule="auto"/>
        <w:ind w:right="-88" w:rightChars="-42" w:firstLine="2738" w:firstLineChars="1304"/>
        <w:rPr>
          <w:rFonts w:ascii="宋体" w:hAnsi="宋体" w:cs="宋体"/>
          <w:szCs w:val="21"/>
        </w:rPr>
      </w:pPr>
      <w:r>
        <w:rPr>
          <w:rFonts w:hint="eastAsia" w:ascii="宋体" w:hAnsi="宋体" w:cs="宋体"/>
          <w:szCs w:val="21"/>
        </w:rPr>
        <w:t>法定代表人</w:t>
      </w:r>
      <w:r>
        <w:rPr>
          <w:rFonts w:ascii="宋体" w:hAnsi="宋体" w:cs="宋体"/>
          <w:szCs w:val="21"/>
        </w:rPr>
        <w:t>（单位负责人）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right="-88" w:rightChars="-42" w:firstLine="2738" w:firstLineChars="1304"/>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2738" w:firstLineChars="1304"/>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pPr>
        <w:spacing w:line="360" w:lineRule="auto"/>
        <w:ind w:right="-88" w:rightChars="-42" w:firstLine="2738" w:firstLineChars="1304"/>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3259" w:firstLineChars="1552"/>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0"/>
        <w:jc w:val="left"/>
        <w:rPr>
          <w:rFonts w:hAnsi="宋体"/>
          <w:sz w:val="21"/>
          <w:szCs w:val="21"/>
        </w:rPr>
      </w:pPr>
    </w:p>
    <w:p>
      <w:pPr>
        <w:pStyle w:val="10"/>
        <w:jc w:val="left"/>
        <w:rPr>
          <w:rFonts w:hAnsi="宋体"/>
          <w:sz w:val="24"/>
        </w:rPr>
      </w:pPr>
    </w:p>
    <w:p>
      <w:pPr>
        <w:pStyle w:val="10"/>
        <w:jc w:val="left"/>
        <w:rPr>
          <w:rFonts w:hAnsi="宋体"/>
          <w:sz w:val="24"/>
        </w:rPr>
      </w:pPr>
    </w:p>
    <w:p>
      <w:pPr>
        <w:pStyle w:val="15"/>
        <w:ind w:firstLine="420"/>
        <w:rPr>
          <w:rFonts w:asciiTheme="minorEastAsia" w:hAnsiTheme="minorEastAsia" w:cstheme="minorEastAsia"/>
        </w:rPr>
      </w:pPr>
    </w:p>
    <w:p>
      <w:pPr>
        <w:pStyle w:val="15"/>
        <w:ind w:left="0" w:leftChars="0" w:firstLine="0" w:firstLineChars="0"/>
        <w:rPr>
          <w:rFonts w:asciiTheme="minorEastAsia" w:hAnsiTheme="minorEastAsia" w:cstheme="minorEastAsia"/>
        </w:rPr>
      </w:pPr>
    </w:p>
    <w:p>
      <w:pPr>
        <w:spacing w:line="360" w:lineRule="auto"/>
        <w:jc w:val="center"/>
        <w:outlineLvl w:val="2"/>
        <w:rPr>
          <w:rFonts w:ascii="宋体" w:hAnsi="宋体" w:cs="宋体"/>
          <w:b/>
          <w:bCs/>
          <w:sz w:val="28"/>
          <w:szCs w:val="28"/>
        </w:rPr>
      </w:pPr>
      <w:r>
        <w:rPr>
          <w:rFonts w:hint="eastAsia" w:ascii="宋体" w:hAnsi="宋体" w:cs="宋体"/>
          <w:b/>
          <w:sz w:val="28"/>
          <w:szCs w:val="32"/>
          <w:lang w:val="en-US" w:eastAsia="zh-CN"/>
        </w:rPr>
        <w:t>三、</w:t>
      </w:r>
      <w:r>
        <w:rPr>
          <w:rFonts w:hint="eastAsia" w:ascii="宋体" w:hAnsi="宋体" w:cs="宋体"/>
          <w:b/>
          <w:sz w:val="28"/>
          <w:szCs w:val="32"/>
        </w:rPr>
        <w:t>商务技术响应文件相关格式</w:t>
      </w:r>
    </w:p>
    <w:p>
      <w:pPr>
        <w:spacing w:line="360" w:lineRule="auto"/>
        <w:jc w:val="center"/>
        <w:outlineLvl w:val="2"/>
        <w:rPr>
          <w:rFonts w:ascii="宋体" w:hAnsi="宋体" w:cs="宋体"/>
          <w:b/>
          <w:sz w:val="28"/>
          <w:szCs w:val="28"/>
        </w:rPr>
      </w:pPr>
      <w:r>
        <w:rPr>
          <w:rFonts w:hint="eastAsia" w:ascii="宋体" w:hAnsi="宋体" w:cs="宋体"/>
          <w:b/>
          <w:sz w:val="28"/>
          <w:szCs w:val="28"/>
        </w:rPr>
        <w:t>1.技术比选响应函（格式不得变动）</w:t>
      </w:r>
    </w:p>
    <w:p>
      <w:pPr>
        <w:snapToGrid w:val="0"/>
        <w:spacing w:line="360" w:lineRule="auto"/>
        <w:rPr>
          <w:rFonts w:ascii="宋体" w:hAnsi="宋体" w:cs="宋体"/>
          <w:bCs/>
          <w:sz w:val="28"/>
          <w:szCs w:val="28"/>
        </w:rPr>
      </w:pPr>
      <w:r>
        <w:rPr>
          <w:rFonts w:hint="eastAsia" w:ascii="宋体" w:hAnsi="宋体" w:cs="宋体"/>
          <w:bCs/>
          <w:sz w:val="28"/>
          <w:szCs w:val="28"/>
        </w:rPr>
        <w:t>南通市保安服务有限公司：</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依据贵单位组织的</w:t>
      </w:r>
      <w:r>
        <w:rPr>
          <w:rFonts w:hint="eastAsia" w:ascii="宋体" w:hAnsi="宋体" w:cs="宋体"/>
          <w:sz w:val="28"/>
          <w:szCs w:val="28"/>
          <w:u w:val="single"/>
        </w:rPr>
        <w:t>（比选项目名称)</w:t>
      </w:r>
      <w:r>
        <w:rPr>
          <w:rFonts w:hint="eastAsia" w:ascii="宋体" w:hAnsi="宋体" w:cs="宋体"/>
          <w:sz w:val="28"/>
          <w:szCs w:val="28"/>
        </w:rPr>
        <w:t>项目比选的邀请，我方授权</w:t>
      </w:r>
      <w:r>
        <w:rPr>
          <w:rFonts w:hint="eastAsia" w:ascii="宋体" w:hAnsi="宋体" w:cs="宋体"/>
          <w:sz w:val="28"/>
          <w:szCs w:val="28"/>
          <w:u w:val="single"/>
        </w:rPr>
        <w:t>（姓名）（职务）</w:t>
      </w:r>
      <w:r>
        <w:rPr>
          <w:rFonts w:hint="eastAsia" w:ascii="宋体" w:hAnsi="宋体" w:cs="宋体"/>
          <w:sz w:val="28"/>
          <w:szCs w:val="28"/>
        </w:rPr>
        <w:t>为全权代表参加该项目的比选工作，全权处理本次比选的有关事宜。同时，我公司声明如下：</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1.同意并接受比选文件的各项要求，遵守比选文件中的各项规定，按比选文件的要求提供报价。</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2.我公司已经详细阅读了比选文件的全部内容，我方已完全清晰理解比选文件的要求，不存在任何含糊不清和误解之处，同意放弃对比选文件所表述的内容提出异议和质疑的权利。</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3.我公司已毫无保留地向贵方提供一切所需的证明材料。</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4.我公司承诺在本次比选响应中提供的一切文件，无论是原件还是复印件均真实有效，绝无任何虚假、伪造和夸大的成份。否则，愿承担相应的后果和法律责任。</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b/>
          <w:sz w:val="28"/>
          <w:szCs w:val="28"/>
        </w:rPr>
        <w:t>我公司尊重比选小组所作的评定结果，同时清楚理解到报价最低并非意味着必定获得</w:t>
      </w:r>
      <w:r>
        <w:rPr>
          <w:rFonts w:hint="eastAsia" w:ascii="宋体" w:hAnsi="宋体" w:cs="宋体"/>
          <w:b/>
          <w:sz w:val="28"/>
          <w:szCs w:val="28"/>
          <w:lang w:val="en-US" w:eastAsia="zh-CN"/>
        </w:rPr>
        <w:t>中选</w:t>
      </w:r>
      <w:r>
        <w:rPr>
          <w:rFonts w:hint="eastAsia" w:ascii="宋体" w:hAnsi="宋体" w:cs="宋体"/>
          <w:b/>
          <w:sz w:val="28"/>
          <w:szCs w:val="28"/>
        </w:rPr>
        <w:t>资格。</w:t>
      </w:r>
    </w:p>
    <w:p>
      <w:pPr>
        <w:snapToGrid w:val="0"/>
        <w:spacing w:line="360" w:lineRule="auto"/>
        <w:ind w:firstLine="560" w:firstLineChars="200"/>
        <w:rPr>
          <w:rFonts w:ascii="宋体" w:hAnsi="宋体" w:cs="宋体"/>
          <w:b/>
          <w:sz w:val="28"/>
          <w:szCs w:val="28"/>
        </w:rPr>
      </w:pPr>
      <w:r>
        <w:rPr>
          <w:rFonts w:hint="eastAsia" w:ascii="宋体" w:hAnsi="宋体" w:cs="宋体"/>
          <w:sz w:val="28"/>
          <w:szCs w:val="28"/>
        </w:rPr>
        <w:t>6.</w:t>
      </w:r>
      <w:r>
        <w:rPr>
          <w:rFonts w:hint="eastAsia" w:ascii="宋体" w:hAnsi="宋体" w:cs="宋体"/>
          <w:b/>
          <w:sz w:val="28"/>
          <w:szCs w:val="28"/>
        </w:rPr>
        <w:t>一旦</w:t>
      </w:r>
      <w:r>
        <w:rPr>
          <w:rFonts w:hint="eastAsia" w:ascii="宋体" w:hAnsi="宋体" w:cs="宋体"/>
          <w:b/>
          <w:sz w:val="28"/>
          <w:szCs w:val="28"/>
          <w:lang w:eastAsia="zh-CN"/>
        </w:rPr>
        <w:t>中选</w:t>
      </w:r>
      <w:r>
        <w:rPr>
          <w:rFonts w:hint="eastAsia" w:ascii="宋体" w:hAnsi="宋体" w:cs="宋体"/>
          <w:b/>
          <w:sz w:val="28"/>
          <w:szCs w:val="28"/>
        </w:rPr>
        <w:t>，我方将根据比选文件的规定，严格履行合同规定的责任和义务，并保证在比选文件中规定的时间期限内完成合同项目。</w:t>
      </w:r>
    </w:p>
    <w:p>
      <w:pPr>
        <w:snapToGrid w:val="0"/>
        <w:spacing w:line="360" w:lineRule="auto"/>
        <w:ind w:firstLine="2800" w:firstLineChars="1000"/>
        <w:rPr>
          <w:rFonts w:ascii="宋体" w:hAnsi="宋体" w:cs="宋体"/>
          <w:sz w:val="28"/>
          <w:szCs w:val="28"/>
        </w:rPr>
      </w:pPr>
      <w:r>
        <w:rPr>
          <w:rFonts w:hint="eastAsia" w:ascii="宋体" w:hAnsi="宋体" w:cs="宋体"/>
          <w:sz w:val="28"/>
          <w:szCs w:val="28"/>
        </w:rPr>
        <w:t>供应商名称（盖章）：</w:t>
      </w:r>
    </w:p>
    <w:p>
      <w:pPr>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法定代表人或授权委托人（签字或盖章）：</w:t>
      </w:r>
    </w:p>
    <w:p>
      <w:pPr>
        <w:snapToGrid w:val="0"/>
        <w:spacing w:line="360" w:lineRule="auto"/>
        <w:ind w:firstLine="2800" w:firstLineChars="1000"/>
        <w:rPr>
          <w:rFonts w:ascii="宋体" w:hAnsi="宋体" w:cs="宋体"/>
          <w:szCs w:val="28"/>
        </w:rPr>
      </w:pPr>
      <w:r>
        <w:rPr>
          <w:rFonts w:hint="eastAsia" w:ascii="宋体" w:hAnsi="宋体" w:cs="宋体"/>
          <w:sz w:val="28"/>
          <w:szCs w:val="28"/>
        </w:rPr>
        <w:t>日期：</w:t>
      </w:r>
    </w:p>
    <w:p>
      <w:pPr>
        <w:pStyle w:val="26"/>
        <w:widowControl/>
        <w:snapToGrid w:val="0"/>
        <w:spacing w:line="300" w:lineRule="auto"/>
        <w:ind w:firstLine="0" w:firstLineChars="0"/>
        <w:rPr>
          <w:rFonts w:ascii="宋体" w:eastAsia="宋体" w:cs="宋体"/>
        </w:rPr>
      </w:pPr>
    </w:p>
    <w:p>
      <w:r>
        <w:rPr>
          <w:rFonts w:hint="eastAsia"/>
        </w:rPr>
        <w:br w:type="page"/>
      </w:r>
    </w:p>
    <w:p>
      <w:pPr>
        <w:widowControl/>
        <w:shd w:val="clear" w:color="auto" w:fill="FFFFFF"/>
        <w:spacing w:before="200" w:line="240" w:lineRule="atLeast"/>
        <w:jc w:val="center"/>
        <w:rPr>
          <w:rFonts w:ascii="宋体" w:hAnsi="宋体" w:cs="宋体"/>
          <w:b/>
          <w:bCs/>
          <w:kern w:val="0"/>
          <w:sz w:val="22"/>
          <w:szCs w:val="22"/>
        </w:rPr>
      </w:pPr>
      <w:r>
        <w:rPr>
          <w:rFonts w:hint="eastAsia" w:ascii="宋体" w:hAnsi="宋体" w:cs="宋体"/>
          <w:b/>
          <w:bCs/>
          <w:kern w:val="0"/>
          <w:sz w:val="22"/>
          <w:szCs w:val="22"/>
        </w:rPr>
        <w:t>2.消防设施维护保养检测设备配备对照检查表（盖章）</w:t>
      </w:r>
    </w:p>
    <w:tbl>
      <w:tblPr>
        <w:tblStyle w:val="16"/>
        <w:tblW w:w="9378" w:type="dxa"/>
        <w:jc w:val="center"/>
        <w:tblLayout w:type="autofit"/>
        <w:tblCellMar>
          <w:top w:w="0" w:type="dxa"/>
          <w:left w:w="0" w:type="dxa"/>
          <w:bottom w:w="0" w:type="dxa"/>
          <w:right w:w="0" w:type="dxa"/>
        </w:tblCellMar>
      </w:tblPr>
      <w:tblGrid>
        <w:gridCol w:w="435"/>
        <w:gridCol w:w="1641"/>
        <w:gridCol w:w="452"/>
        <w:gridCol w:w="896"/>
        <w:gridCol w:w="883"/>
        <w:gridCol w:w="5071"/>
      </w:tblGrid>
      <w:tr>
        <w:tblPrEx>
          <w:tblCellMar>
            <w:top w:w="0" w:type="dxa"/>
            <w:left w:w="0" w:type="dxa"/>
            <w:bottom w:w="0" w:type="dxa"/>
            <w:right w:w="0" w:type="dxa"/>
          </w:tblCellMar>
        </w:tblPrEx>
        <w:trPr>
          <w:trHeight w:val="300" w:hRule="atLeast"/>
          <w:jc w:val="center"/>
        </w:trPr>
        <w:tc>
          <w:tcPr>
            <w:tcW w:w="435"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序号</w:t>
            </w:r>
          </w:p>
        </w:tc>
        <w:tc>
          <w:tcPr>
            <w:tcW w:w="1641"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设备名称</w:t>
            </w:r>
          </w:p>
        </w:tc>
        <w:tc>
          <w:tcPr>
            <w:tcW w:w="452"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单位</w:t>
            </w:r>
          </w:p>
        </w:tc>
        <w:tc>
          <w:tcPr>
            <w:tcW w:w="896"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应配备数量</w:t>
            </w:r>
          </w:p>
        </w:tc>
        <w:tc>
          <w:tcPr>
            <w:tcW w:w="883"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实际配置数量</w:t>
            </w:r>
          </w:p>
        </w:tc>
        <w:tc>
          <w:tcPr>
            <w:tcW w:w="5071"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备注</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秒表</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量程不小于15min；精度：0.1s</w:t>
            </w:r>
          </w:p>
        </w:tc>
      </w:tr>
      <w:tr>
        <w:tblPrEx>
          <w:tblCellMar>
            <w:top w:w="0" w:type="dxa"/>
            <w:left w:w="0" w:type="dxa"/>
            <w:bottom w:w="0" w:type="dxa"/>
            <w:right w:w="0" w:type="dxa"/>
          </w:tblCellMar>
        </w:tblPrEx>
        <w:trPr>
          <w:trHeight w:val="2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卷尺</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4</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量程不小于30m；精度：1mm；2个。量程不小于5m；精度：1mm；2个</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游标卡尺</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量程不小于150mm；精度：0.02mm</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4</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钢直尺</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量程不小于50cm；精度：1mm</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直角尺</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主要用于对消防软管卷盘的检查</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6</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电子秤</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量程不小于30kg</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7</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测力计</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量程：50N∽500N；精度：±0.5％</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8</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强光手电</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4</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警用充电式，LED冷光源</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激光测距仪</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量程不小于50m；精度：3mm</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数字照度计</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量程不小于2000Lx；精度：±5％</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11</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数字声级计</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量程：30dB∽130dB；精度：1.5dB</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12</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数字风速计</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量程：0m/s∽45m/s；精度：±3%</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13</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数字微压计</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量程：0Pa∽3000Pa；精度：±3%，具有清零功能，并配有检测软管</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14</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数字温湿度计</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用于环境温湿度检测</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15</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超声波流量计</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测量管径范围：0mm∽300mm；精度：±1%</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16</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数字坡度仪</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量程：0°∽±90°；精度：±0.1°</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17</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垂直度测定仪</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量程：0mm∽500mm；精度：±0.2μm</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18</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消火栓测压接头</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套</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压力表量程：0MPa∽1.6MPa；精度：1.6级</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19</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喷水末端试水接头</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套</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压力表量程：0MPa∽0.6MPa；精度：1.6级</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接地电阻测量仪</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量程：0Ω∽1000Ω；精度：±2%</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21</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绝缘电阻测量仪</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量程：1MΩ∽2000MΩ；精度：±2%</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22</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数字万用表</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可测量交直流电压、电流、电阻、电容等</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23</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感烟探测器功能试验器</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检测杆高度不小于2.5m，加配聚烟罩，内置电源线，连续工作时间不低于2h</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24</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感温探测器功能试验器</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检测杆高度不小于2.5m，内置电源线；连续工作时间不低于2h</w:t>
            </w:r>
          </w:p>
        </w:tc>
      </w:tr>
      <w:tr>
        <w:tblPrEx>
          <w:tblCellMar>
            <w:top w:w="0" w:type="dxa"/>
            <w:left w:w="0" w:type="dxa"/>
            <w:bottom w:w="0" w:type="dxa"/>
            <w:right w:w="0" w:type="dxa"/>
          </w:tblCellMar>
        </w:tblPrEx>
        <w:trPr>
          <w:trHeight w:val="23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25</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线型光束感烟探测器滤光片</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套</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减光值分别为0.4dB和10.0dB各一片：具备手持功能</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26</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火焰探测器功能试验器</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套</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红外线波长大于或等于850nm，紫外线波长小于或等于280nm。检测杆高度不小于2.5m</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27</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漏电电流检测仪</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量程：0A∽2A；精度：0.1mA</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28</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便携式可燃气体检测仪</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可检测一氧化碳、氢气、氨气、液化石油气、甲烷等可燃气体浓度</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29</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数字压力表</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个</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量程：0MPa∽20MPa；精度0.4级；具有清零功能</w:t>
            </w:r>
          </w:p>
        </w:tc>
      </w:tr>
      <w:tr>
        <w:tblPrEx>
          <w:tblCellMar>
            <w:top w:w="0" w:type="dxa"/>
            <w:left w:w="0" w:type="dxa"/>
            <w:bottom w:w="0" w:type="dxa"/>
            <w:right w:w="0" w:type="dxa"/>
          </w:tblCellMar>
        </w:tblPrEx>
        <w:trPr>
          <w:trHeight w:val="110" w:hRule="atLeast"/>
          <w:jc w:val="center"/>
        </w:trPr>
        <w:tc>
          <w:tcPr>
            <w:tcW w:w="435"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w:t>
            </w:r>
          </w:p>
        </w:tc>
        <w:tc>
          <w:tcPr>
            <w:tcW w:w="164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细水雾末端试水装置</w:t>
            </w:r>
          </w:p>
        </w:tc>
        <w:tc>
          <w:tcPr>
            <w:tcW w:w="452"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套</w:t>
            </w:r>
          </w:p>
        </w:tc>
        <w:tc>
          <w:tcPr>
            <w:tcW w:w="896"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w:t>
            </w:r>
          </w:p>
        </w:tc>
        <w:tc>
          <w:tcPr>
            <w:tcW w:w="883"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center"/>
              <w:rPr>
                <w:rFonts w:ascii="宋体" w:hAnsi="宋体" w:cs="宋体"/>
                <w:kern w:val="0"/>
                <w:szCs w:val="21"/>
              </w:rPr>
            </w:pPr>
          </w:p>
        </w:tc>
        <w:tc>
          <w:tcPr>
            <w:tcW w:w="5071" w:type="dxa"/>
            <w:tcBorders>
              <w:top w:val="nil"/>
              <w:left w:val="nil"/>
              <w:bottom w:val="single" w:color="auto" w:sz="8" w:space="0"/>
              <w:right w:val="single" w:color="auto" w:sz="8" w:space="0"/>
            </w:tcBorders>
            <w:tcMar>
              <w:top w:w="0" w:type="dxa"/>
              <w:left w:w="70" w:type="dxa"/>
              <w:bottom w:w="0" w:type="dxa"/>
              <w:right w:w="70" w:type="dxa"/>
            </w:tcMar>
            <w:vAlign w:val="center"/>
          </w:tcPr>
          <w:p>
            <w:pPr>
              <w:widowControl/>
              <w:spacing w:line="240" w:lineRule="atLeast"/>
              <w:jc w:val="left"/>
              <w:rPr>
                <w:rFonts w:ascii="宋体" w:hAnsi="宋体" w:cs="宋体"/>
                <w:kern w:val="0"/>
                <w:szCs w:val="21"/>
              </w:rPr>
            </w:pPr>
            <w:r>
              <w:rPr>
                <w:rFonts w:hint="eastAsia" w:ascii="宋体" w:hAnsi="宋体" w:cs="宋体"/>
                <w:kern w:val="0"/>
                <w:szCs w:val="21"/>
              </w:rPr>
              <w:t>压力表量程：0MPa∽20MPa；精度：0.4级</w:t>
            </w:r>
          </w:p>
        </w:tc>
      </w:tr>
    </w:tbl>
    <w:p>
      <w:pPr>
        <w:pStyle w:val="15"/>
        <w:ind w:left="0" w:leftChars="0" w:firstLine="0" w:firstLineChars="0"/>
        <w:rPr>
          <w:rFonts w:asciiTheme="minorEastAsia" w:hAnsiTheme="minorEastAsia" w:cstheme="minorEastAsia"/>
        </w:r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lang w:val="en-US" w:eastAsia="zh-CN"/>
        </w:rPr>
        <w:t>四</w:t>
      </w:r>
      <w:r>
        <w:rPr>
          <w:rFonts w:hint="eastAsia" w:asciiTheme="minorEastAsia" w:hAnsiTheme="minorEastAsia" w:cstheme="minorEastAsia"/>
          <w:b/>
          <w:bCs/>
          <w:sz w:val="32"/>
          <w:szCs w:val="32"/>
        </w:rPr>
        <w:t>、报价响应函</w:t>
      </w:r>
    </w:p>
    <w:p>
      <w:pPr>
        <w:pStyle w:val="10"/>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至：</w:t>
      </w:r>
      <w:r>
        <w:rPr>
          <w:rFonts w:hint="eastAsia" w:asciiTheme="minorEastAsia" w:hAnsiTheme="minorEastAsia" w:cstheme="minorEastAsia"/>
          <w:sz w:val="24"/>
          <w:szCs w:val="24"/>
          <w:u w:val="single"/>
        </w:rPr>
        <w:t>（南通市保安服务有限公司）</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根据贵方为</w:t>
      </w:r>
      <w:r>
        <w:rPr>
          <w:rFonts w:hint="eastAsia" w:asciiTheme="minorEastAsia" w:hAnsiTheme="minorEastAsia" w:cstheme="minorEastAsia"/>
          <w:sz w:val="24"/>
          <w:szCs w:val="24"/>
          <w:u w:val="single"/>
        </w:rPr>
        <w:t>（项目名称）</w:t>
      </w:r>
      <w:r>
        <w:rPr>
          <w:rFonts w:hint="eastAsia" w:asciiTheme="minorEastAsia" w:hAnsiTheme="minorEastAsia" w:cstheme="minorEastAsia"/>
          <w:sz w:val="24"/>
          <w:szCs w:val="24"/>
        </w:rPr>
        <w:t>项目比选文件内容，我方签字代表</w:t>
      </w:r>
      <w:r>
        <w:rPr>
          <w:rFonts w:hint="eastAsia" w:asciiTheme="minorEastAsia" w:hAnsiTheme="minorEastAsia" w:cstheme="minorEastAsia"/>
          <w:sz w:val="24"/>
          <w:szCs w:val="24"/>
          <w:u w:val="single"/>
        </w:rPr>
        <w:t>（姓名）</w:t>
      </w:r>
      <w:r>
        <w:rPr>
          <w:rFonts w:hint="eastAsia" w:asciiTheme="minorEastAsia" w:hAnsiTheme="minorEastAsia" w:cstheme="minorEastAsia"/>
          <w:sz w:val="24"/>
          <w:szCs w:val="24"/>
        </w:rPr>
        <w:t>经正式授权并代表参选人</w:t>
      </w:r>
      <w:r>
        <w:rPr>
          <w:rFonts w:hint="eastAsia" w:asciiTheme="minorEastAsia" w:hAnsiTheme="minorEastAsia" w:cstheme="minorEastAsia"/>
          <w:sz w:val="24"/>
          <w:szCs w:val="24"/>
          <w:u w:val="single"/>
        </w:rPr>
        <w:t>（参选人名称）</w:t>
      </w:r>
      <w:r>
        <w:rPr>
          <w:rFonts w:hint="eastAsia" w:asciiTheme="minorEastAsia" w:hAnsiTheme="minorEastAsia" w:cstheme="minorEastAsia"/>
          <w:sz w:val="24"/>
          <w:szCs w:val="24"/>
        </w:rPr>
        <w:t>提交参选文件正本一份及副本四份（包括比选文件要求提供的全部资料）；</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据此函，签字代表宣布同意如下：</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1.在研究了贵公司提供的比选文件（含补遗文件，如有）后，承担</w:t>
      </w:r>
      <w:r>
        <w:rPr>
          <w:rFonts w:hint="eastAsia" w:asciiTheme="minorEastAsia" w:hAnsiTheme="minorEastAsia" w:cstheme="minorEastAsia"/>
          <w:sz w:val="24"/>
          <w:szCs w:val="24"/>
          <w:u w:val="single"/>
        </w:rPr>
        <w:t>（项目名称）</w:t>
      </w:r>
      <w:r>
        <w:rPr>
          <w:rFonts w:hint="eastAsia" w:asciiTheme="minorEastAsia" w:hAnsiTheme="minorEastAsia" w:cstheme="minorEastAsia"/>
          <w:sz w:val="24"/>
          <w:szCs w:val="24"/>
        </w:rPr>
        <w:t>，并按合同条件的要求，完成该项目服务任务。</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2.我方已详细审查全部比选文件，包括有关澄清和补充说明</w:t>
      </w:r>
      <w:r>
        <w:rPr>
          <w:rFonts w:hint="eastAsia" w:asciiTheme="minorEastAsia" w:hAnsiTheme="minorEastAsia" w:cstheme="minorEastAsia"/>
          <w:sz w:val="24"/>
          <w:szCs w:val="24"/>
          <w:u w:val="single"/>
        </w:rPr>
        <w:t>（如有）</w:t>
      </w:r>
      <w:r>
        <w:rPr>
          <w:rFonts w:hint="eastAsia" w:asciiTheme="minorEastAsia" w:hAnsiTheme="minorEastAsia" w:cstheme="minorEastAsia"/>
          <w:sz w:val="24"/>
          <w:szCs w:val="24"/>
        </w:rPr>
        <w:t xml:space="preserve">。我们完全理解并同意放弃对这方面有不明及误解的权利。 </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3.本参选文件有效期为自开标日起</w:t>
      </w:r>
      <w:r>
        <w:rPr>
          <w:rFonts w:hint="eastAsia" w:asciiTheme="minorEastAsia" w:hAnsiTheme="minorEastAsia" w:cstheme="minorEastAsia"/>
          <w:sz w:val="24"/>
          <w:szCs w:val="24"/>
          <w:u w:val="single"/>
        </w:rPr>
        <w:t>45</w:t>
      </w:r>
      <w:r>
        <w:rPr>
          <w:rFonts w:hint="eastAsia" w:asciiTheme="minorEastAsia" w:hAnsiTheme="minorEastAsia" w:cstheme="minorEastAsia"/>
          <w:sz w:val="24"/>
          <w:szCs w:val="24"/>
        </w:rPr>
        <w:t xml:space="preserve">个日历天。在这期间，本参选文件将始终对我方具有约束力，并可随时被接受。本次比选文件和本参选文件将作为合同的附件。 </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4.我方愿意向比选人提供任何与本次比选相关的其他资料。</w:t>
      </w:r>
    </w:p>
    <w:p>
      <w:pPr>
        <w:pStyle w:val="10"/>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5.我方将严格履行本参选文件中的全部承诺和责任，并遵守比选文件中对参选人的所有规定。</w:t>
      </w:r>
    </w:p>
    <w:p>
      <w:pPr>
        <w:pStyle w:val="10"/>
        <w:adjustRightInd w:val="0"/>
        <w:snapToGrid w:val="0"/>
        <w:spacing w:line="440" w:lineRule="exact"/>
        <w:ind w:firstLine="480" w:firstLineChars="200"/>
        <w:rPr>
          <w:rFonts w:asciiTheme="minorEastAsia" w:hAnsiTheme="minorEastAsia" w:cstheme="minorEastAsia"/>
          <w:sz w:val="24"/>
          <w:szCs w:val="24"/>
          <w:u w:val="single"/>
        </w:rPr>
      </w:pPr>
      <w:r>
        <w:rPr>
          <w:rFonts w:hint="eastAsia" w:asciiTheme="minorEastAsia" w:hAnsiTheme="minorEastAsia" w:cstheme="minorEastAsia"/>
          <w:sz w:val="24"/>
          <w:szCs w:val="24"/>
        </w:rPr>
        <w:t>6.与本次比选有关的一切往来信函请寄：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w:t>
      </w:r>
    </w:p>
    <w:p>
      <w:pPr>
        <w:tabs>
          <w:tab w:val="left" w:pos="851"/>
        </w:tabs>
        <w:spacing w:line="440" w:lineRule="exact"/>
        <w:ind w:left="420" w:leftChars="200"/>
        <w:jc w:val="right"/>
        <w:rPr>
          <w:rFonts w:asciiTheme="minorEastAsia" w:hAnsiTheme="minorEastAsia" w:cstheme="minorEastAsia"/>
          <w:kern w:val="0"/>
          <w:sz w:val="24"/>
        </w:rPr>
      </w:pPr>
    </w:p>
    <w:p>
      <w:pPr>
        <w:tabs>
          <w:tab w:val="left" w:pos="851"/>
        </w:tabs>
        <w:spacing w:line="440" w:lineRule="exact"/>
        <w:ind w:left="420" w:leftChars="200"/>
        <w:rPr>
          <w:rFonts w:asciiTheme="minorEastAsia" w:hAnsiTheme="minorEastAsia" w:cstheme="minorEastAsia"/>
          <w:kern w:val="0"/>
          <w:sz w:val="24"/>
        </w:rPr>
      </w:pPr>
      <w:r>
        <w:rPr>
          <w:rFonts w:hint="eastAsia" w:asciiTheme="minorEastAsia" w:hAnsiTheme="minorEastAsia" w:cstheme="minorEastAsia"/>
          <w:kern w:val="0"/>
          <w:sz w:val="24"/>
        </w:rPr>
        <w:t>参选人：</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（盖单位公章）</w:t>
      </w:r>
    </w:p>
    <w:p>
      <w:pPr>
        <w:tabs>
          <w:tab w:val="left" w:pos="851"/>
        </w:tabs>
        <w:spacing w:line="440" w:lineRule="exact"/>
        <w:ind w:left="420" w:leftChars="200"/>
        <w:rPr>
          <w:rFonts w:asciiTheme="minorEastAsia" w:hAnsiTheme="minorEastAsia" w:cstheme="minorEastAsia"/>
          <w:kern w:val="0"/>
          <w:sz w:val="24"/>
        </w:rPr>
      </w:pPr>
      <w:r>
        <w:rPr>
          <w:rFonts w:hint="eastAsia" w:asciiTheme="minorEastAsia" w:hAnsiTheme="minorEastAsia" w:cstheme="minorEastAsia"/>
          <w:kern w:val="0"/>
          <w:sz w:val="24"/>
        </w:rPr>
        <w:t>法定代表人或其委托代理人：</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（签字或盖章）</w:t>
      </w:r>
    </w:p>
    <w:p>
      <w:pPr>
        <w:pStyle w:val="5"/>
        <w:overflowPunct w:val="0"/>
        <w:spacing w:line="440" w:lineRule="exact"/>
        <w:rPr>
          <w:rFonts w:asciiTheme="minorEastAsia" w:hAnsiTheme="minorEastAsia" w:cstheme="minorEastAsia"/>
          <w:b w:val="0"/>
          <w:bCs/>
          <w:szCs w:val="24"/>
        </w:rPr>
      </w:pPr>
      <w:r>
        <w:rPr>
          <w:rFonts w:hint="eastAsia" w:asciiTheme="minorEastAsia" w:hAnsiTheme="minorEastAsia" w:cstheme="minorEastAsia"/>
          <w:b w:val="0"/>
          <w:bCs/>
          <w:szCs w:val="24"/>
        </w:rPr>
        <w:t>地     址：</w:t>
      </w:r>
      <w:r>
        <w:rPr>
          <w:rFonts w:hint="eastAsia" w:asciiTheme="minorEastAsia" w:hAnsiTheme="minorEastAsia" w:cstheme="minorEastAsia"/>
          <w:szCs w:val="24"/>
          <w:u w:val="single"/>
        </w:rPr>
        <w:t xml:space="preserve">                   </w:t>
      </w:r>
      <w:r>
        <w:rPr>
          <w:rFonts w:hint="eastAsia" w:asciiTheme="minorEastAsia" w:hAnsiTheme="minorEastAsia" w:cstheme="minorEastAsia"/>
          <w:b w:val="0"/>
          <w:bCs/>
          <w:szCs w:val="24"/>
        </w:rPr>
        <w:t xml:space="preserve">                      </w:t>
      </w:r>
    </w:p>
    <w:p>
      <w:pPr>
        <w:pStyle w:val="5"/>
        <w:overflowPunct w:val="0"/>
        <w:spacing w:line="440" w:lineRule="exact"/>
        <w:rPr>
          <w:rFonts w:asciiTheme="minorEastAsia" w:hAnsiTheme="minorEastAsia" w:cstheme="minorEastAsia"/>
          <w:b w:val="0"/>
          <w:bCs/>
          <w:szCs w:val="24"/>
        </w:rPr>
      </w:pPr>
      <w:r>
        <w:rPr>
          <w:rFonts w:hint="eastAsia" w:asciiTheme="minorEastAsia" w:hAnsiTheme="minorEastAsia" w:cstheme="minorEastAsia"/>
          <w:b w:val="0"/>
          <w:bCs/>
          <w:szCs w:val="24"/>
        </w:rPr>
        <w:t>电     话：</w:t>
      </w:r>
      <w:r>
        <w:rPr>
          <w:rFonts w:hint="eastAsia" w:asciiTheme="minorEastAsia" w:hAnsiTheme="minorEastAsia" w:cstheme="minorEastAsia"/>
          <w:szCs w:val="24"/>
          <w:u w:val="single"/>
        </w:rPr>
        <w:t xml:space="preserve">                   </w:t>
      </w:r>
      <w:r>
        <w:rPr>
          <w:rFonts w:hint="eastAsia" w:asciiTheme="minorEastAsia" w:hAnsiTheme="minorEastAsia" w:cstheme="minorEastAsia"/>
          <w:b w:val="0"/>
          <w:bCs/>
          <w:szCs w:val="24"/>
        </w:rPr>
        <w:t xml:space="preserve">                 </w:t>
      </w:r>
    </w:p>
    <w:p>
      <w:pPr>
        <w:pStyle w:val="5"/>
        <w:overflowPunct w:val="0"/>
        <w:spacing w:line="440" w:lineRule="exact"/>
        <w:rPr>
          <w:rFonts w:asciiTheme="minorEastAsia" w:hAnsiTheme="minorEastAsia" w:cstheme="minorEastAsia"/>
          <w:szCs w:val="24"/>
        </w:rPr>
      </w:pPr>
      <w:r>
        <w:rPr>
          <w:rFonts w:hint="eastAsia" w:asciiTheme="minorEastAsia" w:hAnsiTheme="minorEastAsia" w:cstheme="minorEastAsia"/>
          <w:b w:val="0"/>
          <w:bCs/>
          <w:szCs w:val="24"/>
        </w:rPr>
        <w:t>日     期：  年   月   日</w:t>
      </w: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lang w:val="en-US" w:eastAsia="zh-CN"/>
        </w:rPr>
        <w:t>五</w:t>
      </w:r>
      <w:r>
        <w:rPr>
          <w:rFonts w:hint="eastAsia" w:asciiTheme="minorEastAsia" w:hAnsiTheme="minorEastAsia" w:cstheme="minorEastAsia"/>
          <w:b/>
          <w:bCs/>
          <w:sz w:val="32"/>
          <w:szCs w:val="32"/>
        </w:rPr>
        <w:t>、报价表</w:t>
      </w:r>
    </w:p>
    <w:p>
      <w:pPr>
        <w:spacing w:line="560" w:lineRule="exact"/>
        <w:jc w:val="right"/>
        <w:rPr>
          <w:rFonts w:asciiTheme="minorEastAsia" w:hAnsiTheme="minorEastAsia" w:cstheme="minorEastAsia"/>
          <w:sz w:val="24"/>
        </w:rPr>
      </w:pPr>
      <w:r>
        <w:rPr>
          <w:rFonts w:hint="eastAsia" w:asciiTheme="minorEastAsia" w:hAnsiTheme="minorEastAsia" w:cstheme="minorEastAsia"/>
          <w:sz w:val="24"/>
        </w:rPr>
        <w:t>单位：元</w:t>
      </w:r>
    </w:p>
    <w:tbl>
      <w:tblPr>
        <w:tblStyle w:val="17"/>
        <w:tblW w:w="89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878"/>
        <w:gridCol w:w="1267"/>
        <w:gridCol w:w="1718"/>
        <w:gridCol w:w="1709"/>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内  容</w:t>
            </w:r>
          </w:p>
        </w:tc>
        <w:tc>
          <w:tcPr>
            <w:tcW w:w="878"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最高限价（元）</w:t>
            </w:r>
          </w:p>
        </w:tc>
        <w:tc>
          <w:tcPr>
            <w:tcW w:w="1267"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投标报价</w:t>
            </w:r>
          </w:p>
          <w:p>
            <w:pPr>
              <w:pStyle w:val="15"/>
              <w:ind w:left="0" w:leftChars="0" w:firstLine="0" w:firstLineChars="0"/>
              <w:jc w:val="center"/>
              <w:rPr>
                <w:rFonts w:hAnsi="Calibri" w:eastAsia="宋体" w:cs="Times New Roman" w:asciiTheme="minorEastAsia"/>
                <w:bCs/>
                <w:sz w:val="24"/>
              </w:rPr>
            </w:pPr>
            <w:r>
              <w:rPr>
                <w:rFonts w:hint="eastAsia" w:eastAsia="宋体" w:asciiTheme="minorEastAsia" w:hAnsiTheme="minorEastAsia" w:cstheme="minorEastAsia"/>
                <w:bCs/>
                <w:sz w:val="24"/>
              </w:rPr>
              <w:t>（元，不含税）</w:t>
            </w:r>
          </w:p>
        </w:tc>
        <w:tc>
          <w:tcPr>
            <w:tcW w:w="1718"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投标报价</w:t>
            </w:r>
          </w:p>
          <w:p>
            <w:pPr>
              <w:tabs>
                <w:tab w:val="left" w:pos="8364"/>
              </w:tabs>
              <w:snapToGrid w:val="0"/>
              <w:spacing w:line="400" w:lineRule="exact"/>
              <w:ind w:right="-58"/>
              <w:jc w:val="center"/>
              <w:rPr>
                <w:rFonts w:eastAsia="宋体" w:asciiTheme="minorEastAsia" w:hAnsiTheme="minorEastAsia" w:cstheme="minorEastAsia"/>
                <w:bCs/>
                <w:sz w:val="24"/>
              </w:rPr>
            </w:pPr>
            <w:r>
              <w:rPr>
                <w:rFonts w:hint="eastAsia" w:eastAsia="宋体" w:asciiTheme="minorEastAsia" w:hAnsiTheme="minorEastAsia" w:cstheme="minorEastAsia"/>
                <w:bCs/>
                <w:sz w:val="24"/>
              </w:rPr>
              <w:t>（元，含税）</w:t>
            </w:r>
          </w:p>
        </w:tc>
        <w:tc>
          <w:tcPr>
            <w:tcW w:w="1709" w:type="dxa"/>
            <w:vAlign w:val="center"/>
          </w:tcPr>
          <w:p>
            <w:pPr>
              <w:tabs>
                <w:tab w:val="left" w:pos="8364"/>
              </w:tabs>
              <w:snapToGrid w:val="0"/>
              <w:spacing w:line="400" w:lineRule="exact"/>
              <w:ind w:right="-58"/>
              <w:jc w:val="center"/>
              <w:rPr>
                <w:rFonts w:eastAsia="宋体" w:asciiTheme="minorEastAsia" w:hAnsiTheme="minorEastAsia" w:cstheme="minorEastAsia"/>
                <w:bCs/>
                <w:sz w:val="24"/>
              </w:rPr>
            </w:pPr>
            <w:r>
              <w:rPr>
                <w:rFonts w:hint="eastAsia" w:eastAsia="宋体" w:asciiTheme="minorEastAsia" w:hAnsiTheme="minorEastAsia" w:cstheme="minorEastAsia"/>
                <w:bCs/>
                <w:sz w:val="24"/>
              </w:rPr>
              <w:t>增值税税率</w:t>
            </w:r>
          </w:p>
        </w:tc>
        <w:tc>
          <w:tcPr>
            <w:tcW w:w="1714"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pPr>
              <w:adjustRightInd w:val="0"/>
              <w:snapToGrid w:val="0"/>
              <w:spacing w:line="360" w:lineRule="auto"/>
              <w:rPr>
                <w:rFonts w:hAnsi="Calibri" w:eastAsia="宋体" w:cs="Times New Roman"/>
              </w:rPr>
            </w:pPr>
            <w:r>
              <w:rPr>
                <w:rFonts w:hint="eastAsia" w:eastAsia="宋体" w:asciiTheme="minorEastAsia" w:hAnsiTheme="minorEastAsia" w:cstheme="minorEastAsia"/>
                <w:bCs/>
                <w:sz w:val="24"/>
              </w:rPr>
              <w:t>南通市保安服务有限公司消防维保项目</w:t>
            </w:r>
          </w:p>
        </w:tc>
        <w:tc>
          <w:tcPr>
            <w:tcW w:w="878"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lang w:val="en-US" w:eastAsia="zh-CN"/>
              </w:rPr>
              <w:t>6.9</w:t>
            </w:r>
            <w:r>
              <w:rPr>
                <w:rFonts w:hint="eastAsia" w:eastAsia="宋体" w:asciiTheme="minorEastAsia" w:hAnsiTheme="minorEastAsia" w:cstheme="minorEastAsia"/>
                <w:bCs/>
                <w:sz w:val="24"/>
              </w:rPr>
              <w:t>万元/年</w:t>
            </w:r>
          </w:p>
        </w:tc>
        <w:tc>
          <w:tcPr>
            <w:tcW w:w="1267" w:type="dxa"/>
            <w:vAlign w:val="center"/>
          </w:tcPr>
          <w:p>
            <w:pPr>
              <w:tabs>
                <w:tab w:val="left" w:pos="8364"/>
              </w:tabs>
              <w:snapToGrid w:val="0"/>
              <w:spacing w:line="400" w:lineRule="exact"/>
              <w:ind w:right="-58"/>
              <w:jc w:val="center"/>
              <w:rPr>
                <w:rFonts w:ascii="Calibri" w:hAnsi="Calibri" w:eastAsia="宋体" w:cs="Times New Roman"/>
                <w:bCs/>
                <w:sz w:val="24"/>
              </w:rPr>
            </w:pPr>
          </w:p>
        </w:tc>
        <w:tc>
          <w:tcPr>
            <w:tcW w:w="1718" w:type="dxa"/>
            <w:vAlign w:val="center"/>
          </w:tcPr>
          <w:p>
            <w:pPr>
              <w:tabs>
                <w:tab w:val="left" w:pos="8364"/>
              </w:tabs>
              <w:snapToGrid w:val="0"/>
              <w:spacing w:line="400" w:lineRule="exact"/>
              <w:ind w:right="-58"/>
              <w:jc w:val="left"/>
              <w:rPr>
                <w:rFonts w:eastAsia="宋体" w:asciiTheme="minorEastAsia" w:hAnsiTheme="minorEastAsia" w:cstheme="minorEastAsia"/>
                <w:sz w:val="24"/>
              </w:rPr>
            </w:pPr>
          </w:p>
        </w:tc>
        <w:tc>
          <w:tcPr>
            <w:tcW w:w="1709" w:type="dxa"/>
            <w:vAlign w:val="center"/>
          </w:tcPr>
          <w:p>
            <w:pPr>
              <w:tabs>
                <w:tab w:val="left" w:pos="8364"/>
              </w:tabs>
              <w:snapToGrid w:val="0"/>
              <w:spacing w:line="400" w:lineRule="exact"/>
              <w:ind w:right="-58"/>
              <w:jc w:val="left"/>
              <w:rPr>
                <w:rFonts w:eastAsia="宋体" w:asciiTheme="minorEastAsia" w:hAnsiTheme="minorEastAsia" w:cstheme="minorEastAsia"/>
                <w:sz w:val="24"/>
              </w:rPr>
            </w:pPr>
          </w:p>
        </w:tc>
        <w:tc>
          <w:tcPr>
            <w:tcW w:w="1714" w:type="dxa"/>
            <w:vAlign w:val="center"/>
          </w:tcPr>
          <w:p>
            <w:pPr>
              <w:tabs>
                <w:tab w:val="left" w:pos="8364"/>
              </w:tabs>
              <w:snapToGrid w:val="0"/>
              <w:spacing w:line="400" w:lineRule="exact"/>
              <w:ind w:right="-58"/>
              <w:jc w:val="left"/>
              <w:rPr>
                <w:rFonts w:ascii="Calibri" w:hAnsi="Calibri" w:eastAsia="宋体" w:cs="Times New Roman"/>
                <w:bCs/>
                <w:sz w:val="24"/>
              </w:rPr>
            </w:pPr>
            <w:r>
              <w:rPr>
                <w:rFonts w:hint="eastAsia" w:eastAsia="宋体" w:asciiTheme="minorEastAsia" w:hAnsiTheme="minorEastAsia" w:cstheme="minorEastAsia"/>
                <w:sz w:val="24"/>
              </w:rPr>
              <w:t>投标价</w:t>
            </w:r>
            <w:r>
              <w:rPr>
                <w:rFonts w:hint="eastAsia" w:eastAsia="宋体" w:asciiTheme="minorEastAsia" w:hAnsiTheme="minorEastAsia" w:cstheme="minorEastAsia"/>
                <w:bCs/>
                <w:sz w:val="24"/>
              </w:rPr>
              <w:t>（含税）</w:t>
            </w:r>
            <w:r>
              <w:rPr>
                <w:rFonts w:hint="eastAsia" w:eastAsia="宋体" w:asciiTheme="minorEastAsia" w:hAnsiTheme="minorEastAsia" w:cstheme="minorEastAsia"/>
                <w:sz w:val="24"/>
              </w:rPr>
              <w:t>不得超过最高限价，否则作无效标处理。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65" w:type="dxa"/>
            <w:vAlign w:val="center"/>
          </w:tcPr>
          <w:p>
            <w:pPr>
              <w:tabs>
                <w:tab w:val="left" w:pos="8364"/>
              </w:tabs>
              <w:snapToGrid w:val="0"/>
              <w:spacing w:line="400" w:lineRule="exact"/>
              <w:ind w:right="-58"/>
              <w:jc w:val="left"/>
              <w:rPr>
                <w:rFonts w:eastAsia="宋体" w:asciiTheme="minorEastAsia" w:hAnsiTheme="minorEastAsia" w:cstheme="minorEastAsia"/>
                <w:bCs/>
                <w:sz w:val="24"/>
              </w:rPr>
            </w:pPr>
            <w:r>
              <w:rPr>
                <w:rFonts w:hint="eastAsia" w:eastAsia="宋体" w:asciiTheme="minorEastAsia" w:hAnsiTheme="minorEastAsia" w:cstheme="minorEastAsia"/>
                <w:bCs/>
                <w:sz w:val="24"/>
              </w:rPr>
              <w:t>完成期限</w:t>
            </w:r>
          </w:p>
        </w:tc>
        <w:tc>
          <w:tcPr>
            <w:tcW w:w="7286" w:type="dxa"/>
            <w:gridSpan w:val="5"/>
            <w:vAlign w:val="center"/>
          </w:tcPr>
          <w:p>
            <w:pPr>
              <w:tabs>
                <w:tab w:val="left" w:pos="8364"/>
              </w:tabs>
              <w:snapToGrid w:val="0"/>
              <w:spacing w:line="400" w:lineRule="exact"/>
              <w:ind w:right="-58"/>
              <w:jc w:val="left"/>
              <w:rPr>
                <w:rFonts w:eastAsia="宋体" w:asciiTheme="minorEastAsia" w:hAnsiTheme="minorEastAsia" w:cstheme="minorEastAsia"/>
                <w:sz w:val="24"/>
              </w:rPr>
            </w:pPr>
          </w:p>
        </w:tc>
      </w:tr>
    </w:tbl>
    <w:p>
      <w:pPr>
        <w:pStyle w:val="5"/>
        <w:overflowPunct w:val="0"/>
        <w:spacing w:line="400" w:lineRule="exact"/>
        <w:rPr>
          <w:rFonts w:asciiTheme="minorEastAsia" w:hAnsiTheme="minorEastAsia" w:cstheme="minorEastAsia"/>
          <w:szCs w:val="24"/>
        </w:rPr>
      </w:pPr>
      <w:r>
        <w:rPr>
          <w:rFonts w:hint="eastAsia" w:asciiTheme="minorEastAsia" w:hAnsiTheme="minorEastAsia" w:cstheme="minorEastAsia"/>
          <w:b w:val="0"/>
          <w:bCs/>
          <w:szCs w:val="24"/>
        </w:rPr>
        <w:t>注：本项目评审价以项目含税报价为准。</w:t>
      </w:r>
    </w:p>
    <w:p>
      <w:pPr>
        <w:spacing w:line="560" w:lineRule="exact"/>
        <w:rPr>
          <w:rFonts w:asciiTheme="minorEastAsia" w:hAnsiTheme="minorEastAsia" w:cstheme="minorEastAsia"/>
          <w:sz w:val="24"/>
        </w:rPr>
      </w:pPr>
    </w:p>
    <w:p>
      <w:pPr>
        <w:spacing w:line="560" w:lineRule="exact"/>
        <w:rPr>
          <w:rFonts w:asciiTheme="minorEastAsia" w:hAnsiTheme="minorEastAsia" w:cstheme="minorEastAsia"/>
          <w:sz w:val="24"/>
        </w:rPr>
      </w:pPr>
      <w:r>
        <w:rPr>
          <w:rFonts w:hint="eastAsia" w:asciiTheme="minorEastAsia" w:hAnsiTheme="minorEastAsia" w:cstheme="minorEastAsia"/>
          <w:sz w:val="24"/>
        </w:rPr>
        <w:t>参选人（公章）：</w:t>
      </w:r>
    </w:p>
    <w:p>
      <w:pPr>
        <w:spacing w:line="560" w:lineRule="exact"/>
        <w:rPr>
          <w:rFonts w:asciiTheme="minorEastAsia" w:hAnsiTheme="minorEastAsia" w:cstheme="minorEastAsia"/>
          <w:sz w:val="24"/>
        </w:rPr>
      </w:pPr>
      <w:r>
        <w:rPr>
          <w:rFonts w:hint="eastAsia" w:asciiTheme="minorEastAsia" w:hAnsiTheme="minorEastAsia" w:cstheme="minorEastAsia"/>
          <w:sz w:val="24"/>
        </w:rPr>
        <w:t>法定代表人或授权代表（签字或盖章）：</w:t>
      </w:r>
    </w:p>
    <w:p>
      <w:pPr>
        <w:spacing w:line="360" w:lineRule="auto"/>
        <w:rPr>
          <w:rFonts w:asciiTheme="minorEastAsia" w:hAnsiTheme="minorEastAsia" w:cstheme="minorEastAsia"/>
          <w:sz w:val="24"/>
        </w:rPr>
      </w:pPr>
      <w:r>
        <w:rPr>
          <w:rFonts w:hint="eastAsia" w:asciiTheme="minorEastAsia" w:hAnsiTheme="minorEastAsia" w:cstheme="minorEastAsia"/>
          <w:sz w:val="24"/>
        </w:rPr>
        <w:t>日期：</w:t>
      </w:r>
    </w:p>
    <w:p>
      <w:pPr>
        <w:pStyle w:val="6"/>
        <w:rPr>
          <w:rFonts w:asciiTheme="minorEastAsia" w:hAnsiTheme="minorEastAsia" w:cstheme="minorEastAsia"/>
          <w:sz w:val="24"/>
        </w:rPr>
      </w:pPr>
    </w:p>
    <w:p>
      <w:pPr>
        <w:pStyle w:val="19"/>
        <w:rPr>
          <w:rFonts w:asciiTheme="minorEastAsia" w:hAnsiTheme="minorEastAsia" w:cstheme="minorEastAsia"/>
          <w:sz w:val="24"/>
        </w:rPr>
      </w:pPr>
    </w:p>
    <w:p>
      <w:pPr>
        <w:rPr>
          <w:rFonts w:asciiTheme="minorEastAsia" w:hAnsiTheme="minorEastAsia" w:cstheme="minorEastAsia"/>
          <w:sz w:val="24"/>
        </w:rPr>
      </w:pPr>
    </w:p>
    <w:p>
      <w:pPr>
        <w:pStyle w:val="6"/>
        <w:rPr>
          <w:rFonts w:asciiTheme="minorEastAsia" w:hAnsiTheme="minorEastAsia" w:cstheme="minorEastAsia"/>
          <w:sz w:val="24"/>
        </w:rPr>
      </w:pPr>
    </w:p>
    <w:p>
      <w:pPr>
        <w:pStyle w:val="19"/>
        <w:rPr>
          <w:rFonts w:asciiTheme="minorEastAsia" w:hAnsiTheme="minorEastAsia" w:cstheme="minorEastAsia"/>
          <w:sz w:val="24"/>
        </w:rPr>
      </w:pPr>
    </w:p>
    <w:p>
      <w:pPr>
        <w:rPr>
          <w:rFonts w:asciiTheme="minorEastAsia" w:hAnsiTheme="minorEastAsia" w:cstheme="minorEastAsia"/>
          <w:sz w:val="24"/>
        </w:rPr>
      </w:pPr>
    </w:p>
    <w:p>
      <w:pPr>
        <w:pStyle w:val="6"/>
        <w:rPr>
          <w:rFonts w:asciiTheme="minorEastAsia" w:hAnsiTheme="minorEastAsia" w:cstheme="minorEastAsia"/>
          <w:sz w:val="24"/>
        </w:rPr>
      </w:pPr>
    </w:p>
    <w:p>
      <w:pPr>
        <w:pStyle w:val="19"/>
        <w:rPr>
          <w:rFonts w:asciiTheme="minorEastAsia" w:hAnsiTheme="minorEastAsia" w:cstheme="minorEastAsia"/>
          <w:sz w:val="24"/>
        </w:rPr>
      </w:pPr>
    </w:p>
    <w:p>
      <w:pPr>
        <w:rPr>
          <w:rFonts w:asciiTheme="minorEastAsia" w:hAnsiTheme="minorEastAsia" w:cstheme="minorEastAsia"/>
          <w:sz w:val="24"/>
        </w:rPr>
      </w:pPr>
    </w:p>
    <w:p/>
    <w:p/>
    <w:p/>
    <w:p/>
    <w:p/>
    <w:p/>
    <w:p/>
    <w:p>
      <w:pPr>
        <w:rPr>
          <w:rFonts w:asciiTheme="minorEastAsia" w:hAnsiTheme="minorEastAsia" w:cstheme="minorEastAsia"/>
        </w:rPr>
      </w:pPr>
    </w:p>
    <w:p>
      <w:pPr>
        <w:snapToGrid w:val="0"/>
        <w:spacing w:line="360" w:lineRule="auto"/>
        <w:jc w:val="center"/>
        <w:outlineLvl w:val="0"/>
        <w:rPr>
          <w:rFonts w:ascii="宋体" w:hAnsi="宋体" w:cs="宋体"/>
          <w:sz w:val="28"/>
          <w:szCs w:val="28"/>
        </w:rPr>
      </w:pPr>
      <w:bookmarkStart w:id="37" w:name="_Toc3271"/>
      <w:bookmarkStart w:id="38" w:name="_Toc21578"/>
      <w:r>
        <w:rPr>
          <w:rFonts w:hint="eastAsia" w:asciiTheme="minorEastAsia" w:hAnsiTheme="minorEastAsia" w:cstheme="minorEastAsia"/>
          <w:b/>
          <w:bCs/>
          <w:sz w:val="32"/>
          <w:szCs w:val="32"/>
        </w:rPr>
        <w:t xml:space="preserve">第六章 </w:t>
      </w:r>
      <w:bookmarkEnd w:id="37"/>
      <w:bookmarkEnd w:id="38"/>
      <w:r>
        <w:rPr>
          <w:rFonts w:hint="eastAsia" w:asciiTheme="minorEastAsia" w:hAnsiTheme="minorEastAsia" w:cstheme="minorEastAsia"/>
          <w:b/>
          <w:bCs/>
          <w:sz w:val="32"/>
          <w:szCs w:val="32"/>
        </w:rPr>
        <w:t xml:space="preserve"> </w:t>
      </w:r>
      <w:r>
        <w:rPr>
          <w:rFonts w:hint="eastAsia" w:ascii="宋体" w:hAnsi="宋体" w:cs="宋体"/>
          <w:b/>
          <w:sz w:val="36"/>
          <w:szCs w:val="36"/>
        </w:rPr>
        <w:t>合同签订与验收付款</w:t>
      </w:r>
    </w:p>
    <w:p>
      <w:pPr>
        <w:pStyle w:val="26"/>
        <w:tabs>
          <w:tab w:val="right" w:leader="dot" w:pos="9214"/>
        </w:tabs>
        <w:snapToGrid w:val="0"/>
        <w:spacing w:line="460" w:lineRule="exact"/>
        <w:ind w:right="443" w:rightChars="211" w:firstLine="480" w:firstLineChars="200"/>
        <w:contextualSpacing/>
        <w:rPr>
          <w:rFonts w:ascii="宋体" w:eastAsia="宋体" w:cs="宋体"/>
          <w:sz w:val="24"/>
          <w:szCs w:val="24"/>
        </w:rPr>
      </w:pPr>
      <w:bookmarkStart w:id="39" w:name="_Toc297216215"/>
      <w:bookmarkStart w:id="40" w:name="_Toc292559416"/>
      <w:bookmarkStart w:id="41" w:name="_Toc297048397"/>
      <w:bookmarkStart w:id="42" w:name="_Toc300935006"/>
      <w:bookmarkStart w:id="43" w:name="OLE_LINK2"/>
      <w:bookmarkStart w:id="44" w:name="_Toc296346712"/>
      <w:bookmarkStart w:id="45" w:name="_Toc303539163"/>
      <w:bookmarkStart w:id="46" w:name="OLE_LINK1"/>
      <w:bookmarkStart w:id="47" w:name="_Toc296891251"/>
      <w:bookmarkStart w:id="48" w:name="_Toc267251442"/>
      <w:bookmarkStart w:id="49" w:name="_Toc498006744"/>
      <w:bookmarkStart w:id="50" w:name="_Toc297123556"/>
      <w:bookmarkStart w:id="51" w:name="_Toc296503211"/>
      <w:bookmarkStart w:id="52" w:name="_Toc297120511"/>
      <w:bookmarkStart w:id="53" w:name="_Toc292559921"/>
      <w:bookmarkStart w:id="54" w:name="_Toc296944550"/>
      <w:bookmarkStart w:id="55" w:name="_Toc296347210"/>
      <w:bookmarkStart w:id="56" w:name="_Toc296891039"/>
      <w:r>
        <w:rPr>
          <w:rFonts w:hint="eastAsia" w:ascii="宋体" w:eastAsia="宋体" w:cs="宋体"/>
          <w:sz w:val="24"/>
          <w:szCs w:val="24"/>
        </w:rPr>
        <w:t>一、</w:t>
      </w:r>
      <w:r>
        <w:rPr>
          <w:rFonts w:hint="eastAsia" w:ascii="宋体" w:eastAsia="宋体" w:cs="宋体"/>
          <w:sz w:val="24"/>
          <w:szCs w:val="24"/>
          <w:lang w:val="en-US" w:eastAsia="zh-CN"/>
        </w:rPr>
        <w:t>中选人</w:t>
      </w:r>
      <w:r>
        <w:rPr>
          <w:rFonts w:hint="eastAsia" w:ascii="宋体" w:eastAsia="宋体" w:cs="宋体"/>
          <w:sz w:val="24"/>
          <w:szCs w:val="24"/>
        </w:rPr>
        <w:t>和</w:t>
      </w:r>
      <w:r>
        <w:rPr>
          <w:rFonts w:hint="eastAsia" w:ascii="宋体" w:eastAsia="宋体" w:cs="宋体"/>
          <w:sz w:val="24"/>
          <w:szCs w:val="24"/>
          <w:lang w:eastAsia="zh-CN"/>
        </w:rPr>
        <w:t>比选人</w:t>
      </w:r>
      <w:r>
        <w:rPr>
          <w:rFonts w:hint="eastAsia" w:ascii="宋体" w:eastAsia="宋体" w:cs="宋体"/>
          <w:sz w:val="24"/>
          <w:szCs w:val="24"/>
        </w:rPr>
        <w:t>在接到《</w:t>
      </w:r>
      <w:r>
        <w:rPr>
          <w:rFonts w:hint="eastAsia" w:ascii="宋体" w:eastAsia="宋体" w:cs="宋体"/>
          <w:sz w:val="24"/>
          <w:szCs w:val="24"/>
          <w:lang w:val="en-US" w:eastAsia="zh-CN"/>
        </w:rPr>
        <w:t>中选</w:t>
      </w:r>
      <w:r>
        <w:rPr>
          <w:rFonts w:hint="eastAsia" w:ascii="宋体" w:eastAsia="宋体" w:cs="宋体"/>
          <w:sz w:val="24"/>
          <w:szCs w:val="24"/>
        </w:rPr>
        <w:t>通知书》后30日内按照</w:t>
      </w:r>
      <w:r>
        <w:rPr>
          <w:rFonts w:hint="eastAsia" w:ascii="宋体" w:eastAsia="宋体" w:cs="宋体"/>
          <w:sz w:val="24"/>
          <w:szCs w:val="24"/>
          <w:lang w:eastAsia="zh-CN"/>
        </w:rPr>
        <w:t>比选文件</w:t>
      </w:r>
      <w:r>
        <w:rPr>
          <w:rFonts w:hint="eastAsia" w:ascii="宋体" w:eastAsia="宋体" w:cs="宋体"/>
          <w:sz w:val="24"/>
          <w:szCs w:val="24"/>
        </w:rPr>
        <w:t>确定的事项签订采购合同。</w:t>
      </w:r>
      <w:r>
        <w:rPr>
          <w:rFonts w:hint="eastAsia" w:ascii="宋体" w:eastAsia="宋体" w:cs="宋体"/>
          <w:sz w:val="24"/>
          <w:szCs w:val="24"/>
          <w:lang w:val="zh-CN"/>
        </w:rPr>
        <w:t>所签合同不得对比选文件作实质性修改</w:t>
      </w:r>
      <w:r>
        <w:rPr>
          <w:rFonts w:hint="eastAsia" w:ascii="宋体" w:eastAsia="宋体" w:cs="宋体"/>
          <w:sz w:val="24"/>
          <w:szCs w:val="24"/>
        </w:rPr>
        <w:t>。</w:t>
      </w:r>
      <w:r>
        <w:rPr>
          <w:rFonts w:hint="eastAsia" w:ascii="宋体" w:eastAsia="宋体" w:cs="宋体"/>
          <w:sz w:val="24"/>
          <w:szCs w:val="24"/>
          <w:lang w:eastAsia="zh-CN"/>
        </w:rPr>
        <w:t>比选人</w:t>
      </w:r>
      <w:r>
        <w:rPr>
          <w:rFonts w:hint="eastAsia" w:ascii="宋体" w:eastAsia="宋体" w:cs="宋体"/>
          <w:sz w:val="24"/>
          <w:szCs w:val="24"/>
        </w:rPr>
        <w:t>不得向</w:t>
      </w:r>
      <w:r>
        <w:rPr>
          <w:rFonts w:hint="eastAsia" w:ascii="宋体" w:eastAsia="宋体" w:cs="宋体"/>
          <w:sz w:val="24"/>
          <w:szCs w:val="24"/>
          <w:lang w:eastAsia="zh-CN"/>
        </w:rPr>
        <w:t>中选供应商</w:t>
      </w:r>
      <w:r>
        <w:rPr>
          <w:rFonts w:hint="eastAsia" w:ascii="宋体" w:eastAsia="宋体" w:cs="宋体"/>
          <w:sz w:val="24"/>
          <w:szCs w:val="24"/>
        </w:rPr>
        <w:t>提出不合理的要求作为签订合同的条件，不得与</w:t>
      </w:r>
      <w:r>
        <w:rPr>
          <w:rFonts w:hint="eastAsia" w:ascii="宋体" w:eastAsia="宋体" w:cs="宋体"/>
          <w:sz w:val="24"/>
          <w:szCs w:val="24"/>
          <w:lang w:eastAsia="zh-CN"/>
        </w:rPr>
        <w:t>中选供应商</w:t>
      </w:r>
      <w:r>
        <w:rPr>
          <w:rFonts w:hint="eastAsia" w:ascii="宋体" w:eastAsia="宋体" w:cs="宋体"/>
          <w:sz w:val="24"/>
          <w:szCs w:val="24"/>
        </w:rPr>
        <w:t>私下订立背离</w:t>
      </w:r>
      <w:r>
        <w:rPr>
          <w:rFonts w:hint="eastAsia" w:ascii="宋体" w:eastAsia="宋体" w:cs="宋体"/>
          <w:sz w:val="24"/>
          <w:szCs w:val="24"/>
          <w:lang w:eastAsia="zh-CN"/>
        </w:rPr>
        <w:t>比选文件</w:t>
      </w:r>
      <w:r>
        <w:rPr>
          <w:rFonts w:hint="eastAsia" w:ascii="宋体" w:eastAsia="宋体" w:cs="宋体"/>
          <w:sz w:val="24"/>
          <w:szCs w:val="24"/>
        </w:rPr>
        <w:t>实质性内容的协议。</w:t>
      </w:r>
      <w:bookmarkStart w:id="57" w:name="_Toc363573858"/>
      <w:bookmarkStart w:id="58" w:name="_Toc94585343"/>
    </w:p>
    <w:p>
      <w:pPr>
        <w:tabs>
          <w:tab w:val="right" w:leader="dot" w:pos="9214"/>
        </w:tabs>
        <w:spacing w:line="460" w:lineRule="exact"/>
        <w:ind w:right="443" w:rightChars="211"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lang w:eastAsia="zh-CN"/>
        </w:rPr>
        <w:t>比选文件</w:t>
      </w:r>
      <w:r>
        <w:rPr>
          <w:rFonts w:hint="eastAsia" w:ascii="宋体" w:hAnsi="宋体" w:cs="宋体"/>
          <w:sz w:val="24"/>
          <w:szCs w:val="24"/>
        </w:rPr>
        <w:t>、</w:t>
      </w:r>
      <w:r>
        <w:rPr>
          <w:rFonts w:hint="eastAsia" w:ascii="宋体" w:hAnsi="宋体" w:cs="宋体"/>
          <w:sz w:val="24"/>
          <w:szCs w:val="24"/>
          <w:lang w:eastAsia="zh-CN"/>
        </w:rPr>
        <w:t>中选人</w:t>
      </w:r>
      <w:r>
        <w:rPr>
          <w:rFonts w:hint="eastAsia" w:ascii="宋体" w:hAnsi="宋体" w:cs="宋体"/>
          <w:sz w:val="24"/>
          <w:szCs w:val="24"/>
        </w:rPr>
        <w:t>的响应文件及评审过程中有关书面澄清、承诺等均应作为合同附件，具有同等的法律效力。</w:t>
      </w:r>
    </w:p>
    <w:p>
      <w:pPr>
        <w:tabs>
          <w:tab w:val="right" w:leader="dot" w:pos="9214"/>
        </w:tabs>
        <w:spacing w:line="460" w:lineRule="exact"/>
        <w:ind w:right="443" w:rightChars="211" w:firstLine="480" w:firstLineChars="200"/>
        <w:rPr>
          <w:rFonts w:ascii="宋体" w:hAnsi="宋体" w:cs="宋体"/>
          <w:sz w:val="24"/>
          <w:szCs w:val="24"/>
        </w:rPr>
      </w:pPr>
      <w:r>
        <w:rPr>
          <w:rFonts w:hint="eastAsia" w:ascii="宋体" w:hAnsi="宋体" w:cs="宋体"/>
          <w:sz w:val="24"/>
          <w:szCs w:val="24"/>
        </w:rPr>
        <w:t>三、</w:t>
      </w:r>
      <w:r>
        <w:rPr>
          <w:rFonts w:hint="eastAsia" w:ascii="宋体" w:hAnsi="宋体" w:cs="宋体"/>
          <w:sz w:val="24"/>
          <w:szCs w:val="24"/>
          <w:lang w:eastAsia="zh-CN"/>
        </w:rPr>
        <w:t>中选人</w:t>
      </w:r>
      <w:r>
        <w:rPr>
          <w:rFonts w:hint="eastAsia" w:ascii="宋体" w:hAnsi="宋体" w:cs="宋体"/>
          <w:sz w:val="24"/>
          <w:szCs w:val="24"/>
        </w:rPr>
        <w:t>不得采用转包、分包的形式履行合同，否则，</w:t>
      </w:r>
      <w:r>
        <w:rPr>
          <w:rFonts w:hint="eastAsia" w:ascii="宋体" w:hAnsi="宋体" w:cs="宋体"/>
          <w:sz w:val="24"/>
          <w:szCs w:val="24"/>
          <w:lang w:eastAsia="zh-CN"/>
        </w:rPr>
        <w:t>比选人</w:t>
      </w:r>
      <w:r>
        <w:rPr>
          <w:rFonts w:hint="eastAsia" w:ascii="宋体" w:hAnsi="宋体" w:cs="宋体"/>
          <w:sz w:val="24"/>
          <w:szCs w:val="24"/>
        </w:rPr>
        <w:t>有权终止合同，造成</w:t>
      </w:r>
      <w:r>
        <w:rPr>
          <w:rFonts w:hint="eastAsia" w:ascii="宋体" w:hAnsi="宋体" w:cs="宋体"/>
          <w:sz w:val="24"/>
          <w:szCs w:val="24"/>
          <w:lang w:eastAsia="zh-CN"/>
        </w:rPr>
        <w:t>比选人</w:t>
      </w:r>
      <w:r>
        <w:rPr>
          <w:rFonts w:hint="eastAsia" w:ascii="宋体" w:hAnsi="宋体" w:cs="宋体"/>
          <w:sz w:val="24"/>
          <w:szCs w:val="24"/>
        </w:rPr>
        <w:t>损失的，</w:t>
      </w:r>
      <w:r>
        <w:rPr>
          <w:rFonts w:hint="eastAsia" w:ascii="宋体" w:hAnsi="宋体" w:cs="宋体"/>
          <w:sz w:val="24"/>
          <w:szCs w:val="24"/>
          <w:lang w:eastAsia="zh-CN"/>
        </w:rPr>
        <w:t>中选人</w:t>
      </w:r>
      <w:r>
        <w:rPr>
          <w:rFonts w:hint="eastAsia" w:ascii="宋体" w:hAnsi="宋体" w:cs="宋体"/>
          <w:sz w:val="24"/>
          <w:szCs w:val="24"/>
        </w:rPr>
        <w:t>应承担相应赔偿责任。</w:t>
      </w:r>
    </w:p>
    <w:bookmarkEnd w:id="57"/>
    <w:bookmarkEnd w:id="58"/>
    <w:p>
      <w:pPr>
        <w:tabs>
          <w:tab w:val="right" w:leader="dot" w:pos="9214"/>
        </w:tabs>
        <w:spacing w:line="460" w:lineRule="exact"/>
        <w:ind w:right="443" w:rightChars="211" w:firstLine="480" w:firstLineChars="200"/>
        <w:rPr>
          <w:rFonts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CN"/>
        </w:rPr>
        <w:t>比选人</w:t>
      </w:r>
      <w:r>
        <w:rPr>
          <w:rFonts w:hint="eastAsia" w:ascii="宋体" w:hAnsi="宋体" w:cs="宋体"/>
          <w:sz w:val="24"/>
          <w:szCs w:val="24"/>
        </w:rPr>
        <w:t>和</w:t>
      </w:r>
      <w:r>
        <w:rPr>
          <w:rFonts w:hint="eastAsia" w:ascii="宋体" w:hAnsi="宋体" w:cs="宋体"/>
          <w:sz w:val="24"/>
          <w:szCs w:val="24"/>
          <w:lang w:eastAsia="zh-CN"/>
        </w:rPr>
        <w:t>中选人</w:t>
      </w:r>
      <w:r>
        <w:rPr>
          <w:rFonts w:hint="eastAsia" w:ascii="宋体" w:hAnsi="宋体" w:cs="宋体"/>
          <w:sz w:val="24"/>
          <w:szCs w:val="24"/>
        </w:rPr>
        <w:t>应相互配合，按采购合同约定积极组织本项目的实施，确保项目按时完成。</w:t>
      </w:r>
    </w:p>
    <w:p>
      <w:pPr>
        <w:tabs>
          <w:tab w:val="right" w:leader="dot" w:pos="9214"/>
        </w:tabs>
        <w:spacing w:line="460" w:lineRule="exact"/>
        <w:ind w:right="443" w:rightChars="211" w:firstLine="480" w:firstLineChars="200"/>
        <w:rPr>
          <w:rFonts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中选人</w:t>
      </w:r>
      <w:r>
        <w:rPr>
          <w:rFonts w:hint="eastAsia" w:ascii="宋体" w:hAnsi="宋体" w:cs="宋体"/>
          <w:sz w:val="24"/>
          <w:szCs w:val="24"/>
        </w:rPr>
        <w:t>履约到位后，应以书面形式向</w:t>
      </w:r>
      <w:r>
        <w:rPr>
          <w:rFonts w:hint="eastAsia" w:ascii="宋体" w:hAnsi="宋体" w:cs="宋体"/>
          <w:sz w:val="24"/>
          <w:szCs w:val="24"/>
          <w:lang w:eastAsia="zh-CN"/>
        </w:rPr>
        <w:t>比选人</w:t>
      </w:r>
      <w:r>
        <w:rPr>
          <w:rFonts w:hint="eastAsia" w:ascii="宋体" w:hAnsi="宋体" w:cs="宋体"/>
          <w:sz w:val="24"/>
          <w:szCs w:val="24"/>
        </w:rPr>
        <w:t>提出验收申请。</w:t>
      </w:r>
      <w:r>
        <w:rPr>
          <w:rFonts w:hint="eastAsia" w:ascii="宋体" w:hAnsi="宋体" w:cs="宋体"/>
          <w:sz w:val="24"/>
          <w:szCs w:val="24"/>
          <w:lang w:eastAsia="zh-CN"/>
        </w:rPr>
        <w:t>比选人</w:t>
      </w:r>
      <w:r>
        <w:rPr>
          <w:rFonts w:hint="eastAsia" w:ascii="宋体" w:hAnsi="宋体" w:cs="宋体"/>
          <w:sz w:val="24"/>
          <w:szCs w:val="24"/>
        </w:rPr>
        <w:t>接到申请后应及时组织验收。</w:t>
      </w:r>
    </w:p>
    <w:p>
      <w:pPr>
        <w:tabs>
          <w:tab w:val="right" w:leader="dot" w:pos="9214"/>
        </w:tabs>
        <w:spacing w:line="460" w:lineRule="exact"/>
        <w:ind w:right="443" w:rightChars="211" w:firstLine="480" w:firstLineChars="200"/>
        <w:rPr>
          <w:rFonts w:ascii="宋体" w:hAnsi="宋体" w:cs="宋体"/>
          <w:sz w:val="24"/>
          <w:szCs w:val="24"/>
        </w:rPr>
      </w:pPr>
      <w:r>
        <w:rPr>
          <w:rFonts w:hint="eastAsia" w:ascii="宋体" w:hAnsi="宋体" w:cs="宋体"/>
          <w:sz w:val="24"/>
          <w:szCs w:val="24"/>
        </w:rPr>
        <w:t>六、</w:t>
      </w:r>
      <w:r>
        <w:rPr>
          <w:rFonts w:hint="eastAsia" w:ascii="宋体" w:hAnsi="宋体" w:cs="宋体"/>
          <w:sz w:val="24"/>
          <w:szCs w:val="24"/>
          <w:lang w:eastAsia="zh-CN"/>
        </w:rPr>
        <w:t>比选人</w:t>
      </w:r>
      <w:r>
        <w:rPr>
          <w:rFonts w:hint="eastAsia" w:ascii="宋体" w:hAnsi="宋体" w:cs="宋体"/>
          <w:sz w:val="24"/>
          <w:szCs w:val="24"/>
        </w:rPr>
        <w:t>、</w:t>
      </w:r>
      <w:r>
        <w:rPr>
          <w:rFonts w:hint="eastAsia" w:ascii="宋体" w:hAnsi="宋体" w:cs="宋体"/>
          <w:sz w:val="24"/>
          <w:szCs w:val="24"/>
          <w:lang w:eastAsia="zh-CN"/>
        </w:rPr>
        <w:t>中选人</w:t>
      </w:r>
      <w:r>
        <w:rPr>
          <w:rFonts w:hint="eastAsia" w:ascii="宋体" w:hAnsi="宋体" w:cs="宋体"/>
          <w:sz w:val="24"/>
          <w:szCs w:val="24"/>
        </w:rPr>
        <w:t>不按采购合同规定履约，出现违约情形，应当及时纠正或补偿，造成损失的，按合同约定追究违约责任；履约中发现有假冒、伪劣、走私产品、商业贿赂等违法情形的，应由</w:t>
      </w:r>
      <w:r>
        <w:rPr>
          <w:rFonts w:hint="eastAsia" w:ascii="宋体" w:hAnsi="宋体" w:cs="宋体"/>
          <w:sz w:val="24"/>
          <w:szCs w:val="24"/>
          <w:lang w:eastAsia="zh-CN"/>
        </w:rPr>
        <w:t>比选人</w:t>
      </w:r>
      <w:r>
        <w:rPr>
          <w:rFonts w:hint="eastAsia" w:ascii="宋体" w:hAnsi="宋体" w:cs="宋体"/>
          <w:sz w:val="24"/>
          <w:szCs w:val="24"/>
        </w:rPr>
        <w:t>移交工商、质监、公安等行政执法部门依法查处。</w:t>
      </w:r>
    </w:p>
    <w:p>
      <w:pPr>
        <w:pStyle w:val="6"/>
        <w:tabs>
          <w:tab w:val="right" w:leader="dot" w:pos="9214"/>
        </w:tabs>
        <w:spacing w:line="460" w:lineRule="exact"/>
        <w:ind w:right="443" w:rightChars="211" w:firstLine="480" w:firstLineChars="200"/>
        <w:rPr>
          <w:rFonts w:ascii="宋体" w:hAnsi="宋体" w:cs="宋体"/>
          <w:sz w:val="24"/>
          <w:szCs w:val="24"/>
        </w:rPr>
      </w:pPr>
      <w:r>
        <w:rPr>
          <w:rFonts w:hint="eastAsia" w:ascii="宋体" w:hAnsi="宋体" w:cs="宋体"/>
          <w:sz w:val="24"/>
          <w:szCs w:val="24"/>
        </w:rPr>
        <w:t>七、按采购合同约定支付的项目合同价款。</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Pr>
        <w:rPr>
          <w:rFonts w:asciiTheme="minorEastAsia" w:hAnsiTheme="minorEastAsia" w:cstheme="minorEastAsia"/>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0E7EDE1-BBA1-4D34-B5B4-25347DC67285}"/>
  </w:font>
  <w:font w:name="Arial,Bold">
    <w:altName w:val="Segoe Print"/>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caps/>
      </w:rPr>
    </w:pPr>
    <w:r>
      <w:rPr>
        <w:caps/>
      </w:rPr>
      <w:fldChar w:fldCharType="begin"/>
    </w:r>
    <w:r>
      <w:rPr>
        <w:caps/>
      </w:rPr>
      <w:instrText xml:space="preserve">PAGE   \* MERGEFORMAT</w:instrText>
    </w:r>
    <w:r>
      <w:rPr>
        <w:caps/>
      </w:rPr>
      <w:fldChar w:fldCharType="separate"/>
    </w:r>
    <w:r>
      <w:rPr>
        <w:caps/>
        <w:lang w:val="zh-CN"/>
      </w:rPr>
      <w:t>28</w:t>
    </w:r>
    <w:r>
      <w:rPr>
        <w:caps/>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237EB"/>
    <w:multiLevelType w:val="singleLevel"/>
    <w:tmpl w:val="EE3237EB"/>
    <w:lvl w:ilvl="0" w:tentative="0">
      <w:start w:val="1"/>
      <w:numFmt w:val="decimal"/>
      <w:suff w:val="nothing"/>
      <w:lvlText w:val="（%1）"/>
      <w:lvlJc w:val="left"/>
    </w:lvl>
  </w:abstractNum>
  <w:abstractNum w:abstractNumId="1">
    <w:nsid w:val="19A7CAFE"/>
    <w:multiLevelType w:val="singleLevel"/>
    <w:tmpl w:val="19A7CAFE"/>
    <w:lvl w:ilvl="0" w:tentative="0">
      <w:start w:val="2"/>
      <w:numFmt w:val="decimal"/>
      <w:suff w:val="nothing"/>
      <w:lvlText w:val="%1、"/>
      <w:lvlJc w:val="left"/>
    </w:lvl>
  </w:abstractNum>
  <w:abstractNum w:abstractNumId="2">
    <w:nsid w:val="3B81B353"/>
    <w:multiLevelType w:val="singleLevel"/>
    <w:tmpl w:val="3B81B353"/>
    <w:lvl w:ilvl="0" w:tentative="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xOTZiZTA5NGE2N2ZiZTY0YjVkMWYyZGIzNGU0MGIifQ=="/>
  </w:docVars>
  <w:rsids>
    <w:rsidRoot w:val="00042857"/>
    <w:rsid w:val="00030106"/>
    <w:rsid w:val="00042857"/>
    <w:rsid w:val="000F5E89"/>
    <w:rsid w:val="001049E2"/>
    <w:rsid w:val="001D224A"/>
    <w:rsid w:val="00286041"/>
    <w:rsid w:val="00292A5B"/>
    <w:rsid w:val="00330AEF"/>
    <w:rsid w:val="00344ACF"/>
    <w:rsid w:val="003C21A7"/>
    <w:rsid w:val="003C27CC"/>
    <w:rsid w:val="00490F71"/>
    <w:rsid w:val="00555BC0"/>
    <w:rsid w:val="00586802"/>
    <w:rsid w:val="005B24E0"/>
    <w:rsid w:val="006C59B8"/>
    <w:rsid w:val="006E1399"/>
    <w:rsid w:val="007D0294"/>
    <w:rsid w:val="008F5AD8"/>
    <w:rsid w:val="009672B8"/>
    <w:rsid w:val="00974EC7"/>
    <w:rsid w:val="009B4AA6"/>
    <w:rsid w:val="009D7F1C"/>
    <w:rsid w:val="00A17074"/>
    <w:rsid w:val="00A568B1"/>
    <w:rsid w:val="00AC1323"/>
    <w:rsid w:val="00AF078E"/>
    <w:rsid w:val="00B00BB1"/>
    <w:rsid w:val="00B00BB3"/>
    <w:rsid w:val="00B6722B"/>
    <w:rsid w:val="00C50200"/>
    <w:rsid w:val="00C60D2C"/>
    <w:rsid w:val="00D1083D"/>
    <w:rsid w:val="00D20CC8"/>
    <w:rsid w:val="00D843E8"/>
    <w:rsid w:val="00D96EB0"/>
    <w:rsid w:val="00DD3803"/>
    <w:rsid w:val="00E84B8B"/>
    <w:rsid w:val="00EC1AE9"/>
    <w:rsid w:val="00F1570C"/>
    <w:rsid w:val="00FB1C16"/>
    <w:rsid w:val="00FB62F5"/>
    <w:rsid w:val="02D45F29"/>
    <w:rsid w:val="06EB0BBA"/>
    <w:rsid w:val="07653777"/>
    <w:rsid w:val="07DE7931"/>
    <w:rsid w:val="07F817E1"/>
    <w:rsid w:val="0A7137D3"/>
    <w:rsid w:val="0B21104E"/>
    <w:rsid w:val="0CBF7504"/>
    <w:rsid w:val="0CD21BE3"/>
    <w:rsid w:val="0D746803"/>
    <w:rsid w:val="0DB241E0"/>
    <w:rsid w:val="0DD6427F"/>
    <w:rsid w:val="10D206F5"/>
    <w:rsid w:val="14DC228B"/>
    <w:rsid w:val="16E43E7B"/>
    <w:rsid w:val="175F1A49"/>
    <w:rsid w:val="177E3384"/>
    <w:rsid w:val="179F5856"/>
    <w:rsid w:val="18C971F9"/>
    <w:rsid w:val="1BE9227E"/>
    <w:rsid w:val="1F3C7D59"/>
    <w:rsid w:val="1F49257A"/>
    <w:rsid w:val="209816E5"/>
    <w:rsid w:val="23C40371"/>
    <w:rsid w:val="25140E84"/>
    <w:rsid w:val="25752C16"/>
    <w:rsid w:val="26121868"/>
    <w:rsid w:val="26D11723"/>
    <w:rsid w:val="270A253F"/>
    <w:rsid w:val="276243B0"/>
    <w:rsid w:val="276A7481"/>
    <w:rsid w:val="27803CEE"/>
    <w:rsid w:val="27AF1F5E"/>
    <w:rsid w:val="28186EDD"/>
    <w:rsid w:val="281F201A"/>
    <w:rsid w:val="2A8B0A00"/>
    <w:rsid w:val="2E3E68D3"/>
    <w:rsid w:val="2E6764C9"/>
    <w:rsid w:val="2E7D1B76"/>
    <w:rsid w:val="2F527179"/>
    <w:rsid w:val="2F5F248B"/>
    <w:rsid w:val="2FF10740"/>
    <w:rsid w:val="31886E82"/>
    <w:rsid w:val="31DA4DFF"/>
    <w:rsid w:val="34D941B6"/>
    <w:rsid w:val="38766970"/>
    <w:rsid w:val="38830B12"/>
    <w:rsid w:val="389B5A97"/>
    <w:rsid w:val="38C47AC9"/>
    <w:rsid w:val="38FF39F5"/>
    <w:rsid w:val="394A1AD3"/>
    <w:rsid w:val="3A6D30B9"/>
    <w:rsid w:val="3BDD6C40"/>
    <w:rsid w:val="3C105AF8"/>
    <w:rsid w:val="3C865CB6"/>
    <w:rsid w:val="3CE77152"/>
    <w:rsid w:val="3ED74FA5"/>
    <w:rsid w:val="3EF9316D"/>
    <w:rsid w:val="3F1E0212"/>
    <w:rsid w:val="3FDD2A8F"/>
    <w:rsid w:val="43425B9E"/>
    <w:rsid w:val="43A13F15"/>
    <w:rsid w:val="45C51FFB"/>
    <w:rsid w:val="465E45C6"/>
    <w:rsid w:val="49900BFA"/>
    <w:rsid w:val="49ED766C"/>
    <w:rsid w:val="4A5B218A"/>
    <w:rsid w:val="4AB83EDC"/>
    <w:rsid w:val="4B0E191C"/>
    <w:rsid w:val="4CC60621"/>
    <w:rsid w:val="4E660DD9"/>
    <w:rsid w:val="4F80507E"/>
    <w:rsid w:val="4F9E4AFE"/>
    <w:rsid w:val="4FA42C81"/>
    <w:rsid w:val="5022511C"/>
    <w:rsid w:val="52F45CCD"/>
    <w:rsid w:val="53360094"/>
    <w:rsid w:val="55C51BA3"/>
    <w:rsid w:val="5779461F"/>
    <w:rsid w:val="5931713F"/>
    <w:rsid w:val="59973856"/>
    <w:rsid w:val="5B2E0AF6"/>
    <w:rsid w:val="5B3A07FC"/>
    <w:rsid w:val="5E4B6ECF"/>
    <w:rsid w:val="5EE651C8"/>
    <w:rsid w:val="62546789"/>
    <w:rsid w:val="62D77CD6"/>
    <w:rsid w:val="6747512D"/>
    <w:rsid w:val="6A39328B"/>
    <w:rsid w:val="6D2531FB"/>
    <w:rsid w:val="6E56197E"/>
    <w:rsid w:val="70596D82"/>
    <w:rsid w:val="70A07BB5"/>
    <w:rsid w:val="72923F40"/>
    <w:rsid w:val="73676D32"/>
    <w:rsid w:val="74EE0377"/>
    <w:rsid w:val="78CE2353"/>
    <w:rsid w:val="791B543C"/>
    <w:rsid w:val="7BB77D0E"/>
    <w:rsid w:val="7DA27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outlineLvl w:val="3"/>
    </w:pPr>
    <w:rPr>
      <w:sz w:val="28"/>
      <w:szCs w:val="20"/>
      <w:lang w:eastAsia="en-U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b/>
      <w:kern w:val="0"/>
      <w:sz w:val="24"/>
      <w:szCs w:val="20"/>
    </w:rPr>
  </w:style>
  <w:style w:type="paragraph" w:styleId="6">
    <w:name w:val="Body Text"/>
    <w:basedOn w:val="1"/>
    <w:next w:val="7"/>
    <w:qFormat/>
    <w:uiPriority w:val="99"/>
    <w:rPr>
      <w:rFonts w:ascii="宋体"/>
      <w:kern w:val="0"/>
      <w:sz w:val="28"/>
      <w:szCs w:val="20"/>
    </w:rPr>
  </w:style>
  <w:style w:type="paragraph" w:customStyle="1" w:styleId="7">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styleId="8">
    <w:name w:val="Body Text Indent"/>
    <w:basedOn w:val="1"/>
    <w:next w:val="9"/>
    <w:qFormat/>
    <w:uiPriority w:val="99"/>
    <w:pPr>
      <w:spacing w:line="360" w:lineRule="auto"/>
      <w:ind w:firstLine="420"/>
    </w:pPr>
    <w:rPr>
      <w:rFonts w:ascii="宋体"/>
      <w:kern w:val="0"/>
      <w:sz w:val="24"/>
      <w:szCs w:val="20"/>
    </w:rPr>
  </w:style>
  <w:style w:type="paragraph" w:styleId="9">
    <w:name w:val="envelope return"/>
    <w:basedOn w:val="1"/>
    <w:semiHidden/>
    <w:unhideWhenUsed/>
    <w:qFormat/>
    <w:uiPriority w:val="99"/>
    <w:pPr>
      <w:snapToGrid w:val="0"/>
    </w:pPr>
    <w:rPr>
      <w:rFonts w:asciiTheme="majorHAnsi" w:hAnsiTheme="majorHAnsi" w:eastAsiaTheme="majorEastAsia" w:cstheme="majorBidi"/>
    </w:rPr>
  </w:style>
  <w:style w:type="paragraph" w:styleId="10">
    <w:name w:val="Plain Text"/>
    <w:basedOn w:val="1"/>
    <w:qFormat/>
    <w:uiPriority w:val="0"/>
    <w:rPr>
      <w:rFonts w:ascii="宋体" w:hAnsi="Courier New"/>
      <w:kern w:val="0"/>
      <w:sz w:val="20"/>
      <w:szCs w:val="20"/>
    </w:rPr>
  </w:style>
  <w:style w:type="paragraph" w:styleId="11">
    <w:name w:val="Balloon Text"/>
    <w:basedOn w:val="1"/>
    <w:link w:val="21"/>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8"/>
    <w:semiHidden/>
    <w:unhideWhenUsed/>
    <w:qFormat/>
    <w:uiPriority w:val="99"/>
    <w:pPr>
      <w:spacing w:after="120" w:line="240" w:lineRule="auto"/>
      <w:ind w:left="420" w:leftChars="200" w:firstLine="200" w:firstLineChars="200"/>
    </w:pPr>
    <w:rPr>
      <w:rFonts w:asciiTheme="minorHAnsi"/>
      <w:kern w:val="2"/>
      <w:sz w:val="21"/>
      <w:szCs w:val="24"/>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0">
    <w:name w:val="List Paragraph"/>
    <w:basedOn w:val="1"/>
    <w:qFormat/>
    <w:uiPriority w:val="99"/>
    <w:pPr>
      <w:ind w:firstLine="420" w:firstLineChars="200"/>
    </w:pPr>
  </w:style>
  <w:style w:type="character" w:customStyle="1" w:styleId="21">
    <w:name w:val="批注框文本 Char"/>
    <w:basedOn w:val="18"/>
    <w:link w:val="11"/>
    <w:qFormat/>
    <w:uiPriority w:val="0"/>
    <w:rPr>
      <w:kern w:val="2"/>
      <w:sz w:val="18"/>
      <w:szCs w:val="18"/>
    </w:rPr>
  </w:style>
  <w:style w:type="paragraph" w:customStyle="1" w:styleId="2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无"/>
    <w:qFormat/>
    <w:uiPriority w:val="0"/>
  </w:style>
  <w:style w:type="paragraph" w:customStyle="1" w:styleId="26">
    <w:name w:val="正文缩进2格"/>
    <w:basedOn w:val="1"/>
    <w:qFormat/>
    <w:uiPriority w:val="0"/>
    <w:pPr>
      <w:spacing w:line="600" w:lineRule="exact"/>
      <w:ind w:firstLine="639" w:firstLineChars="206"/>
    </w:pPr>
    <w:rPr>
      <w:rFonts w:ascii="仿宋_GB2312" w:hAnsi="宋体" w:eastAsia="仿宋_GB2312" w:cstheme="minorBidi"/>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91175-13DB-4511-9A7F-77BB474AFB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11073</Words>
  <Characters>11669</Characters>
  <Lines>95</Lines>
  <Paragraphs>26</Paragraphs>
  <TotalTime>4</TotalTime>
  <ScaleCrop>false</ScaleCrop>
  <LinksUpToDate>false</LinksUpToDate>
  <CharactersWithSpaces>12707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2022-10-08T03:31:00Z</dcterms:created>
  <dc:creator>pc</dc:creator>
  <cp:lastModifiedBy>user01</cp:lastModifiedBy>
  <cp:lastPrinted>2022-10-08T07:16:00Z</cp:lastPrinted>
  <dcterms:modified xsi:type="dcterms:W3CDTF">2023-12-15T04:00:51Z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A9C5FF5759704173B9D25F0C7CDF7DD3_13</vt:lpwstr>
  </property>
</Properties>
</file>