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hAnsi="宋体"/>
          <w:b/>
          <w:bCs/>
          <w:color w:val="auto"/>
          <w:sz w:val="52"/>
          <w:szCs w:val="52"/>
          <w:highlight w:val="none"/>
        </w:rPr>
      </w:pPr>
    </w:p>
    <w:p>
      <w:pPr>
        <w:spacing w:line="360" w:lineRule="auto"/>
        <w:jc w:val="center"/>
        <w:rPr>
          <w:rFonts w:hint="eastAsia" w:hAnsi="宋体"/>
          <w:b/>
          <w:bCs/>
          <w:color w:val="auto"/>
          <w:sz w:val="44"/>
          <w:szCs w:val="44"/>
          <w:highlight w:val="none"/>
          <w:lang w:val="en-US" w:eastAsia="zh-CN"/>
        </w:rPr>
      </w:pPr>
      <w:bookmarkStart w:id="0" w:name="_Hlk67735399"/>
      <w:r>
        <w:rPr>
          <w:rFonts w:hint="eastAsia" w:hAnsi="宋体"/>
          <w:b/>
          <w:bCs/>
          <w:color w:val="auto"/>
          <w:sz w:val="44"/>
          <w:szCs w:val="44"/>
          <w:highlight w:val="none"/>
          <w:lang w:eastAsia="zh-CN"/>
        </w:rPr>
        <w:t>南通市保安服务有限公司</w:t>
      </w:r>
      <w:bookmarkEnd w:id="0"/>
      <w:r>
        <w:rPr>
          <w:rFonts w:hint="eastAsia" w:hAnsi="宋体"/>
          <w:b/>
          <w:bCs/>
          <w:color w:val="auto"/>
          <w:sz w:val="44"/>
          <w:szCs w:val="44"/>
          <w:highlight w:val="none"/>
          <w:lang w:val="en-US" w:eastAsia="zh-CN"/>
        </w:rPr>
        <w:t>2号楼、3号楼</w:t>
      </w:r>
    </w:p>
    <w:p>
      <w:pPr>
        <w:spacing w:line="360" w:lineRule="auto"/>
        <w:jc w:val="center"/>
        <w:rPr>
          <w:rFonts w:hint="default" w:eastAsia="宋体"/>
          <w:b/>
          <w:bCs/>
          <w:color w:val="auto"/>
          <w:sz w:val="52"/>
          <w:szCs w:val="52"/>
          <w:highlight w:val="none"/>
          <w:lang w:val="en-US" w:eastAsia="zh-CN"/>
        </w:rPr>
      </w:pPr>
      <w:r>
        <w:rPr>
          <w:rFonts w:hint="eastAsia" w:hAnsi="宋体"/>
          <w:b/>
          <w:bCs/>
          <w:color w:val="auto"/>
          <w:sz w:val="44"/>
          <w:szCs w:val="44"/>
          <w:highlight w:val="none"/>
          <w:lang w:val="en-US" w:eastAsia="zh-CN"/>
        </w:rPr>
        <w:t>部分区域消防改造</w:t>
      </w:r>
    </w:p>
    <w:p>
      <w:pPr>
        <w:spacing w:line="360" w:lineRule="auto"/>
        <w:jc w:val="center"/>
        <w:rPr>
          <w:rFonts w:asciiTheme="minorEastAsia" w:hAnsiTheme="minorEastAsia" w:eastAsiaTheme="minorEastAsia"/>
          <w:b/>
          <w:bCs/>
          <w:color w:val="auto"/>
          <w:sz w:val="52"/>
          <w:szCs w:val="52"/>
          <w:highlight w:val="none"/>
        </w:rPr>
      </w:pPr>
    </w:p>
    <w:p>
      <w:pPr>
        <w:spacing w:line="360" w:lineRule="auto"/>
        <w:jc w:val="center"/>
        <w:rPr>
          <w:rFonts w:asciiTheme="minorEastAsia" w:hAnsiTheme="minorEastAsia" w:eastAsiaTheme="minorEastAsia"/>
          <w:b/>
          <w:bCs/>
          <w:color w:val="auto"/>
          <w:sz w:val="52"/>
          <w:szCs w:val="52"/>
          <w:highlight w:val="none"/>
        </w:rPr>
      </w:pPr>
    </w:p>
    <w:p>
      <w:pPr>
        <w:spacing w:line="360" w:lineRule="auto"/>
        <w:jc w:val="center"/>
        <w:rPr>
          <w:rFonts w:asciiTheme="minorEastAsia" w:hAnsiTheme="minorEastAsia" w:eastAsiaTheme="minorEastAsia"/>
          <w:b/>
          <w:bCs/>
          <w:color w:val="auto"/>
          <w:sz w:val="52"/>
          <w:szCs w:val="52"/>
          <w:highlight w:val="none"/>
        </w:rPr>
      </w:pPr>
    </w:p>
    <w:p>
      <w:pPr>
        <w:spacing w:line="360" w:lineRule="auto"/>
        <w:jc w:val="center"/>
        <w:rPr>
          <w:b/>
          <w:bCs/>
          <w:color w:val="auto"/>
          <w:sz w:val="52"/>
          <w:szCs w:val="52"/>
          <w:highlight w:val="none"/>
          <w:u w:val="single"/>
        </w:rPr>
      </w:pPr>
      <w:r>
        <w:rPr>
          <w:rFonts w:hAnsi="宋体"/>
          <w:b/>
          <w:bCs/>
          <w:color w:val="auto"/>
          <w:sz w:val="52"/>
          <w:szCs w:val="52"/>
          <w:highlight w:val="none"/>
        </w:rPr>
        <w:t>招标文件</w:t>
      </w:r>
    </w:p>
    <w:p>
      <w:pPr>
        <w:spacing w:line="360" w:lineRule="auto"/>
        <w:jc w:val="center"/>
        <w:rPr>
          <w:color w:val="auto"/>
          <w:sz w:val="36"/>
          <w:szCs w:val="36"/>
          <w:highlight w:val="none"/>
        </w:rPr>
      </w:pPr>
      <w:r>
        <w:rPr>
          <w:rFonts w:hAnsi="宋体"/>
          <w:color w:val="auto"/>
          <w:sz w:val="36"/>
          <w:szCs w:val="36"/>
          <w:highlight w:val="none"/>
        </w:rPr>
        <w:t>（工程量清单计价）</w:t>
      </w:r>
    </w:p>
    <w:p>
      <w:pPr>
        <w:spacing w:line="360" w:lineRule="auto"/>
        <w:jc w:val="center"/>
        <w:rPr>
          <w:color w:val="auto"/>
          <w:sz w:val="25"/>
          <w:highlight w:val="none"/>
        </w:rPr>
      </w:pPr>
    </w:p>
    <w:p>
      <w:pPr>
        <w:pStyle w:val="56"/>
      </w:pPr>
    </w:p>
    <w:p>
      <w:pPr>
        <w:spacing w:line="360" w:lineRule="auto"/>
        <w:jc w:val="center"/>
        <w:rPr>
          <w:color w:val="auto"/>
          <w:sz w:val="25"/>
          <w:highlight w:val="none"/>
        </w:rPr>
      </w:pPr>
    </w:p>
    <w:p>
      <w:pPr>
        <w:spacing w:line="360" w:lineRule="auto"/>
        <w:jc w:val="center"/>
        <w:rPr>
          <w:color w:val="auto"/>
          <w:sz w:val="25"/>
          <w:highlight w:val="none"/>
        </w:rPr>
      </w:pPr>
    </w:p>
    <w:p>
      <w:pPr>
        <w:spacing w:line="360" w:lineRule="auto"/>
        <w:jc w:val="center"/>
        <w:rPr>
          <w:color w:val="auto"/>
          <w:sz w:val="25"/>
          <w:highlight w:val="none"/>
        </w:rPr>
      </w:pPr>
    </w:p>
    <w:p>
      <w:pPr>
        <w:spacing w:line="360" w:lineRule="auto"/>
        <w:jc w:val="center"/>
        <w:rPr>
          <w:color w:val="auto"/>
          <w:sz w:val="25"/>
          <w:highlight w:val="none"/>
        </w:rPr>
      </w:pPr>
    </w:p>
    <w:p>
      <w:pPr>
        <w:spacing w:line="360" w:lineRule="auto"/>
        <w:jc w:val="center"/>
        <w:rPr>
          <w:color w:val="auto"/>
          <w:sz w:val="25"/>
          <w:highlight w:val="none"/>
        </w:rPr>
      </w:pPr>
    </w:p>
    <w:p>
      <w:pPr>
        <w:spacing w:line="360" w:lineRule="auto"/>
        <w:ind w:firstLine="1946" w:firstLineChars="646"/>
        <w:rPr>
          <w:rFonts w:hAnsi="宋体"/>
          <w:b/>
          <w:bCs/>
          <w:color w:val="auto"/>
          <w:sz w:val="30"/>
          <w:szCs w:val="30"/>
          <w:highlight w:val="none"/>
        </w:rPr>
      </w:pPr>
    </w:p>
    <w:p>
      <w:pPr>
        <w:spacing w:line="360" w:lineRule="auto"/>
        <w:ind w:firstLine="1506" w:firstLineChars="500"/>
        <w:rPr>
          <w:rFonts w:hAnsi="宋体"/>
          <w:b/>
          <w:bCs/>
          <w:color w:val="auto"/>
          <w:sz w:val="30"/>
          <w:szCs w:val="30"/>
          <w:highlight w:val="none"/>
        </w:rPr>
      </w:pPr>
      <w:r>
        <w:rPr>
          <w:rFonts w:hAnsi="宋体"/>
          <w:b/>
          <w:bCs/>
          <w:color w:val="auto"/>
          <w:sz w:val="30"/>
          <w:szCs w:val="30"/>
          <w:highlight w:val="none"/>
        </w:rPr>
        <w:t>招</w:t>
      </w:r>
      <w:r>
        <w:rPr>
          <w:rFonts w:hint="eastAsia" w:hAnsi="宋体"/>
          <w:b/>
          <w:bCs/>
          <w:color w:val="auto"/>
          <w:sz w:val="30"/>
          <w:szCs w:val="30"/>
          <w:highlight w:val="none"/>
        </w:rPr>
        <w:t xml:space="preserve"> </w:t>
      </w:r>
      <w:r>
        <w:rPr>
          <w:rFonts w:hAnsi="宋体"/>
          <w:b/>
          <w:bCs/>
          <w:color w:val="auto"/>
          <w:sz w:val="30"/>
          <w:szCs w:val="30"/>
          <w:highlight w:val="none"/>
        </w:rPr>
        <w:t>标</w:t>
      </w:r>
      <w:r>
        <w:rPr>
          <w:rFonts w:hint="eastAsia" w:hAnsi="宋体"/>
          <w:b/>
          <w:bCs/>
          <w:color w:val="auto"/>
          <w:sz w:val="30"/>
          <w:szCs w:val="30"/>
          <w:highlight w:val="none"/>
        </w:rPr>
        <w:t xml:space="preserve"> </w:t>
      </w:r>
      <w:r>
        <w:rPr>
          <w:rFonts w:hAnsi="宋体"/>
          <w:b/>
          <w:bCs/>
          <w:color w:val="auto"/>
          <w:sz w:val="30"/>
          <w:szCs w:val="30"/>
          <w:highlight w:val="none"/>
        </w:rPr>
        <w:t>人：</w:t>
      </w:r>
      <w:r>
        <w:rPr>
          <w:rFonts w:hint="eastAsia" w:hAnsi="宋体"/>
          <w:b/>
          <w:bCs/>
          <w:color w:val="auto"/>
          <w:sz w:val="30"/>
          <w:szCs w:val="30"/>
          <w:highlight w:val="none"/>
          <w:lang w:eastAsia="zh-CN"/>
        </w:rPr>
        <w:t>南通市保安服务有限公司</w:t>
      </w:r>
      <w:r>
        <w:rPr>
          <w:rFonts w:hAnsi="宋体"/>
          <w:b/>
          <w:bCs/>
          <w:color w:val="auto"/>
          <w:sz w:val="30"/>
          <w:szCs w:val="30"/>
          <w:highlight w:val="none"/>
        </w:rPr>
        <w:t xml:space="preserve"> </w:t>
      </w:r>
    </w:p>
    <w:p>
      <w:pPr>
        <w:spacing w:line="360" w:lineRule="auto"/>
        <w:ind w:firstLine="1506" w:firstLineChars="500"/>
        <w:rPr>
          <w:rFonts w:hint="eastAsia" w:eastAsia="宋体"/>
          <w:b/>
          <w:bCs/>
          <w:color w:val="auto"/>
          <w:sz w:val="30"/>
          <w:szCs w:val="30"/>
          <w:highlight w:val="none"/>
          <w:lang w:eastAsia="zh-CN"/>
        </w:rPr>
      </w:pPr>
      <w:r>
        <w:rPr>
          <w:rFonts w:hAnsi="宋体"/>
          <w:b/>
          <w:bCs/>
          <w:color w:val="auto"/>
          <w:sz w:val="30"/>
          <w:szCs w:val="30"/>
          <w:highlight w:val="none"/>
        </w:rPr>
        <w:t>招标代理人：</w:t>
      </w:r>
      <w:r>
        <w:rPr>
          <w:rFonts w:hint="eastAsia" w:hAnsi="宋体"/>
          <w:b/>
          <w:bCs/>
          <w:color w:val="auto"/>
          <w:sz w:val="30"/>
          <w:szCs w:val="30"/>
          <w:highlight w:val="none"/>
          <w:lang w:eastAsia="zh-CN"/>
        </w:rPr>
        <w:t>中诚智信工程咨询集团股份有限公司</w:t>
      </w:r>
    </w:p>
    <w:p>
      <w:pPr>
        <w:pStyle w:val="31"/>
        <w:spacing w:before="156" w:beforeLines="50" w:line="360" w:lineRule="auto"/>
        <w:ind w:left="0" w:leftChars="0"/>
        <w:jc w:val="center"/>
        <w:rPr>
          <w:b/>
          <w:color w:val="auto"/>
          <w:sz w:val="30"/>
          <w:szCs w:val="30"/>
          <w:highlight w:val="none"/>
        </w:rPr>
      </w:pPr>
      <w:r>
        <w:rPr>
          <w:rFonts w:hAnsi="宋体"/>
          <w:b/>
          <w:color w:val="auto"/>
          <w:sz w:val="30"/>
          <w:szCs w:val="30"/>
          <w:highlight w:val="none"/>
        </w:rPr>
        <w:t>二</w:t>
      </w:r>
      <w:r>
        <w:rPr>
          <w:rFonts w:hint="eastAsia" w:hAnsi="宋体"/>
          <w:b/>
          <w:color w:val="auto"/>
          <w:sz w:val="30"/>
          <w:szCs w:val="30"/>
          <w:highlight w:val="none"/>
        </w:rPr>
        <w:t>〇</w:t>
      </w:r>
      <w:r>
        <w:rPr>
          <w:rFonts w:hAnsi="宋体"/>
          <w:b/>
          <w:color w:val="auto"/>
          <w:sz w:val="30"/>
          <w:szCs w:val="30"/>
          <w:highlight w:val="none"/>
        </w:rPr>
        <w:t>二</w:t>
      </w:r>
      <w:r>
        <w:rPr>
          <w:rFonts w:hint="eastAsia" w:hAnsi="宋体"/>
          <w:b/>
          <w:color w:val="auto"/>
          <w:sz w:val="30"/>
          <w:szCs w:val="30"/>
          <w:highlight w:val="none"/>
        </w:rPr>
        <w:t>三</w:t>
      </w:r>
      <w:r>
        <w:rPr>
          <w:rFonts w:hAnsi="宋体"/>
          <w:b/>
          <w:color w:val="auto"/>
          <w:sz w:val="30"/>
          <w:szCs w:val="30"/>
          <w:highlight w:val="none"/>
        </w:rPr>
        <w:t>年</w:t>
      </w:r>
      <w:r>
        <w:rPr>
          <w:rFonts w:hint="eastAsia" w:hAnsi="宋体"/>
          <w:b/>
          <w:color w:val="auto"/>
          <w:sz w:val="30"/>
          <w:szCs w:val="30"/>
          <w:highlight w:val="none"/>
          <w:lang w:val="en-US" w:eastAsia="zh-CN"/>
        </w:rPr>
        <w:t>九</w:t>
      </w:r>
      <w:r>
        <w:rPr>
          <w:rFonts w:hint="eastAsia" w:hAnsi="宋体"/>
          <w:b/>
          <w:color w:val="auto"/>
          <w:sz w:val="30"/>
          <w:szCs w:val="30"/>
          <w:highlight w:val="none"/>
        </w:rPr>
        <w:t>月</w:t>
      </w:r>
      <w:r>
        <w:rPr>
          <w:rFonts w:hint="eastAsia" w:hAnsi="宋体"/>
          <w:b/>
          <w:color w:val="auto"/>
          <w:sz w:val="30"/>
          <w:szCs w:val="30"/>
          <w:highlight w:val="none"/>
          <w:lang w:val="en-US" w:eastAsia="zh-CN"/>
        </w:rPr>
        <w:t>二十七</w:t>
      </w:r>
      <w:r>
        <w:rPr>
          <w:rFonts w:hint="eastAsia" w:hAnsi="宋体"/>
          <w:b/>
          <w:color w:val="auto"/>
          <w:sz w:val="30"/>
          <w:szCs w:val="30"/>
          <w:highlight w:val="none"/>
        </w:rPr>
        <w:t>日</w:t>
      </w:r>
    </w:p>
    <w:p>
      <w:pPr>
        <w:pStyle w:val="3"/>
        <w:jc w:val="center"/>
        <w:rPr>
          <w:rFonts w:hAnsi="宋体"/>
          <w:b w:val="0"/>
          <w:sz w:val="36"/>
        </w:rPr>
        <w:sectPr>
          <w:headerReference r:id="rId3" w:type="default"/>
          <w:pgSz w:w="11906" w:h="16838"/>
          <w:pgMar w:top="1440" w:right="1519" w:bottom="1440" w:left="1519" w:header="851" w:footer="992" w:gutter="0"/>
          <w:cols w:space="425" w:num="1"/>
          <w:docGrid w:type="lines" w:linePitch="312" w:charSpace="0"/>
        </w:sectPr>
      </w:pPr>
      <w:bookmarkStart w:id="1" w:name="_Toc380680177"/>
      <w:bookmarkStart w:id="2" w:name="_Toc380681229"/>
      <w:bookmarkStart w:id="3" w:name="_Toc465181333"/>
      <w:bookmarkStart w:id="4" w:name="_Toc380680817"/>
      <w:bookmarkStart w:id="5" w:name="_Toc380681010"/>
    </w:p>
    <w:p>
      <w:pPr>
        <w:pStyle w:val="3"/>
        <w:jc w:val="center"/>
        <w:rPr>
          <w:b w:val="0"/>
          <w:sz w:val="36"/>
        </w:rPr>
      </w:pPr>
      <w:r>
        <w:rPr>
          <w:rFonts w:hAnsi="宋体"/>
          <w:b w:val="0"/>
          <w:sz w:val="36"/>
        </w:rPr>
        <w:t>工程招标文件备案表</w:t>
      </w:r>
      <w:bookmarkEnd w:id="1"/>
      <w:bookmarkEnd w:id="2"/>
      <w:bookmarkEnd w:id="3"/>
      <w:bookmarkEnd w:id="4"/>
      <w:bookmarkEnd w:id="5"/>
    </w:p>
    <w:tbl>
      <w:tblPr>
        <w:tblStyle w:val="57"/>
        <w:tblW w:w="0" w:type="auto"/>
        <w:tblInd w:w="392"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89"/>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116" w:hRule="atLeast"/>
        </w:trPr>
        <w:tc>
          <w:tcPr>
            <w:tcW w:w="8589" w:type="dxa"/>
            <w:tcBorders>
              <w:top w:val="single" w:color="auto" w:sz="4" w:space="0"/>
              <w:left w:val="single" w:color="auto" w:sz="4" w:space="0"/>
              <w:bottom w:val="single" w:color="auto" w:sz="4" w:space="0"/>
              <w:right w:val="single" w:color="auto" w:sz="4" w:space="0"/>
            </w:tcBorders>
            <w:noWrap w:val="0"/>
            <w:vAlign w:val="top"/>
          </w:tcPr>
          <w:p>
            <w:pPr>
              <w:spacing w:line="360" w:lineRule="auto"/>
              <w:rPr>
                <w:sz w:val="25"/>
              </w:rPr>
            </w:pPr>
          </w:p>
          <w:p>
            <w:pPr>
              <w:spacing w:line="360" w:lineRule="auto"/>
              <w:jc w:val="center"/>
              <w:rPr>
                <w:rFonts w:hint="eastAsia"/>
                <w:sz w:val="28"/>
                <w:szCs w:val="28"/>
              </w:rPr>
            </w:pPr>
            <w:r>
              <w:rPr>
                <w:rFonts w:hAnsi="宋体"/>
                <w:sz w:val="28"/>
                <w:szCs w:val="28"/>
              </w:rPr>
              <w:t>编制人：</w:t>
            </w:r>
            <w:r>
              <w:rPr>
                <w:rFonts w:hint="eastAsia" w:hAnsi="宋体"/>
                <w:sz w:val="28"/>
                <w:szCs w:val="28"/>
              </w:rPr>
              <w:t xml:space="preserve"> </w:t>
            </w:r>
          </w:p>
          <w:p>
            <w:pPr>
              <w:spacing w:line="360" w:lineRule="auto"/>
              <w:ind w:firstLine="840"/>
              <w:rPr>
                <w:rFonts w:hAnsi="宋体"/>
                <w:sz w:val="28"/>
                <w:szCs w:val="28"/>
              </w:rPr>
            </w:pPr>
            <w:r>
              <w:rPr>
                <w:rFonts w:hAnsi="宋体"/>
                <w:sz w:val="28"/>
                <w:szCs w:val="28"/>
              </w:rPr>
              <w:t>　</w:t>
            </w:r>
          </w:p>
          <w:p>
            <w:pPr>
              <w:spacing w:line="360" w:lineRule="auto"/>
              <w:ind w:firstLine="840"/>
              <w:rPr>
                <w:sz w:val="28"/>
                <w:szCs w:val="28"/>
              </w:rPr>
            </w:pPr>
          </w:p>
          <w:p>
            <w:pPr>
              <w:spacing w:line="360" w:lineRule="auto"/>
              <w:ind w:firstLine="4440" w:firstLineChars="1586"/>
              <w:rPr>
                <w:sz w:val="25"/>
              </w:rPr>
            </w:pPr>
            <w:r>
              <w:rPr>
                <w:rFonts w:hAnsi="宋体"/>
                <w:sz w:val="28"/>
                <w:szCs w:val="28"/>
              </w:rPr>
              <w:t>日</w:t>
            </w:r>
            <w:r>
              <w:rPr>
                <w:rFonts w:hint="eastAsia" w:hAnsi="宋体"/>
                <w:sz w:val="28"/>
                <w:szCs w:val="28"/>
                <w:lang w:val="en-US" w:eastAsia="zh-CN"/>
              </w:rPr>
              <w:t xml:space="preserve">  </w:t>
            </w:r>
            <w:r>
              <w:rPr>
                <w:rFonts w:hAnsi="宋体"/>
                <w:sz w:val="28"/>
                <w:szCs w:val="28"/>
              </w:rPr>
              <w:t>期：</w:t>
            </w:r>
            <w:r>
              <w:rPr>
                <w:sz w:val="28"/>
                <w:szCs w:val="28"/>
              </w:rPr>
              <w:t>202</w:t>
            </w:r>
            <w:r>
              <w:rPr>
                <w:rFonts w:hint="eastAsia"/>
                <w:sz w:val="28"/>
                <w:szCs w:val="28"/>
              </w:rPr>
              <w:t>3</w:t>
            </w:r>
            <w:r>
              <w:rPr>
                <w:sz w:val="28"/>
                <w:szCs w:val="28"/>
              </w:rPr>
              <w:t>年</w:t>
            </w:r>
            <w:r>
              <w:rPr>
                <w:rFonts w:hint="eastAsia"/>
                <w:sz w:val="28"/>
                <w:szCs w:val="28"/>
              </w:rPr>
              <w:t xml:space="preserve">  </w:t>
            </w:r>
            <w:r>
              <w:rPr>
                <w:sz w:val="28"/>
                <w:szCs w:val="28"/>
              </w:rPr>
              <w:t>月</w:t>
            </w:r>
            <w:r>
              <w:rPr>
                <w:rFonts w:hint="eastAsia"/>
                <w:sz w:val="28"/>
                <w:szCs w:val="28"/>
              </w:rPr>
              <w:t xml:space="preserve">  </w:t>
            </w:r>
            <w:r>
              <w:rPr>
                <w:sz w:val="28"/>
                <w:szCs w:val="28"/>
              </w:rPr>
              <w:t>日</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41" w:hRule="atLeast"/>
        </w:trPr>
        <w:tc>
          <w:tcPr>
            <w:tcW w:w="8589" w:type="dxa"/>
            <w:tcBorders>
              <w:top w:val="single" w:color="auto" w:sz="4" w:space="0"/>
              <w:left w:val="single" w:color="auto" w:sz="4" w:space="0"/>
              <w:bottom w:val="single" w:color="auto" w:sz="4" w:space="0"/>
              <w:right w:val="single" w:color="auto" w:sz="4" w:space="0"/>
            </w:tcBorders>
            <w:noWrap w:val="0"/>
            <w:vAlign w:val="top"/>
          </w:tcPr>
          <w:p>
            <w:pPr>
              <w:spacing w:line="360" w:lineRule="auto"/>
              <w:rPr>
                <w:sz w:val="28"/>
                <w:szCs w:val="28"/>
              </w:rPr>
            </w:pPr>
          </w:p>
          <w:p>
            <w:pPr>
              <w:spacing w:line="360" w:lineRule="auto"/>
              <w:rPr>
                <w:sz w:val="28"/>
                <w:szCs w:val="28"/>
              </w:rPr>
            </w:pPr>
          </w:p>
          <w:p>
            <w:pPr>
              <w:spacing w:line="360" w:lineRule="auto"/>
              <w:rPr>
                <w:sz w:val="28"/>
                <w:szCs w:val="28"/>
              </w:rPr>
            </w:pPr>
            <w:r>
              <w:rPr>
                <w:rFonts w:hAnsi="宋体"/>
                <w:sz w:val="28"/>
                <w:szCs w:val="28"/>
              </w:rPr>
              <w:t>招标人</w:t>
            </w:r>
            <w:r>
              <w:rPr>
                <w:sz w:val="28"/>
                <w:szCs w:val="28"/>
              </w:rPr>
              <w:t>(</w:t>
            </w:r>
            <w:r>
              <w:rPr>
                <w:rFonts w:hAnsi="宋体"/>
                <w:sz w:val="28"/>
                <w:szCs w:val="28"/>
              </w:rPr>
              <w:t>盖章</w:t>
            </w:r>
            <w:r>
              <w:rPr>
                <w:sz w:val="28"/>
                <w:szCs w:val="28"/>
              </w:rPr>
              <w:t xml:space="preserve">)             </w:t>
            </w:r>
            <w:r>
              <w:rPr>
                <w:rFonts w:hAnsi="宋体"/>
                <w:sz w:val="28"/>
                <w:szCs w:val="28"/>
              </w:rPr>
              <w:t>　法定代表人</w:t>
            </w:r>
            <w:r>
              <w:rPr>
                <w:sz w:val="28"/>
                <w:szCs w:val="28"/>
              </w:rPr>
              <w:t>(</w:t>
            </w:r>
            <w:r>
              <w:rPr>
                <w:rFonts w:hAnsi="宋体"/>
                <w:sz w:val="28"/>
                <w:szCs w:val="28"/>
              </w:rPr>
              <w:t>签字或盖章</w:t>
            </w:r>
            <w:r>
              <w:rPr>
                <w:sz w:val="28"/>
                <w:szCs w:val="28"/>
              </w:rPr>
              <w:t>)</w:t>
            </w:r>
          </w:p>
          <w:p>
            <w:pPr>
              <w:spacing w:line="360" w:lineRule="auto"/>
              <w:ind w:firstLine="840" w:firstLineChars="300"/>
              <w:rPr>
                <w:sz w:val="28"/>
                <w:szCs w:val="28"/>
              </w:rPr>
            </w:pPr>
          </w:p>
          <w:p>
            <w:pPr>
              <w:spacing w:line="360" w:lineRule="auto"/>
              <w:ind w:firstLine="840" w:firstLineChars="300"/>
              <w:rPr>
                <w:sz w:val="28"/>
                <w:szCs w:val="28"/>
              </w:rPr>
            </w:pPr>
          </w:p>
          <w:p>
            <w:pPr>
              <w:spacing w:line="360" w:lineRule="auto"/>
              <w:ind w:right="840" w:firstLine="560"/>
              <w:jc w:val="right"/>
              <w:rPr>
                <w:sz w:val="28"/>
                <w:szCs w:val="28"/>
              </w:rPr>
            </w:pPr>
            <w:r>
              <w:rPr>
                <w:rFonts w:hAnsi="宋体"/>
                <w:sz w:val="28"/>
                <w:szCs w:val="28"/>
              </w:rPr>
              <w:t>日</w:t>
            </w:r>
            <w:r>
              <w:rPr>
                <w:rFonts w:hint="eastAsia" w:hAnsi="宋体"/>
                <w:sz w:val="28"/>
                <w:szCs w:val="28"/>
                <w:lang w:val="en-US" w:eastAsia="zh-CN"/>
              </w:rPr>
              <w:t xml:space="preserve">  </w:t>
            </w:r>
            <w:r>
              <w:rPr>
                <w:rFonts w:hAnsi="宋体"/>
                <w:sz w:val="28"/>
                <w:szCs w:val="28"/>
              </w:rPr>
              <w:t>期：</w:t>
            </w:r>
            <w:r>
              <w:rPr>
                <w:sz w:val="28"/>
                <w:szCs w:val="28"/>
              </w:rPr>
              <w:t>202</w:t>
            </w:r>
            <w:r>
              <w:rPr>
                <w:rFonts w:hint="eastAsia"/>
                <w:sz w:val="28"/>
                <w:szCs w:val="28"/>
              </w:rPr>
              <w:t>3</w:t>
            </w:r>
            <w:r>
              <w:rPr>
                <w:sz w:val="28"/>
                <w:szCs w:val="28"/>
              </w:rPr>
              <w:t>年</w:t>
            </w:r>
            <w:r>
              <w:rPr>
                <w:rFonts w:hint="eastAsia"/>
                <w:sz w:val="28"/>
                <w:szCs w:val="28"/>
              </w:rPr>
              <w:t xml:space="preserve">  </w:t>
            </w:r>
            <w:r>
              <w:rPr>
                <w:sz w:val="28"/>
                <w:szCs w:val="28"/>
              </w:rPr>
              <w:t>月</w:t>
            </w:r>
            <w:r>
              <w:rPr>
                <w:rFonts w:hint="eastAsia"/>
                <w:sz w:val="28"/>
                <w:szCs w:val="28"/>
              </w:rPr>
              <w:t xml:space="preserve">  </w:t>
            </w:r>
            <w:r>
              <w:rPr>
                <w:sz w:val="28"/>
                <w:szCs w:val="28"/>
              </w:rPr>
              <w:t>日</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577" w:hRule="atLeast"/>
        </w:trPr>
        <w:tc>
          <w:tcPr>
            <w:tcW w:w="8589" w:type="dxa"/>
            <w:tcBorders>
              <w:top w:val="single" w:color="auto" w:sz="4" w:space="0"/>
              <w:left w:val="single" w:color="auto" w:sz="4" w:space="0"/>
              <w:bottom w:val="single" w:color="auto" w:sz="4" w:space="0"/>
              <w:right w:val="single" w:color="auto" w:sz="4" w:space="0"/>
            </w:tcBorders>
            <w:noWrap w:val="0"/>
            <w:vAlign w:val="top"/>
          </w:tcPr>
          <w:p>
            <w:pPr>
              <w:spacing w:line="360" w:lineRule="auto"/>
              <w:rPr>
                <w:sz w:val="28"/>
                <w:szCs w:val="28"/>
              </w:rPr>
            </w:pPr>
          </w:p>
          <w:p>
            <w:pPr>
              <w:spacing w:line="360" w:lineRule="auto"/>
              <w:rPr>
                <w:sz w:val="28"/>
                <w:szCs w:val="28"/>
              </w:rPr>
            </w:pPr>
          </w:p>
          <w:p>
            <w:pPr>
              <w:spacing w:line="360" w:lineRule="auto"/>
              <w:rPr>
                <w:sz w:val="28"/>
                <w:szCs w:val="28"/>
              </w:rPr>
            </w:pPr>
            <w:r>
              <w:rPr>
                <w:rFonts w:hAnsi="宋体"/>
                <w:sz w:val="28"/>
                <w:szCs w:val="28"/>
              </w:rPr>
              <w:t>招标代理机构</w:t>
            </w:r>
            <w:r>
              <w:rPr>
                <w:sz w:val="28"/>
                <w:szCs w:val="28"/>
              </w:rPr>
              <w:t>(</w:t>
            </w:r>
            <w:r>
              <w:rPr>
                <w:rFonts w:hAnsi="宋体"/>
                <w:sz w:val="28"/>
                <w:szCs w:val="28"/>
              </w:rPr>
              <w:t>盖章</w:t>
            </w:r>
            <w:r>
              <w:rPr>
                <w:sz w:val="28"/>
                <w:szCs w:val="28"/>
              </w:rPr>
              <w:t xml:space="preserve">)         </w:t>
            </w:r>
            <w:r>
              <w:rPr>
                <w:rFonts w:hAnsi="宋体"/>
                <w:sz w:val="28"/>
                <w:szCs w:val="28"/>
              </w:rPr>
              <w:t>法定代表人</w:t>
            </w:r>
            <w:r>
              <w:rPr>
                <w:sz w:val="28"/>
                <w:szCs w:val="28"/>
              </w:rPr>
              <w:t>(</w:t>
            </w:r>
            <w:r>
              <w:rPr>
                <w:rFonts w:hAnsi="宋体"/>
                <w:sz w:val="28"/>
                <w:szCs w:val="28"/>
              </w:rPr>
              <w:t>签字或盖章</w:t>
            </w:r>
            <w:r>
              <w:rPr>
                <w:sz w:val="28"/>
                <w:szCs w:val="28"/>
              </w:rPr>
              <w:t>)</w:t>
            </w:r>
          </w:p>
          <w:p>
            <w:pPr>
              <w:spacing w:line="360" w:lineRule="auto"/>
              <w:jc w:val="center"/>
              <w:rPr>
                <w:rFonts w:hAnsi="宋体"/>
                <w:sz w:val="28"/>
                <w:szCs w:val="28"/>
              </w:rPr>
            </w:pPr>
          </w:p>
          <w:p>
            <w:pPr>
              <w:spacing w:line="360" w:lineRule="auto"/>
              <w:jc w:val="center"/>
              <w:rPr>
                <w:sz w:val="28"/>
                <w:szCs w:val="28"/>
              </w:rPr>
            </w:pPr>
            <w:r>
              <w:rPr>
                <w:rFonts w:hint="eastAsia" w:hAnsi="宋体"/>
                <w:sz w:val="28"/>
                <w:szCs w:val="28"/>
                <w:lang w:val="en-US" w:eastAsia="zh-CN"/>
              </w:rPr>
              <w:t xml:space="preserve">                            </w:t>
            </w:r>
          </w:p>
          <w:p>
            <w:pPr>
              <w:pStyle w:val="56"/>
            </w:pPr>
          </w:p>
          <w:p>
            <w:pPr>
              <w:spacing w:line="360" w:lineRule="auto"/>
              <w:jc w:val="center"/>
              <w:rPr>
                <w:sz w:val="28"/>
                <w:szCs w:val="28"/>
              </w:rPr>
            </w:pPr>
            <w:r>
              <w:rPr>
                <w:rFonts w:hint="eastAsia" w:hAnsi="宋体"/>
                <w:sz w:val="28"/>
                <w:szCs w:val="28"/>
                <w:lang w:val="en-US" w:eastAsia="zh-CN"/>
              </w:rPr>
              <w:t xml:space="preserve">                           </w:t>
            </w:r>
            <w:r>
              <w:rPr>
                <w:rFonts w:hAnsi="宋体"/>
                <w:sz w:val="28"/>
                <w:szCs w:val="28"/>
              </w:rPr>
              <w:t>日</w:t>
            </w:r>
            <w:r>
              <w:rPr>
                <w:rFonts w:hint="eastAsia" w:hAnsi="宋体"/>
                <w:sz w:val="28"/>
                <w:szCs w:val="28"/>
                <w:lang w:val="en-US" w:eastAsia="zh-CN"/>
              </w:rPr>
              <w:t xml:space="preserve">  </w:t>
            </w:r>
            <w:r>
              <w:rPr>
                <w:rFonts w:hAnsi="宋体"/>
                <w:sz w:val="28"/>
                <w:szCs w:val="28"/>
              </w:rPr>
              <w:t>期：</w:t>
            </w:r>
            <w:r>
              <w:rPr>
                <w:sz w:val="28"/>
                <w:szCs w:val="28"/>
              </w:rPr>
              <w:t>202</w:t>
            </w:r>
            <w:r>
              <w:rPr>
                <w:rFonts w:hint="eastAsia"/>
                <w:sz w:val="28"/>
                <w:szCs w:val="28"/>
              </w:rPr>
              <w:t>3</w:t>
            </w:r>
            <w:r>
              <w:rPr>
                <w:sz w:val="28"/>
                <w:szCs w:val="28"/>
              </w:rPr>
              <w:t>年</w:t>
            </w:r>
            <w:r>
              <w:rPr>
                <w:rFonts w:hint="eastAsia"/>
                <w:sz w:val="28"/>
                <w:szCs w:val="28"/>
              </w:rPr>
              <w:t xml:space="preserve">  </w:t>
            </w:r>
            <w:r>
              <w:rPr>
                <w:sz w:val="28"/>
                <w:szCs w:val="28"/>
              </w:rPr>
              <w:t>月</w:t>
            </w:r>
            <w:r>
              <w:rPr>
                <w:rFonts w:hint="eastAsia"/>
                <w:sz w:val="28"/>
                <w:szCs w:val="28"/>
              </w:rPr>
              <w:t xml:space="preserve">  </w:t>
            </w:r>
            <w:r>
              <w:rPr>
                <w:sz w:val="28"/>
                <w:szCs w:val="28"/>
              </w:rPr>
              <w:t>日</w:t>
            </w:r>
          </w:p>
        </w:tc>
      </w:tr>
    </w:tbl>
    <w:p>
      <w:pPr>
        <w:pStyle w:val="3"/>
        <w:spacing w:line="240" w:lineRule="auto"/>
        <w:ind w:firstLine="1428" w:firstLineChars="395"/>
        <w:rPr>
          <w:rFonts w:hAnsi="宋体"/>
          <w:color w:val="auto"/>
          <w:sz w:val="36"/>
          <w:highlight w:val="none"/>
        </w:rPr>
        <w:sectPr>
          <w:footerReference r:id="rId4" w:type="default"/>
          <w:pgSz w:w="11906" w:h="16838"/>
          <w:pgMar w:top="1440" w:right="1519" w:bottom="1440" w:left="1519" w:header="851" w:footer="992" w:gutter="0"/>
          <w:pgNumType w:start="1"/>
          <w:cols w:space="425" w:num="1"/>
          <w:docGrid w:type="lines" w:linePitch="312" w:charSpace="0"/>
        </w:sectPr>
      </w:pPr>
      <w:bookmarkStart w:id="6" w:name="_Toc380680818"/>
      <w:bookmarkStart w:id="7" w:name="_Toc465181334"/>
      <w:bookmarkStart w:id="8" w:name="_Toc380680178"/>
      <w:bookmarkStart w:id="9" w:name="_Toc380681230"/>
      <w:bookmarkStart w:id="10" w:name="_Toc380681011"/>
    </w:p>
    <w:p>
      <w:pPr>
        <w:pStyle w:val="3"/>
        <w:spacing w:line="240" w:lineRule="auto"/>
        <w:ind w:firstLine="1428" w:firstLineChars="395"/>
        <w:rPr>
          <w:color w:val="auto"/>
          <w:sz w:val="36"/>
          <w:highlight w:val="none"/>
        </w:rPr>
      </w:pPr>
      <w:r>
        <w:rPr>
          <w:rFonts w:hAnsi="宋体"/>
          <w:color w:val="auto"/>
          <w:sz w:val="36"/>
          <w:highlight w:val="none"/>
        </w:rPr>
        <w:t>第一章投标人须知及投标人须知前附表</w:t>
      </w:r>
      <w:bookmarkEnd w:id="6"/>
      <w:bookmarkEnd w:id="7"/>
      <w:bookmarkEnd w:id="8"/>
      <w:bookmarkEnd w:id="9"/>
      <w:bookmarkEnd w:id="10"/>
    </w:p>
    <w:p>
      <w:pPr>
        <w:pStyle w:val="4"/>
        <w:spacing w:line="240" w:lineRule="auto"/>
        <w:jc w:val="center"/>
        <w:rPr>
          <w:rFonts w:ascii="Times New Roman" w:hAnsi="Times New Roman" w:eastAsia="宋体"/>
          <w:color w:val="auto"/>
          <w:sz w:val="25"/>
          <w:highlight w:val="none"/>
        </w:rPr>
      </w:pPr>
      <w:bookmarkStart w:id="11" w:name="_Toc380681231"/>
      <w:bookmarkStart w:id="12" w:name="_Toc380680819"/>
      <w:bookmarkStart w:id="13" w:name="_Toc380680179"/>
      <w:bookmarkStart w:id="14" w:name="_Toc380681012"/>
      <w:r>
        <w:rPr>
          <w:rFonts w:ascii="Times New Roman" w:hAnsi="宋体" w:eastAsia="宋体"/>
          <w:color w:val="auto"/>
          <w:sz w:val="30"/>
          <w:highlight w:val="none"/>
        </w:rPr>
        <w:t>一、投标人须知前附表</w:t>
      </w:r>
      <w:bookmarkEnd w:id="11"/>
      <w:bookmarkEnd w:id="12"/>
      <w:bookmarkEnd w:id="13"/>
      <w:bookmarkEnd w:id="14"/>
    </w:p>
    <w:tbl>
      <w:tblPr>
        <w:tblStyle w:val="57"/>
        <w:tblW w:w="94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4"/>
        <w:gridCol w:w="992"/>
        <w:gridCol w:w="1843"/>
        <w:gridCol w:w="5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814" w:type="dxa"/>
            <w:vAlign w:val="center"/>
          </w:tcPr>
          <w:p>
            <w:pPr>
              <w:ind w:left="23" w:hanging="23" w:hangingChars="11"/>
              <w:jc w:val="center"/>
              <w:rPr>
                <w:rFonts w:ascii="宋体" w:hAnsi="宋体"/>
                <w:b/>
                <w:color w:val="auto"/>
                <w:szCs w:val="21"/>
                <w:highlight w:val="none"/>
              </w:rPr>
            </w:pPr>
            <w:r>
              <w:rPr>
                <w:rFonts w:ascii="宋体" w:hAnsi="宋体"/>
                <w:b/>
                <w:color w:val="auto"/>
                <w:szCs w:val="21"/>
                <w:highlight w:val="none"/>
              </w:rPr>
              <w:t>项号</w:t>
            </w:r>
          </w:p>
        </w:tc>
        <w:tc>
          <w:tcPr>
            <w:tcW w:w="992" w:type="dxa"/>
            <w:vAlign w:val="center"/>
          </w:tcPr>
          <w:p>
            <w:pPr>
              <w:jc w:val="center"/>
              <w:rPr>
                <w:rFonts w:ascii="宋体" w:hAnsi="宋体"/>
                <w:b/>
                <w:color w:val="auto"/>
                <w:szCs w:val="21"/>
                <w:highlight w:val="none"/>
              </w:rPr>
            </w:pPr>
            <w:r>
              <w:rPr>
                <w:rFonts w:ascii="宋体" w:hAnsi="宋体"/>
                <w:b/>
                <w:color w:val="auto"/>
                <w:szCs w:val="21"/>
                <w:highlight w:val="none"/>
              </w:rPr>
              <w:t>条款号</w:t>
            </w:r>
          </w:p>
        </w:tc>
        <w:tc>
          <w:tcPr>
            <w:tcW w:w="1843" w:type="dxa"/>
            <w:vAlign w:val="center"/>
          </w:tcPr>
          <w:p>
            <w:pPr>
              <w:jc w:val="center"/>
              <w:rPr>
                <w:rFonts w:ascii="宋体" w:hAnsi="宋体"/>
                <w:b/>
                <w:color w:val="auto"/>
                <w:szCs w:val="21"/>
                <w:highlight w:val="none"/>
              </w:rPr>
            </w:pPr>
            <w:r>
              <w:rPr>
                <w:rFonts w:ascii="宋体" w:hAnsi="宋体"/>
                <w:b/>
                <w:color w:val="auto"/>
                <w:szCs w:val="21"/>
                <w:highlight w:val="none"/>
              </w:rPr>
              <w:t>内容</w:t>
            </w:r>
          </w:p>
        </w:tc>
        <w:tc>
          <w:tcPr>
            <w:tcW w:w="5812" w:type="dxa"/>
            <w:vAlign w:val="center"/>
          </w:tcPr>
          <w:p>
            <w:pPr>
              <w:jc w:val="center"/>
              <w:rPr>
                <w:rFonts w:ascii="宋体" w:hAnsi="宋体"/>
                <w:b/>
                <w:color w:val="auto"/>
                <w:szCs w:val="21"/>
                <w:highlight w:val="none"/>
              </w:rPr>
            </w:pPr>
            <w:r>
              <w:rPr>
                <w:rFonts w:ascii="宋体" w:hAnsi="宋体"/>
                <w:b/>
                <w:color w:val="auto"/>
                <w:szCs w:val="21"/>
                <w:highlight w:val="none"/>
              </w:rPr>
              <w:t>说明与要求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1</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1.1</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工程名称</w:t>
            </w:r>
          </w:p>
        </w:tc>
        <w:tc>
          <w:tcPr>
            <w:tcW w:w="5812" w:type="dxa"/>
            <w:vAlign w:val="center"/>
          </w:tcPr>
          <w:p>
            <w:pPr>
              <w:rPr>
                <w:rFonts w:hint="default" w:ascii="宋体" w:hAnsi="宋体" w:eastAsia="宋体"/>
                <w:color w:val="auto"/>
                <w:szCs w:val="21"/>
                <w:highlight w:val="none"/>
                <w:lang w:val="en-US" w:eastAsia="zh-CN"/>
              </w:rPr>
            </w:pPr>
            <w:r>
              <w:rPr>
                <w:rFonts w:hint="eastAsia" w:ascii="宋体" w:hAnsi="宋体"/>
                <w:color w:val="auto"/>
                <w:szCs w:val="21"/>
                <w:highlight w:val="none"/>
                <w:lang w:eastAsia="zh-CN"/>
              </w:rPr>
              <w:t>南通市保安服务有限公司</w:t>
            </w:r>
            <w:r>
              <w:rPr>
                <w:rFonts w:hint="eastAsia" w:ascii="宋体" w:hAnsi="宋体"/>
                <w:color w:val="auto"/>
                <w:szCs w:val="21"/>
                <w:highlight w:val="none"/>
                <w:lang w:val="en-US" w:eastAsia="zh-CN"/>
              </w:rPr>
              <w:t>2号楼、3号楼部分区域消防改造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2</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1.1</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建设地点</w:t>
            </w:r>
          </w:p>
        </w:tc>
        <w:tc>
          <w:tcPr>
            <w:tcW w:w="5812" w:type="dxa"/>
            <w:vAlign w:val="center"/>
          </w:tcPr>
          <w:p>
            <w:pPr>
              <w:rPr>
                <w:rFonts w:ascii="宋体" w:hAnsi="宋体"/>
                <w:color w:val="auto"/>
                <w:szCs w:val="21"/>
                <w:highlight w:val="none"/>
              </w:rPr>
            </w:pPr>
            <w:r>
              <w:rPr>
                <w:rFonts w:hint="eastAsia" w:ascii="宋体" w:hAnsi="宋体"/>
                <w:color w:val="auto"/>
                <w:szCs w:val="21"/>
                <w:highlight w:val="none"/>
                <w:lang w:eastAsia="zh-CN"/>
              </w:rPr>
              <w:t>南通市保安服务有限公司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3</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1.1</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建设规模</w:t>
            </w:r>
          </w:p>
        </w:tc>
        <w:tc>
          <w:tcPr>
            <w:tcW w:w="5812" w:type="dxa"/>
            <w:vAlign w:val="center"/>
          </w:tcPr>
          <w:p>
            <w:pPr>
              <w:rPr>
                <w:rFonts w:ascii="宋体" w:hAnsi="宋体"/>
                <w:color w:val="auto"/>
                <w:szCs w:val="21"/>
                <w:highlight w:val="none"/>
              </w:rPr>
            </w:pPr>
            <w:r>
              <w:rPr>
                <w:rFonts w:ascii="宋体" w:hAnsi="宋体"/>
                <w:color w:val="auto"/>
                <w:szCs w:val="21"/>
                <w:highlight w:val="none"/>
              </w:rPr>
              <w:t>约</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46</w:t>
            </w:r>
            <w:r>
              <w:rPr>
                <w:rFonts w:hint="eastAsia" w:ascii="宋体" w:hAnsi="宋体"/>
                <w:color w:val="auto"/>
                <w:szCs w:val="21"/>
                <w:highlight w:val="none"/>
                <w:u w:val="single"/>
              </w:rPr>
              <w:t xml:space="preserve"> </w:t>
            </w:r>
            <w:r>
              <w:rPr>
                <w:rFonts w:ascii="宋体" w:hAnsi="宋体"/>
                <w:color w:val="auto"/>
                <w:szCs w:val="21"/>
                <w:highlight w:val="none"/>
              </w:rPr>
              <w:t>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4</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1.1</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承包方式</w:t>
            </w:r>
          </w:p>
        </w:tc>
        <w:tc>
          <w:tcPr>
            <w:tcW w:w="5812" w:type="dxa"/>
            <w:vAlign w:val="center"/>
          </w:tcPr>
          <w:p>
            <w:pPr>
              <w:rPr>
                <w:rFonts w:ascii="宋体" w:hAnsi="宋体"/>
                <w:color w:val="auto"/>
                <w:szCs w:val="21"/>
                <w:highlight w:val="none"/>
              </w:rPr>
            </w:pPr>
            <w:r>
              <w:rPr>
                <w:rFonts w:ascii="宋体" w:hAnsi="宋体"/>
                <w:color w:val="auto"/>
                <w:szCs w:val="21"/>
                <w:highlight w:val="none"/>
              </w:rPr>
              <w:t>包工包料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5</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1.1</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质量标准</w:t>
            </w:r>
          </w:p>
        </w:tc>
        <w:tc>
          <w:tcPr>
            <w:tcW w:w="5812" w:type="dxa"/>
            <w:vAlign w:val="center"/>
          </w:tcPr>
          <w:p>
            <w:pPr>
              <w:spacing w:line="440" w:lineRule="exact"/>
              <w:jc w:val="left"/>
              <w:rPr>
                <w:rFonts w:ascii="宋体" w:hAnsi="宋体"/>
                <w:color w:val="auto"/>
                <w:szCs w:val="21"/>
                <w:highlight w:val="none"/>
              </w:rPr>
            </w:pPr>
            <w:r>
              <w:rPr>
                <w:rFonts w:hint="eastAsia" w:ascii="宋体" w:hAnsi="宋体" w:cs="宋体"/>
                <w:color w:val="auto"/>
                <w:szCs w:val="21"/>
                <w:highlight w:val="none"/>
              </w:rPr>
              <w:t>合格。经具备相应资质的消防检测机构检测合格，出具</w:t>
            </w:r>
            <w:r>
              <w:rPr>
                <w:rFonts w:hint="eastAsia" w:ascii="宋体" w:hAnsi="宋体" w:cs="宋体"/>
                <w:color w:val="auto"/>
                <w:szCs w:val="21"/>
                <w:highlight w:val="none"/>
                <w:lang w:val="en-US" w:eastAsia="zh-CN"/>
              </w:rPr>
              <w:t>合格的</w:t>
            </w:r>
            <w:r>
              <w:rPr>
                <w:rFonts w:hint="eastAsia" w:ascii="宋体" w:hAnsi="宋体" w:cs="宋体"/>
                <w:color w:val="auto"/>
                <w:szCs w:val="21"/>
                <w:highlight w:val="none"/>
              </w:rPr>
              <w:t>检测报告，必须满足原消防要求。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6</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1.1</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工期要求</w:t>
            </w:r>
          </w:p>
        </w:tc>
        <w:tc>
          <w:tcPr>
            <w:tcW w:w="5812" w:type="dxa"/>
            <w:vAlign w:val="center"/>
          </w:tcPr>
          <w:p>
            <w:pPr>
              <w:spacing w:line="440" w:lineRule="exact"/>
              <w:rPr>
                <w:rFonts w:ascii="宋体" w:hAnsi="宋体"/>
                <w:color w:val="auto"/>
                <w:szCs w:val="21"/>
                <w:highlight w:val="none"/>
              </w:rPr>
            </w:pPr>
            <w:r>
              <w:rPr>
                <w:rFonts w:ascii="宋体" w:hAnsi="宋体"/>
                <w:color w:val="auto"/>
                <w:szCs w:val="21"/>
                <w:highlight w:val="none"/>
              </w:rPr>
              <w:t>施工总工期</w:t>
            </w:r>
            <w:r>
              <w:rPr>
                <w:rFonts w:hint="eastAsia" w:ascii="宋体" w:hAnsi="宋体"/>
                <w:color w:val="auto"/>
                <w:szCs w:val="21"/>
                <w:highlight w:val="none"/>
                <w:lang w:val="en-US" w:eastAsia="zh-CN"/>
              </w:rPr>
              <w:t>45</w:t>
            </w:r>
            <w:r>
              <w:rPr>
                <w:rFonts w:ascii="宋体" w:hAnsi="宋体"/>
                <w:color w:val="auto"/>
                <w:szCs w:val="21"/>
                <w:highlight w:val="none"/>
              </w:rPr>
              <w:t>日历天</w:t>
            </w:r>
            <w:r>
              <w:rPr>
                <w:rFonts w:hint="eastAsia" w:ascii="宋体" w:hAnsi="宋体"/>
                <w:color w:val="auto"/>
                <w:szCs w:val="21"/>
                <w:highlight w:val="none"/>
              </w:rPr>
              <w:t>。</w:t>
            </w:r>
            <w:r>
              <w:rPr>
                <w:rFonts w:ascii="宋体" w:hAnsi="宋体"/>
                <w:color w:val="auto"/>
                <w:szCs w:val="21"/>
                <w:highlight w:val="none"/>
              </w:rPr>
              <w:t>（具体开工时间以发包人签发的开工通知书为准）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7</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1.4</w:t>
            </w:r>
          </w:p>
        </w:tc>
        <w:tc>
          <w:tcPr>
            <w:tcW w:w="1843" w:type="dxa"/>
            <w:vAlign w:val="center"/>
          </w:tcPr>
          <w:p>
            <w:pPr>
              <w:jc w:val="center"/>
              <w:rPr>
                <w:rFonts w:ascii="宋体" w:hAnsi="宋体"/>
                <w:color w:val="auto"/>
                <w:kern w:val="0"/>
                <w:szCs w:val="21"/>
                <w:highlight w:val="none"/>
              </w:rPr>
            </w:pPr>
            <w:r>
              <w:rPr>
                <w:rFonts w:ascii="宋体" w:hAnsi="宋体"/>
                <w:color w:val="auto"/>
                <w:kern w:val="0"/>
                <w:szCs w:val="21"/>
                <w:highlight w:val="none"/>
              </w:rPr>
              <w:t>资金来源</w:t>
            </w:r>
          </w:p>
        </w:tc>
        <w:tc>
          <w:tcPr>
            <w:tcW w:w="5812" w:type="dxa"/>
            <w:vAlign w:val="center"/>
          </w:tcPr>
          <w:p>
            <w:pPr>
              <w:spacing w:line="440" w:lineRule="exact"/>
              <w:rPr>
                <w:rFonts w:hint="eastAsia" w:ascii="宋体" w:hAnsi="宋体" w:eastAsia="宋体"/>
                <w:color w:val="auto"/>
                <w:kern w:val="0"/>
                <w:szCs w:val="21"/>
                <w:highlight w:val="none"/>
                <w:lang w:eastAsia="zh-CN"/>
              </w:rPr>
            </w:pPr>
            <w:r>
              <w:rPr>
                <w:rFonts w:hint="eastAsia" w:ascii="宋体" w:hAnsi="宋体"/>
                <w:color w:val="auto"/>
                <w:kern w:val="0"/>
                <w:szCs w:val="21"/>
                <w:highlight w:val="none"/>
                <w:lang w:val="en-US" w:eastAsia="zh-CN"/>
              </w:rPr>
              <w:t>财政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5" w:hRule="atLeast"/>
          <w:jc w:val="center"/>
        </w:trPr>
        <w:tc>
          <w:tcPr>
            <w:tcW w:w="814" w:type="dxa"/>
            <w:vAlign w:val="center"/>
          </w:tcPr>
          <w:p>
            <w:pPr>
              <w:jc w:val="center"/>
              <w:rPr>
                <w:rFonts w:ascii="宋体" w:hAnsi="宋体"/>
                <w:color w:val="auto"/>
                <w:kern w:val="0"/>
                <w:szCs w:val="21"/>
                <w:highlight w:val="none"/>
              </w:rPr>
            </w:pPr>
            <w:r>
              <w:rPr>
                <w:rFonts w:ascii="宋体" w:hAnsi="宋体"/>
                <w:color w:val="auto"/>
                <w:kern w:val="0"/>
                <w:szCs w:val="21"/>
                <w:highlight w:val="none"/>
              </w:rPr>
              <w:t>8</w:t>
            </w:r>
          </w:p>
        </w:tc>
        <w:tc>
          <w:tcPr>
            <w:tcW w:w="992" w:type="dxa"/>
            <w:vAlign w:val="center"/>
          </w:tcPr>
          <w:p>
            <w:pPr>
              <w:jc w:val="center"/>
              <w:rPr>
                <w:rFonts w:ascii="宋体" w:hAnsi="宋体"/>
                <w:color w:val="auto"/>
                <w:kern w:val="0"/>
                <w:szCs w:val="21"/>
                <w:highlight w:val="none"/>
              </w:rPr>
            </w:pPr>
            <w:r>
              <w:rPr>
                <w:rFonts w:ascii="宋体" w:hAnsi="宋体"/>
                <w:color w:val="auto"/>
                <w:kern w:val="0"/>
                <w:szCs w:val="21"/>
                <w:highlight w:val="none"/>
              </w:rPr>
              <w:t>2.1</w:t>
            </w:r>
          </w:p>
        </w:tc>
        <w:tc>
          <w:tcPr>
            <w:tcW w:w="1843" w:type="dxa"/>
            <w:vAlign w:val="center"/>
          </w:tcPr>
          <w:p>
            <w:pPr>
              <w:jc w:val="center"/>
              <w:rPr>
                <w:rFonts w:ascii="宋体" w:hAnsi="宋体"/>
                <w:color w:val="auto"/>
                <w:kern w:val="0"/>
                <w:szCs w:val="21"/>
                <w:highlight w:val="none"/>
              </w:rPr>
            </w:pPr>
            <w:r>
              <w:rPr>
                <w:rFonts w:ascii="宋体" w:hAnsi="宋体"/>
                <w:color w:val="auto"/>
                <w:kern w:val="0"/>
                <w:szCs w:val="21"/>
                <w:highlight w:val="none"/>
              </w:rPr>
              <w:t>招标范围</w:t>
            </w:r>
          </w:p>
        </w:tc>
        <w:tc>
          <w:tcPr>
            <w:tcW w:w="5812" w:type="dxa"/>
            <w:vAlign w:val="center"/>
          </w:tcPr>
          <w:p>
            <w:pPr>
              <w:adjustRightInd w:val="0"/>
              <w:spacing w:line="440" w:lineRule="exact"/>
              <w:rPr>
                <w:rFonts w:ascii="宋体" w:hAnsi="宋体"/>
                <w:color w:val="auto"/>
                <w:kern w:val="0"/>
                <w:szCs w:val="21"/>
                <w:highlight w:val="none"/>
              </w:rPr>
            </w:pPr>
            <w:r>
              <w:rPr>
                <w:rFonts w:hint="eastAsia" w:hAnsi="宋体"/>
                <w:color w:val="auto"/>
                <w:szCs w:val="21"/>
                <w:highlight w:val="none"/>
                <w:lang w:eastAsia="zh-CN"/>
              </w:rPr>
              <w:t>南通市保安服务有限公司零星消防改造工程</w:t>
            </w:r>
            <w:r>
              <w:rPr>
                <w:rFonts w:hAnsi="宋体"/>
                <w:color w:val="auto"/>
                <w:szCs w:val="21"/>
                <w:highlight w:val="none"/>
              </w:rPr>
              <w:t>施工图纸及</w:t>
            </w:r>
            <w:r>
              <w:rPr>
                <w:rFonts w:hint="eastAsia" w:hAnsi="宋体"/>
                <w:color w:val="auto"/>
                <w:szCs w:val="21"/>
                <w:highlight w:val="none"/>
              </w:rPr>
              <w:t>工程量</w:t>
            </w:r>
            <w:r>
              <w:rPr>
                <w:rFonts w:hAnsi="宋体"/>
                <w:color w:val="auto"/>
                <w:szCs w:val="21"/>
                <w:highlight w:val="none"/>
              </w:rPr>
              <w:t>清单中所示的内容。</w:t>
            </w:r>
            <w:r>
              <w:rPr>
                <w:rFonts w:hint="eastAsia" w:hAnsi="宋体"/>
                <w:color w:val="auto"/>
                <w:szCs w:val="21"/>
                <w:highlight w:val="none"/>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9</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16</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工程报价方式</w:t>
            </w:r>
          </w:p>
        </w:tc>
        <w:tc>
          <w:tcPr>
            <w:tcW w:w="5812" w:type="dxa"/>
            <w:vAlign w:val="center"/>
          </w:tcPr>
          <w:p>
            <w:pPr>
              <w:spacing w:line="440" w:lineRule="exact"/>
              <w:jc w:val="left"/>
              <w:rPr>
                <w:rFonts w:ascii="宋体" w:hAnsi="宋体"/>
                <w:color w:val="auto"/>
                <w:szCs w:val="21"/>
                <w:highlight w:val="none"/>
              </w:rPr>
            </w:pPr>
            <w:r>
              <w:rPr>
                <w:rFonts w:ascii="宋体" w:hAnsi="宋体"/>
                <w:color w:val="auto"/>
                <w:szCs w:val="21"/>
                <w:highlight w:val="none"/>
              </w:rPr>
              <w:t>固定综合单价报价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10</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12</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投标有效期</w:t>
            </w:r>
          </w:p>
        </w:tc>
        <w:tc>
          <w:tcPr>
            <w:tcW w:w="5812" w:type="dxa"/>
            <w:vAlign w:val="center"/>
          </w:tcPr>
          <w:p>
            <w:pPr>
              <w:spacing w:line="440" w:lineRule="exact"/>
              <w:jc w:val="left"/>
              <w:rPr>
                <w:rFonts w:ascii="宋体" w:hAnsi="宋体"/>
                <w:color w:val="auto"/>
                <w:szCs w:val="21"/>
                <w:highlight w:val="none"/>
              </w:rPr>
            </w:pPr>
            <w:r>
              <w:rPr>
                <w:rFonts w:ascii="宋体" w:hAnsi="宋体"/>
                <w:color w:val="auto"/>
                <w:szCs w:val="21"/>
                <w:highlight w:val="none"/>
                <w:u w:val="single"/>
              </w:rPr>
              <w:t xml:space="preserve">  45  </w:t>
            </w:r>
            <w:r>
              <w:rPr>
                <w:rFonts w:ascii="宋体" w:hAnsi="宋体"/>
                <w:color w:val="auto"/>
                <w:szCs w:val="21"/>
                <w:highlight w:val="none"/>
              </w:rPr>
              <w:t>日历天(从投标截止之日算起)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11</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14</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投标保证金额</w:t>
            </w:r>
          </w:p>
        </w:tc>
        <w:tc>
          <w:tcPr>
            <w:tcW w:w="5812" w:type="dxa"/>
            <w:vAlign w:val="center"/>
          </w:tcPr>
          <w:p>
            <w:pPr>
              <w:adjustRightInd w:val="0"/>
              <w:spacing w:line="440" w:lineRule="exact"/>
              <w:jc w:val="left"/>
              <w:rPr>
                <w:rFonts w:ascii="宋体" w:hAnsi="宋体"/>
                <w:color w:val="auto"/>
                <w:szCs w:val="21"/>
                <w:highlight w:val="none"/>
              </w:rPr>
            </w:pPr>
            <w:r>
              <w:rPr>
                <w:rFonts w:ascii="宋体" w:hAnsi="宋体"/>
                <w:color w:val="auto"/>
                <w:szCs w:val="21"/>
                <w:highlight w:val="none"/>
              </w:rPr>
              <w:t>人民币</w:t>
            </w:r>
            <w:r>
              <w:rPr>
                <w:rFonts w:hint="eastAsia" w:ascii="宋体" w:hAnsi="宋体"/>
                <w:color w:val="auto"/>
                <w:szCs w:val="21"/>
                <w:highlight w:val="none"/>
                <w:u w:val="single"/>
                <w:lang w:val="en-US" w:eastAsia="zh-CN"/>
              </w:rPr>
              <w:t xml:space="preserve">4000 </w:t>
            </w:r>
            <w:r>
              <w:rPr>
                <w:rFonts w:hint="eastAsia" w:ascii="宋体" w:hAnsi="宋体"/>
                <w:b/>
                <w:color w:val="auto"/>
                <w:szCs w:val="21"/>
                <w:highlight w:val="none"/>
                <w:u w:val="single"/>
              </w:rPr>
              <w:t>元</w:t>
            </w:r>
            <w:r>
              <w:rPr>
                <w:rFonts w:hint="eastAsia" w:ascii="宋体" w:hAnsi="宋体" w:cs="宋体"/>
                <w:color w:val="auto"/>
                <w:szCs w:val="21"/>
                <w:highlight w:val="none"/>
              </w:rPr>
              <w:t>（递交方式：</w:t>
            </w:r>
            <w:r>
              <w:rPr>
                <w:rFonts w:hint="eastAsia" w:ascii="宋体" w:hAnsi="宋体" w:cs="宋体"/>
                <w:color w:val="auto"/>
                <w:szCs w:val="21"/>
                <w:highlight w:val="none"/>
                <w:lang w:val="en-US" w:eastAsia="zh-CN"/>
              </w:rPr>
              <w:t>现金</w:t>
            </w:r>
            <w:r>
              <w:rPr>
                <w:rFonts w:hint="eastAsia" w:ascii="宋体" w:hAnsi="宋体" w:cs="宋体"/>
                <w:color w:val="auto"/>
                <w:szCs w:val="21"/>
                <w:highlight w:val="none"/>
              </w:rPr>
              <w:t>，在开标时和投标文件同时递交，请勿和投标文件密封）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12</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6.2</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提交疑问材料</w:t>
            </w:r>
          </w:p>
          <w:p>
            <w:pPr>
              <w:jc w:val="center"/>
              <w:rPr>
                <w:rFonts w:ascii="宋体" w:hAnsi="宋体"/>
                <w:color w:val="auto"/>
                <w:kern w:val="0"/>
                <w:szCs w:val="21"/>
                <w:highlight w:val="none"/>
              </w:rPr>
            </w:pPr>
            <w:r>
              <w:rPr>
                <w:rFonts w:ascii="宋体" w:hAnsi="宋体"/>
                <w:color w:val="auto"/>
                <w:szCs w:val="21"/>
                <w:highlight w:val="none"/>
              </w:rPr>
              <w:t>时间及方式</w:t>
            </w:r>
          </w:p>
        </w:tc>
        <w:tc>
          <w:tcPr>
            <w:tcW w:w="5812" w:type="dxa"/>
            <w:vAlign w:val="center"/>
          </w:tcPr>
          <w:p>
            <w:pPr>
              <w:adjustRightInd w:val="0"/>
              <w:spacing w:line="440" w:lineRule="exact"/>
              <w:rPr>
                <w:rFonts w:ascii="宋体" w:hAnsi="宋体"/>
                <w:color w:val="auto"/>
                <w:szCs w:val="21"/>
                <w:highlight w:val="none"/>
              </w:rPr>
            </w:pPr>
            <w:r>
              <w:rPr>
                <w:rFonts w:ascii="宋体" w:hAnsi="宋体"/>
                <w:color w:val="auto"/>
                <w:szCs w:val="21"/>
                <w:highlight w:val="none"/>
              </w:rPr>
              <w:t>如有疑问需要招标人澄清应在</w:t>
            </w:r>
            <w:r>
              <w:rPr>
                <w:rFonts w:ascii="宋体" w:hAnsi="宋体"/>
                <w:color w:val="auto"/>
                <w:szCs w:val="21"/>
                <w:highlight w:val="none"/>
                <w:u w:val="single"/>
              </w:rPr>
              <w:t>20</w:t>
            </w:r>
            <w:r>
              <w:rPr>
                <w:rFonts w:hint="eastAsia" w:ascii="宋体" w:hAnsi="宋体"/>
                <w:color w:val="auto"/>
                <w:szCs w:val="21"/>
                <w:highlight w:val="none"/>
                <w:u w:val="single"/>
              </w:rPr>
              <w:t>23</w:t>
            </w:r>
            <w:r>
              <w:rPr>
                <w:rFonts w:ascii="宋体" w:hAnsi="宋体"/>
                <w:color w:val="auto"/>
                <w:szCs w:val="21"/>
                <w:highlight w:val="none"/>
                <w:u w:val="single"/>
              </w:rPr>
              <w:t>年</w:t>
            </w:r>
            <w:r>
              <w:rPr>
                <w:rFonts w:hint="eastAsia" w:ascii="宋体" w:hAnsi="宋体"/>
                <w:color w:val="auto"/>
                <w:szCs w:val="21"/>
                <w:highlight w:val="none"/>
                <w:u w:val="single"/>
                <w:lang w:val="en-US" w:eastAsia="zh-CN"/>
              </w:rPr>
              <w:t>10</w:t>
            </w:r>
            <w:r>
              <w:rPr>
                <w:rFonts w:ascii="宋体" w:hAnsi="宋体"/>
                <w:color w:val="auto"/>
                <w:szCs w:val="21"/>
                <w:highlight w:val="none"/>
                <w:u w:val="single"/>
              </w:rPr>
              <w:t>月</w:t>
            </w:r>
            <w:r>
              <w:rPr>
                <w:rFonts w:hint="eastAsia" w:ascii="宋体" w:hAnsi="宋体"/>
                <w:color w:val="auto"/>
                <w:szCs w:val="21"/>
                <w:highlight w:val="none"/>
                <w:u w:val="single"/>
                <w:lang w:val="en-US" w:eastAsia="zh-CN"/>
              </w:rPr>
              <w:t>7</w:t>
            </w:r>
            <w:r>
              <w:rPr>
                <w:rFonts w:ascii="宋体" w:hAnsi="宋体"/>
                <w:color w:val="auto"/>
                <w:szCs w:val="21"/>
                <w:highlight w:val="none"/>
                <w:u w:val="single"/>
              </w:rPr>
              <w:t>日17时</w:t>
            </w:r>
            <w:r>
              <w:rPr>
                <w:rFonts w:hint="eastAsia" w:ascii="宋体" w:hAnsi="宋体"/>
                <w:color w:val="auto"/>
                <w:szCs w:val="21"/>
                <w:highlight w:val="none"/>
                <w:u w:val="single"/>
              </w:rPr>
              <w:t>00分</w:t>
            </w:r>
            <w:r>
              <w:rPr>
                <w:rFonts w:ascii="宋体" w:hAnsi="宋体"/>
                <w:color w:val="auto"/>
                <w:szCs w:val="21"/>
                <w:highlight w:val="none"/>
              </w:rPr>
              <w:t>前以电子文件形式（不具单位名称、不加盖单位公章）发送至指定邮箱</w:t>
            </w:r>
            <w:r>
              <w:rPr>
                <w:rFonts w:ascii="宋体" w:hAnsi="宋体"/>
                <w:color w:val="auto"/>
                <w:szCs w:val="21"/>
                <w:highlight w:val="none"/>
                <w:u w:val="single"/>
              </w:rPr>
              <w:t>（</w:t>
            </w:r>
            <w:r>
              <w:rPr>
                <w:rFonts w:hint="eastAsia" w:ascii="宋体" w:hAnsi="宋体"/>
                <w:color w:val="auto"/>
                <w:szCs w:val="21"/>
                <w:highlight w:val="none"/>
                <w:u w:val="single"/>
                <w:lang w:val="en-US" w:eastAsia="zh-CN"/>
              </w:rPr>
              <w:t>1010491310</w:t>
            </w:r>
            <w:r>
              <w:rPr>
                <w:rFonts w:hint="eastAsia" w:ascii="宋体" w:hAnsi="宋体"/>
                <w:color w:val="auto"/>
                <w:szCs w:val="21"/>
                <w:highlight w:val="none"/>
                <w:u w:val="single"/>
              </w:rPr>
              <w:t>@qq.com</w:t>
            </w:r>
            <w:r>
              <w:rPr>
                <w:rFonts w:ascii="宋体" w:hAnsi="宋体"/>
                <w:color w:val="auto"/>
                <w:szCs w:val="21"/>
                <w:highlight w:val="none"/>
                <w:u w:val="single"/>
              </w:rPr>
              <w:t>）</w:t>
            </w:r>
            <w:r>
              <w:rPr>
                <w:rFonts w:ascii="宋体" w:hAnsi="宋体"/>
                <w:color w:val="auto"/>
                <w:szCs w:val="21"/>
                <w:highlight w:val="none"/>
              </w:rPr>
              <w:t>向招标人提出，招标人予以解答，解答的内容将在</w:t>
            </w:r>
            <w:r>
              <w:rPr>
                <w:rFonts w:hint="eastAsia" w:ascii="宋体" w:hAnsi="宋体"/>
                <w:color w:val="auto"/>
                <w:szCs w:val="21"/>
                <w:highlight w:val="none"/>
                <w:lang w:val="en-US" w:eastAsia="zh-CN"/>
              </w:rPr>
              <w:t>南通市保安服务有限公司官网</w:t>
            </w:r>
            <w:r>
              <w:rPr>
                <w:rFonts w:hint="eastAsia" w:ascii="宋体" w:hAnsi="宋体" w:cs="宋体"/>
                <w:color w:val="auto"/>
                <w:szCs w:val="21"/>
                <w:highlight w:val="none"/>
              </w:rPr>
              <w:t>公布</w:t>
            </w:r>
            <w:r>
              <w:rPr>
                <w:rFonts w:hint="eastAsia" w:ascii="宋体" w:hAnsi="宋体"/>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6"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13</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13.1</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踏勘现场答疑时间</w:t>
            </w:r>
          </w:p>
        </w:tc>
        <w:tc>
          <w:tcPr>
            <w:tcW w:w="5812" w:type="dxa"/>
            <w:vAlign w:val="center"/>
          </w:tcPr>
          <w:p>
            <w:pPr>
              <w:spacing w:line="440" w:lineRule="exact"/>
              <w:jc w:val="left"/>
              <w:rPr>
                <w:rFonts w:ascii="宋体" w:hAnsi="宋体"/>
                <w:color w:val="auto"/>
                <w:szCs w:val="21"/>
                <w:highlight w:val="none"/>
              </w:rPr>
            </w:pPr>
            <w:r>
              <w:rPr>
                <w:rFonts w:ascii="宋体" w:hAnsi="宋体"/>
                <w:color w:val="auto"/>
                <w:szCs w:val="21"/>
                <w:highlight w:val="none"/>
              </w:rPr>
              <w:t>投标人自行踏勘现场</w:t>
            </w:r>
          </w:p>
          <w:p>
            <w:pPr>
              <w:spacing w:line="440" w:lineRule="exact"/>
              <w:jc w:val="left"/>
              <w:rPr>
                <w:rFonts w:ascii="宋体" w:hAnsi="宋体"/>
                <w:color w:val="auto"/>
                <w:szCs w:val="21"/>
                <w:highlight w:val="none"/>
              </w:rPr>
            </w:pPr>
            <w:r>
              <w:rPr>
                <w:rFonts w:ascii="宋体" w:hAnsi="宋体"/>
                <w:color w:val="auto"/>
                <w:szCs w:val="21"/>
                <w:highlight w:val="none"/>
              </w:rPr>
              <w:t>答疑</w:t>
            </w:r>
            <w:r>
              <w:rPr>
                <w:rFonts w:hint="eastAsia" w:ascii="宋体" w:hAnsi="宋体"/>
                <w:color w:val="auto"/>
                <w:szCs w:val="21"/>
                <w:highlight w:val="none"/>
              </w:rPr>
              <w:t>提交截止</w:t>
            </w:r>
            <w:r>
              <w:rPr>
                <w:rFonts w:ascii="宋体" w:hAnsi="宋体"/>
                <w:color w:val="auto"/>
                <w:szCs w:val="21"/>
                <w:highlight w:val="none"/>
              </w:rPr>
              <w:t>时间：</w:t>
            </w:r>
            <w:r>
              <w:rPr>
                <w:rFonts w:ascii="宋体" w:hAnsi="宋体"/>
                <w:color w:val="auto"/>
                <w:szCs w:val="21"/>
                <w:highlight w:val="none"/>
                <w:u w:val="single"/>
              </w:rPr>
              <w:t>20</w:t>
            </w:r>
            <w:r>
              <w:rPr>
                <w:rFonts w:hint="eastAsia" w:ascii="宋体" w:hAnsi="宋体"/>
                <w:color w:val="auto"/>
                <w:szCs w:val="21"/>
                <w:highlight w:val="none"/>
                <w:u w:val="single"/>
              </w:rPr>
              <w:t>23</w:t>
            </w:r>
            <w:r>
              <w:rPr>
                <w:rFonts w:ascii="宋体" w:hAnsi="宋体"/>
                <w:color w:val="auto"/>
                <w:szCs w:val="21"/>
                <w:highlight w:val="none"/>
                <w:u w:val="single"/>
              </w:rPr>
              <w:t>年</w:t>
            </w:r>
            <w:r>
              <w:rPr>
                <w:rFonts w:hint="eastAsia" w:ascii="宋体" w:hAnsi="宋体"/>
                <w:color w:val="auto"/>
                <w:szCs w:val="21"/>
                <w:highlight w:val="none"/>
                <w:u w:val="single"/>
                <w:lang w:val="en-US" w:eastAsia="zh-CN"/>
              </w:rPr>
              <w:t>10</w:t>
            </w:r>
            <w:r>
              <w:rPr>
                <w:rFonts w:ascii="宋体" w:hAnsi="宋体"/>
                <w:color w:val="auto"/>
                <w:szCs w:val="21"/>
                <w:highlight w:val="none"/>
                <w:u w:val="single"/>
              </w:rPr>
              <w:t>月</w:t>
            </w:r>
            <w:r>
              <w:rPr>
                <w:rFonts w:hint="eastAsia" w:ascii="宋体" w:hAnsi="宋体"/>
                <w:color w:val="auto"/>
                <w:szCs w:val="21"/>
                <w:highlight w:val="none"/>
                <w:u w:val="single"/>
                <w:lang w:val="en-US" w:eastAsia="zh-CN"/>
              </w:rPr>
              <w:t>7</w:t>
            </w:r>
            <w:r>
              <w:rPr>
                <w:rFonts w:ascii="宋体" w:hAnsi="宋体"/>
                <w:color w:val="auto"/>
                <w:szCs w:val="21"/>
                <w:highlight w:val="none"/>
                <w:u w:val="single"/>
              </w:rPr>
              <w:t>日17时</w:t>
            </w:r>
            <w:r>
              <w:rPr>
                <w:rFonts w:hint="eastAsia" w:ascii="宋体" w:hAnsi="宋体"/>
                <w:color w:val="auto"/>
                <w:szCs w:val="21"/>
                <w:highlight w:val="none"/>
                <w:u w:val="single"/>
              </w:rPr>
              <w:t>00分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14</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18.2</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招标控制价编制依据</w:t>
            </w:r>
          </w:p>
        </w:tc>
        <w:tc>
          <w:tcPr>
            <w:tcW w:w="5812" w:type="dxa"/>
            <w:vAlign w:val="center"/>
          </w:tcPr>
          <w:p>
            <w:pPr>
              <w:adjustRightInd w:val="0"/>
              <w:spacing w:line="440" w:lineRule="exact"/>
              <w:jc w:val="left"/>
              <w:rPr>
                <w:rFonts w:ascii="宋体" w:hAnsi="宋体"/>
                <w:color w:val="auto"/>
                <w:kern w:val="0"/>
                <w:szCs w:val="21"/>
                <w:highlight w:val="none"/>
              </w:rPr>
            </w:pPr>
            <w:r>
              <w:rPr>
                <w:rFonts w:ascii="宋体" w:hAnsi="宋体"/>
                <w:color w:val="auto"/>
                <w:szCs w:val="21"/>
                <w:highlight w:val="none"/>
              </w:rPr>
              <w:t>招标控制价编制执行：</w:t>
            </w:r>
          </w:p>
          <w:p>
            <w:pPr>
              <w:spacing w:line="440" w:lineRule="exact"/>
              <w:jc w:val="left"/>
              <w:rPr>
                <w:color w:val="auto"/>
                <w:szCs w:val="21"/>
                <w:highlight w:val="none"/>
              </w:rPr>
            </w:pPr>
            <w:r>
              <w:rPr>
                <w:rFonts w:hint="eastAsia" w:hAnsi="宋体"/>
                <w:color w:val="auto"/>
                <w:szCs w:val="21"/>
                <w:highlight w:val="none"/>
              </w:rPr>
              <w:t>1.</w:t>
            </w:r>
            <w:r>
              <w:rPr>
                <w:rFonts w:hAnsi="宋体"/>
                <w:color w:val="auto"/>
                <w:szCs w:val="21"/>
                <w:highlight w:val="none"/>
              </w:rPr>
              <w:t>本工程施工图及其工程量清单；</w:t>
            </w:r>
          </w:p>
          <w:p>
            <w:pPr>
              <w:spacing w:line="440" w:lineRule="exact"/>
              <w:jc w:val="left"/>
              <w:rPr>
                <w:color w:val="auto"/>
                <w:szCs w:val="21"/>
                <w:highlight w:val="none"/>
              </w:rPr>
            </w:pPr>
            <w:r>
              <w:rPr>
                <w:color w:val="auto"/>
                <w:szCs w:val="21"/>
                <w:highlight w:val="none"/>
              </w:rPr>
              <w:t>2</w:t>
            </w:r>
            <w:r>
              <w:rPr>
                <w:rFonts w:hint="eastAsia"/>
                <w:color w:val="auto"/>
                <w:szCs w:val="21"/>
                <w:highlight w:val="none"/>
              </w:rPr>
              <w:t>.</w:t>
            </w:r>
            <w:r>
              <w:rPr>
                <w:rFonts w:hAnsi="宋体"/>
                <w:color w:val="auto"/>
                <w:szCs w:val="21"/>
                <w:highlight w:val="none"/>
              </w:rPr>
              <w:t>《建设工程工程量清单计价规范》（</w:t>
            </w:r>
            <w:r>
              <w:rPr>
                <w:color w:val="auto"/>
                <w:szCs w:val="21"/>
                <w:highlight w:val="none"/>
              </w:rPr>
              <w:t>GB50500-2013</w:t>
            </w:r>
            <w:r>
              <w:rPr>
                <w:rFonts w:hAnsi="宋体"/>
                <w:color w:val="auto"/>
                <w:szCs w:val="21"/>
                <w:highlight w:val="none"/>
              </w:rPr>
              <w:t>）；</w:t>
            </w:r>
          </w:p>
          <w:p>
            <w:pPr>
              <w:spacing w:line="440" w:lineRule="exact"/>
              <w:jc w:val="left"/>
              <w:rPr>
                <w:color w:val="auto"/>
                <w:szCs w:val="21"/>
                <w:highlight w:val="none"/>
              </w:rPr>
            </w:pPr>
            <w:r>
              <w:rPr>
                <w:color w:val="auto"/>
                <w:szCs w:val="21"/>
                <w:highlight w:val="none"/>
              </w:rPr>
              <w:t>3</w:t>
            </w:r>
            <w:r>
              <w:rPr>
                <w:rFonts w:hint="eastAsia"/>
                <w:color w:val="auto"/>
                <w:szCs w:val="21"/>
                <w:highlight w:val="none"/>
              </w:rPr>
              <w:t>.</w:t>
            </w:r>
            <w:r>
              <w:rPr>
                <w:color w:val="auto"/>
                <w:szCs w:val="21"/>
                <w:highlight w:val="none"/>
              </w:rPr>
              <w:t>《江苏省建筑与装饰工程计价定额》（2014）；</w:t>
            </w:r>
          </w:p>
          <w:p>
            <w:pPr>
              <w:spacing w:line="440" w:lineRule="exact"/>
              <w:jc w:val="left"/>
              <w:rPr>
                <w:color w:val="auto"/>
                <w:szCs w:val="21"/>
                <w:highlight w:val="none"/>
              </w:rPr>
            </w:pPr>
            <w:r>
              <w:rPr>
                <w:color w:val="auto"/>
                <w:szCs w:val="21"/>
                <w:highlight w:val="none"/>
              </w:rPr>
              <w:t>4</w:t>
            </w:r>
            <w:r>
              <w:rPr>
                <w:rFonts w:hint="eastAsia"/>
                <w:color w:val="auto"/>
                <w:szCs w:val="21"/>
                <w:highlight w:val="none"/>
              </w:rPr>
              <w:t>.</w:t>
            </w:r>
            <w:r>
              <w:rPr>
                <w:color w:val="auto"/>
                <w:szCs w:val="21"/>
                <w:highlight w:val="none"/>
              </w:rPr>
              <w:t>《江苏省安装工程计价定额》2014年版；</w:t>
            </w:r>
          </w:p>
          <w:p>
            <w:pPr>
              <w:spacing w:line="440" w:lineRule="exact"/>
              <w:jc w:val="left"/>
              <w:rPr>
                <w:color w:val="auto"/>
                <w:szCs w:val="21"/>
                <w:highlight w:val="none"/>
              </w:rPr>
            </w:pPr>
            <w:r>
              <w:rPr>
                <w:color w:val="auto"/>
                <w:szCs w:val="21"/>
                <w:highlight w:val="none"/>
              </w:rPr>
              <w:t>5</w:t>
            </w:r>
            <w:r>
              <w:rPr>
                <w:rFonts w:hint="eastAsia"/>
                <w:color w:val="auto"/>
                <w:szCs w:val="21"/>
                <w:highlight w:val="none"/>
              </w:rPr>
              <w:t>.</w:t>
            </w:r>
            <w:r>
              <w:rPr>
                <w:color w:val="auto"/>
                <w:szCs w:val="21"/>
                <w:highlight w:val="none"/>
              </w:rPr>
              <w:t>《江苏省建设工程费用定额》2014年版；</w:t>
            </w:r>
          </w:p>
          <w:p>
            <w:pPr>
              <w:spacing w:line="440" w:lineRule="exact"/>
              <w:jc w:val="left"/>
              <w:rPr>
                <w:color w:val="auto"/>
                <w:szCs w:val="21"/>
                <w:highlight w:val="none"/>
              </w:rPr>
            </w:pPr>
            <w:r>
              <w:rPr>
                <w:color w:val="auto"/>
                <w:szCs w:val="21"/>
                <w:highlight w:val="none"/>
              </w:rPr>
              <w:t>6</w:t>
            </w:r>
            <w:r>
              <w:rPr>
                <w:rFonts w:hint="eastAsia"/>
                <w:color w:val="auto"/>
                <w:szCs w:val="21"/>
                <w:highlight w:val="none"/>
              </w:rPr>
              <w:t>.</w:t>
            </w:r>
            <w:r>
              <w:rPr>
                <w:color w:val="auto"/>
                <w:szCs w:val="21"/>
                <w:highlight w:val="none"/>
              </w:rPr>
              <w:t>《南通建设工程造价信息》</w:t>
            </w:r>
            <w:r>
              <w:rPr>
                <w:rFonts w:hint="eastAsia"/>
                <w:color w:val="auto"/>
                <w:szCs w:val="21"/>
                <w:highlight w:val="none"/>
              </w:rPr>
              <w:t>2023年第</w:t>
            </w:r>
            <w:r>
              <w:rPr>
                <w:rFonts w:hint="eastAsia"/>
                <w:color w:val="auto"/>
                <w:szCs w:val="21"/>
                <w:highlight w:val="none"/>
                <w:lang w:val="en-US" w:eastAsia="zh-CN"/>
              </w:rPr>
              <w:t>9</w:t>
            </w:r>
            <w:r>
              <w:rPr>
                <w:rFonts w:hint="eastAsia"/>
                <w:color w:val="auto"/>
                <w:szCs w:val="21"/>
                <w:highlight w:val="none"/>
              </w:rPr>
              <w:t>期</w:t>
            </w:r>
            <w:r>
              <w:rPr>
                <w:color w:val="auto"/>
                <w:szCs w:val="21"/>
                <w:highlight w:val="none"/>
              </w:rPr>
              <w:t>；</w:t>
            </w:r>
          </w:p>
          <w:p>
            <w:pPr>
              <w:spacing w:line="440" w:lineRule="exact"/>
              <w:jc w:val="left"/>
              <w:rPr>
                <w:color w:val="auto"/>
                <w:szCs w:val="21"/>
                <w:highlight w:val="none"/>
              </w:rPr>
            </w:pPr>
            <w:r>
              <w:rPr>
                <w:color w:val="auto"/>
                <w:szCs w:val="21"/>
                <w:highlight w:val="none"/>
              </w:rPr>
              <w:t>7</w:t>
            </w:r>
            <w:r>
              <w:rPr>
                <w:rFonts w:hint="eastAsia"/>
                <w:color w:val="auto"/>
                <w:szCs w:val="21"/>
                <w:highlight w:val="none"/>
              </w:rPr>
              <w:t>.</w:t>
            </w:r>
            <w:r>
              <w:rPr>
                <w:color w:val="auto"/>
                <w:szCs w:val="21"/>
                <w:highlight w:val="none"/>
              </w:rPr>
              <w:t>江苏省住房和城乡建设厅关于发布建设工程人工工资指导价的通知（</w:t>
            </w:r>
            <w:r>
              <w:rPr>
                <w:rFonts w:hint="eastAsia"/>
                <w:color w:val="auto"/>
                <w:szCs w:val="21"/>
                <w:highlight w:val="none"/>
              </w:rPr>
              <w:t>苏建函价[</w:t>
            </w:r>
            <w:r>
              <w:rPr>
                <w:rFonts w:hint="eastAsia"/>
                <w:color w:val="auto"/>
                <w:szCs w:val="21"/>
                <w:highlight w:val="none"/>
                <w:lang w:val="en-US" w:eastAsia="zh-CN"/>
              </w:rPr>
              <w:t>2023</w:t>
            </w:r>
            <w:r>
              <w:rPr>
                <w:rFonts w:hint="eastAsia"/>
                <w:color w:val="auto"/>
                <w:szCs w:val="21"/>
                <w:highlight w:val="none"/>
              </w:rPr>
              <w:t>]</w:t>
            </w:r>
            <w:r>
              <w:rPr>
                <w:rFonts w:hint="eastAsia"/>
                <w:color w:val="auto"/>
                <w:szCs w:val="21"/>
                <w:highlight w:val="none"/>
                <w:lang w:val="en-US" w:eastAsia="zh-CN"/>
              </w:rPr>
              <w:t>391</w:t>
            </w:r>
            <w:r>
              <w:rPr>
                <w:color w:val="auto"/>
                <w:szCs w:val="21"/>
                <w:highlight w:val="none"/>
              </w:rPr>
              <w:t>号）；</w:t>
            </w:r>
          </w:p>
          <w:p>
            <w:pPr>
              <w:spacing w:line="440" w:lineRule="exact"/>
              <w:jc w:val="left"/>
              <w:rPr>
                <w:color w:val="auto"/>
                <w:szCs w:val="21"/>
                <w:highlight w:val="none"/>
              </w:rPr>
            </w:pPr>
            <w:r>
              <w:rPr>
                <w:color w:val="auto"/>
                <w:szCs w:val="21"/>
                <w:highlight w:val="none"/>
              </w:rPr>
              <w:t>8</w:t>
            </w:r>
            <w:r>
              <w:rPr>
                <w:rFonts w:hint="eastAsia"/>
                <w:color w:val="auto"/>
                <w:szCs w:val="21"/>
                <w:highlight w:val="none"/>
              </w:rPr>
              <w:t>.</w:t>
            </w:r>
            <w:r>
              <w:rPr>
                <w:color w:val="auto"/>
                <w:szCs w:val="21"/>
                <w:highlight w:val="none"/>
              </w:rPr>
              <w:t>省住</w:t>
            </w:r>
            <w:r>
              <w:rPr>
                <w:rFonts w:hAnsi="宋体"/>
                <w:color w:val="auto"/>
                <w:szCs w:val="21"/>
                <w:highlight w:val="none"/>
              </w:rPr>
              <w:t>房城乡建设厅关于建筑业实施营改增后江苏省建设工程计价依据调整的通知（苏建价〔</w:t>
            </w:r>
            <w:r>
              <w:rPr>
                <w:color w:val="auto"/>
                <w:szCs w:val="21"/>
                <w:highlight w:val="none"/>
              </w:rPr>
              <w:t>2016</w:t>
            </w:r>
            <w:r>
              <w:rPr>
                <w:rFonts w:hAnsi="宋体"/>
                <w:color w:val="auto"/>
                <w:szCs w:val="21"/>
                <w:highlight w:val="none"/>
              </w:rPr>
              <w:t>〕</w:t>
            </w:r>
            <w:r>
              <w:rPr>
                <w:color w:val="auto"/>
                <w:szCs w:val="21"/>
                <w:highlight w:val="none"/>
              </w:rPr>
              <w:t>154</w:t>
            </w:r>
            <w:r>
              <w:rPr>
                <w:rFonts w:hAnsi="宋体"/>
                <w:color w:val="auto"/>
                <w:szCs w:val="21"/>
                <w:highlight w:val="none"/>
              </w:rPr>
              <w:t>号文）；</w:t>
            </w:r>
          </w:p>
          <w:p>
            <w:pPr>
              <w:spacing w:line="440" w:lineRule="exact"/>
              <w:jc w:val="left"/>
              <w:rPr>
                <w:color w:val="auto"/>
                <w:szCs w:val="21"/>
                <w:highlight w:val="none"/>
              </w:rPr>
            </w:pPr>
            <w:r>
              <w:rPr>
                <w:color w:val="auto"/>
                <w:szCs w:val="21"/>
                <w:highlight w:val="none"/>
              </w:rPr>
              <w:t>9</w:t>
            </w:r>
            <w:r>
              <w:rPr>
                <w:rFonts w:hint="eastAsia" w:hAnsi="宋体"/>
                <w:color w:val="auto"/>
                <w:szCs w:val="21"/>
                <w:highlight w:val="none"/>
              </w:rPr>
              <w:t>.</w:t>
            </w:r>
            <w:r>
              <w:rPr>
                <w:rFonts w:hAnsi="宋体"/>
                <w:color w:val="auto"/>
                <w:szCs w:val="21"/>
                <w:highlight w:val="none"/>
              </w:rPr>
              <w:t>《省住房城乡建设厅关于调整建设工程计价增值税税率的通知》苏建函价〔</w:t>
            </w:r>
            <w:r>
              <w:rPr>
                <w:color w:val="auto"/>
                <w:szCs w:val="21"/>
                <w:highlight w:val="none"/>
              </w:rPr>
              <w:t>2019</w:t>
            </w:r>
            <w:r>
              <w:rPr>
                <w:rFonts w:hAnsi="宋体"/>
                <w:color w:val="auto"/>
                <w:szCs w:val="21"/>
                <w:highlight w:val="none"/>
              </w:rPr>
              <w:t>〕</w:t>
            </w:r>
            <w:r>
              <w:rPr>
                <w:color w:val="auto"/>
                <w:szCs w:val="21"/>
                <w:highlight w:val="none"/>
              </w:rPr>
              <w:t>178</w:t>
            </w:r>
            <w:r>
              <w:rPr>
                <w:rFonts w:hAnsi="宋体"/>
                <w:color w:val="auto"/>
                <w:szCs w:val="21"/>
                <w:highlight w:val="none"/>
              </w:rPr>
              <w:t>号文；</w:t>
            </w:r>
          </w:p>
          <w:p>
            <w:pPr>
              <w:adjustRightInd w:val="0"/>
              <w:spacing w:line="440" w:lineRule="exact"/>
              <w:rPr>
                <w:rFonts w:hAnsi="宋体"/>
                <w:color w:val="auto"/>
                <w:szCs w:val="21"/>
                <w:highlight w:val="none"/>
              </w:rPr>
            </w:pPr>
            <w:r>
              <w:rPr>
                <w:color w:val="auto"/>
                <w:szCs w:val="21"/>
                <w:highlight w:val="none"/>
              </w:rPr>
              <w:t>10</w:t>
            </w:r>
            <w:r>
              <w:rPr>
                <w:rFonts w:hint="eastAsia"/>
                <w:color w:val="auto"/>
                <w:szCs w:val="21"/>
                <w:highlight w:val="none"/>
              </w:rPr>
              <w:t>.</w:t>
            </w:r>
            <w:r>
              <w:rPr>
                <w:rFonts w:hAnsi="宋体"/>
                <w:color w:val="auto"/>
                <w:szCs w:val="21"/>
                <w:highlight w:val="none"/>
              </w:rPr>
              <w:t>江苏省南通市与本工程造价相关的补充定额、计价文件等。</w:t>
            </w:r>
          </w:p>
          <w:p>
            <w:pPr>
              <w:adjustRightInd w:val="0"/>
              <w:spacing w:line="440" w:lineRule="exact"/>
              <w:rPr>
                <w:rFonts w:ascii="宋体" w:hAnsi="宋体"/>
                <w:color w:val="auto"/>
                <w:kern w:val="0"/>
                <w:szCs w:val="21"/>
                <w:highlight w:val="none"/>
              </w:rPr>
            </w:pPr>
            <w:r>
              <w:rPr>
                <w:rFonts w:hint="eastAsia" w:ascii="宋体" w:hAnsi="宋体"/>
                <w:color w:val="auto"/>
                <w:kern w:val="0"/>
                <w:szCs w:val="21"/>
                <w:highlight w:val="none"/>
              </w:rPr>
              <w:t>11.</w:t>
            </w:r>
            <w:r>
              <w:rPr>
                <w:rFonts w:ascii="宋体" w:hAnsi="宋体"/>
                <w:color w:val="auto"/>
                <w:kern w:val="0"/>
                <w:szCs w:val="21"/>
                <w:highlight w:val="none"/>
              </w:rPr>
              <w:t>答疑、补充通知或澄清文件</w:t>
            </w:r>
          </w:p>
        </w:tc>
      </w:tr>
    </w:tbl>
    <w:p>
      <w:pPr>
        <w:jc w:val="center"/>
        <w:rPr>
          <w:rFonts w:ascii="宋体" w:hAnsi="宋体"/>
          <w:color w:val="auto"/>
          <w:szCs w:val="21"/>
          <w:highlight w:val="none"/>
        </w:rPr>
        <w:sectPr>
          <w:footerReference r:id="rId5" w:type="default"/>
          <w:pgSz w:w="11906" w:h="16838"/>
          <w:pgMar w:top="1440" w:right="1519" w:bottom="1440" w:left="1519" w:header="851" w:footer="992" w:gutter="0"/>
          <w:pgNumType w:start="1"/>
          <w:cols w:space="425" w:num="1"/>
          <w:docGrid w:type="lines" w:linePitch="312" w:charSpace="0"/>
        </w:sectPr>
      </w:pPr>
    </w:p>
    <w:tbl>
      <w:tblPr>
        <w:tblStyle w:val="57"/>
        <w:tblW w:w="94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4"/>
        <w:gridCol w:w="992"/>
        <w:gridCol w:w="1843"/>
        <w:gridCol w:w="5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5"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15</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18.3</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公布的招标控制价文件组成</w:t>
            </w:r>
          </w:p>
        </w:tc>
        <w:tc>
          <w:tcPr>
            <w:tcW w:w="5812" w:type="dxa"/>
            <w:vAlign w:val="center"/>
          </w:tcPr>
          <w:p>
            <w:pPr>
              <w:spacing w:line="440" w:lineRule="exact"/>
              <w:jc w:val="left"/>
              <w:rPr>
                <w:rFonts w:ascii="宋体" w:hAnsi="宋体"/>
                <w:color w:val="auto"/>
                <w:szCs w:val="21"/>
                <w:highlight w:val="none"/>
              </w:rPr>
            </w:pPr>
            <w:r>
              <w:rPr>
                <w:rFonts w:ascii="宋体" w:hAnsi="宋体"/>
                <w:color w:val="auto"/>
                <w:szCs w:val="21"/>
                <w:highlight w:val="none"/>
              </w:rPr>
              <w:t>建设项目招标控制价汇总表、分部分项工程和单价措施项目清单与计价表、材料价格表……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5"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16</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18.4</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招标控制价公布时间</w:t>
            </w:r>
          </w:p>
        </w:tc>
        <w:tc>
          <w:tcPr>
            <w:tcW w:w="5812" w:type="dxa"/>
            <w:vAlign w:val="center"/>
          </w:tcPr>
          <w:p>
            <w:pPr>
              <w:spacing w:line="440" w:lineRule="exact"/>
              <w:jc w:val="left"/>
              <w:rPr>
                <w:rFonts w:ascii="宋体" w:hAnsi="宋体"/>
                <w:color w:val="auto"/>
                <w:szCs w:val="21"/>
                <w:highlight w:val="none"/>
              </w:rPr>
            </w:pPr>
            <w:r>
              <w:rPr>
                <w:rFonts w:ascii="宋体" w:hAnsi="宋体"/>
                <w:color w:val="auto"/>
                <w:szCs w:val="21"/>
                <w:highlight w:val="none"/>
              </w:rPr>
              <w:t>本工程招标控制价：</w:t>
            </w:r>
            <w:r>
              <w:rPr>
                <w:rFonts w:hint="eastAsia" w:ascii="宋体" w:hAnsi="宋体"/>
                <w:b/>
                <w:bCs/>
                <w:color w:val="auto"/>
                <w:szCs w:val="21"/>
                <w:highlight w:val="none"/>
                <w:u w:val="single"/>
                <w:lang w:val="en-US" w:eastAsia="zh-CN"/>
              </w:rPr>
              <w:t>456280.64</w:t>
            </w:r>
            <w:r>
              <w:rPr>
                <w:rFonts w:hint="eastAsia" w:ascii="宋体" w:hAnsi="宋体"/>
                <w:b/>
                <w:bCs/>
                <w:color w:val="auto"/>
                <w:szCs w:val="21"/>
                <w:highlight w:val="none"/>
                <w:u w:val="single"/>
              </w:rPr>
              <w:t xml:space="preserve"> </w:t>
            </w:r>
            <w:r>
              <w:rPr>
                <w:rFonts w:hint="eastAsia" w:ascii="宋体" w:hAnsi="宋体"/>
                <w:color w:val="auto"/>
                <w:szCs w:val="21"/>
                <w:highlight w:val="none"/>
              </w:rPr>
              <w:t>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5"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17</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20.1</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投标</w:t>
            </w:r>
          </w:p>
          <w:p>
            <w:pPr>
              <w:jc w:val="center"/>
              <w:rPr>
                <w:rFonts w:ascii="宋体" w:hAnsi="宋体"/>
                <w:color w:val="auto"/>
                <w:szCs w:val="21"/>
                <w:highlight w:val="none"/>
              </w:rPr>
            </w:pPr>
            <w:r>
              <w:rPr>
                <w:rFonts w:ascii="宋体" w:hAnsi="宋体"/>
                <w:color w:val="auto"/>
                <w:szCs w:val="21"/>
                <w:highlight w:val="none"/>
              </w:rPr>
              <w:t>文件份数</w:t>
            </w:r>
          </w:p>
        </w:tc>
        <w:tc>
          <w:tcPr>
            <w:tcW w:w="5812" w:type="dxa"/>
            <w:vAlign w:val="center"/>
          </w:tcPr>
          <w:p>
            <w:pPr>
              <w:spacing w:line="440" w:lineRule="exact"/>
              <w:jc w:val="left"/>
              <w:rPr>
                <w:rFonts w:ascii="宋体" w:hAnsi="宋体"/>
                <w:b/>
                <w:snapToGrid w:val="0"/>
                <w:color w:val="auto"/>
                <w:kern w:val="0"/>
                <w:szCs w:val="21"/>
                <w:highlight w:val="none"/>
              </w:rPr>
            </w:pPr>
            <w:r>
              <w:rPr>
                <w:rFonts w:ascii="宋体" w:hAnsi="宋体"/>
                <w:snapToGrid w:val="0"/>
                <w:color w:val="auto"/>
                <w:kern w:val="0"/>
                <w:szCs w:val="21"/>
                <w:highlight w:val="none"/>
              </w:rPr>
              <w:t>资格审查文件正本</w:t>
            </w:r>
            <w:r>
              <w:rPr>
                <w:rFonts w:ascii="宋体" w:hAnsi="宋体"/>
                <w:snapToGrid w:val="0"/>
                <w:color w:val="auto"/>
                <w:kern w:val="0"/>
                <w:szCs w:val="21"/>
                <w:highlight w:val="none"/>
                <w:u w:val="single"/>
              </w:rPr>
              <w:t>壹</w:t>
            </w:r>
            <w:r>
              <w:rPr>
                <w:rFonts w:ascii="宋体" w:hAnsi="宋体"/>
                <w:snapToGrid w:val="0"/>
                <w:color w:val="auto"/>
                <w:kern w:val="0"/>
                <w:szCs w:val="21"/>
                <w:highlight w:val="none"/>
              </w:rPr>
              <w:t>份</w:t>
            </w:r>
            <w:r>
              <w:rPr>
                <w:rFonts w:hint="eastAsia" w:ascii="宋体" w:hAnsi="宋体"/>
                <w:snapToGrid w:val="0"/>
                <w:color w:val="auto"/>
                <w:kern w:val="0"/>
                <w:szCs w:val="21"/>
                <w:highlight w:val="none"/>
                <w:lang w:eastAsia="zh-CN"/>
              </w:rPr>
              <w:t>，</w:t>
            </w:r>
            <w:r>
              <w:rPr>
                <w:rFonts w:hint="eastAsia" w:ascii="宋体" w:hAnsi="宋体"/>
                <w:snapToGrid w:val="0"/>
                <w:color w:val="auto"/>
                <w:kern w:val="0"/>
                <w:szCs w:val="21"/>
                <w:highlight w:val="none"/>
                <w:lang w:val="en-US" w:eastAsia="zh-CN"/>
              </w:rPr>
              <w:t>副本</w:t>
            </w:r>
            <w:r>
              <w:rPr>
                <w:rFonts w:hint="eastAsia" w:ascii="宋体" w:hAnsi="宋体"/>
                <w:snapToGrid w:val="0"/>
                <w:color w:val="auto"/>
                <w:kern w:val="0"/>
                <w:szCs w:val="21"/>
                <w:highlight w:val="none"/>
                <w:u w:val="single"/>
                <w:lang w:val="en-US" w:eastAsia="zh-CN"/>
              </w:rPr>
              <w:t>贰</w:t>
            </w:r>
            <w:r>
              <w:rPr>
                <w:rFonts w:hint="eastAsia" w:ascii="宋体" w:hAnsi="宋体"/>
                <w:snapToGrid w:val="0"/>
                <w:color w:val="auto"/>
                <w:kern w:val="0"/>
                <w:szCs w:val="21"/>
                <w:highlight w:val="none"/>
                <w:lang w:val="en-US" w:eastAsia="zh-CN"/>
              </w:rPr>
              <w:t>份；</w:t>
            </w:r>
            <w:r>
              <w:rPr>
                <w:rFonts w:ascii="宋体" w:hAnsi="宋体"/>
                <w:snapToGrid w:val="0"/>
                <w:color w:val="auto"/>
                <w:kern w:val="0"/>
                <w:szCs w:val="21"/>
                <w:highlight w:val="none"/>
              </w:rPr>
              <w:t>商务标文件正本</w:t>
            </w:r>
            <w:r>
              <w:rPr>
                <w:rFonts w:ascii="宋体" w:hAnsi="宋体"/>
                <w:snapToGrid w:val="0"/>
                <w:color w:val="auto"/>
                <w:kern w:val="0"/>
                <w:szCs w:val="21"/>
                <w:highlight w:val="none"/>
                <w:u w:val="single"/>
              </w:rPr>
              <w:t>壹</w:t>
            </w:r>
            <w:r>
              <w:rPr>
                <w:rFonts w:ascii="宋体" w:hAnsi="宋体"/>
                <w:snapToGrid w:val="0"/>
                <w:color w:val="auto"/>
                <w:kern w:val="0"/>
                <w:szCs w:val="21"/>
                <w:highlight w:val="none"/>
              </w:rPr>
              <w:t>份</w:t>
            </w:r>
            <w:r>
              <w:rPr>
                <w:rFonts w:hint="eastAsia" w:ascii="宋体" w:hAnsi="宋体"/>
                <w:snapToGrid w:val="0"/>
                <w:color w:val="auto"/>
                <w:kern w:val="0"/>
                <w:szCs w:val="21"/>
                <w:highlight w:val="none"/>
                <w:lang w:eastAsia="zh-CN"/>
              </w:rPr>
              <w:t>，</w:t>
            </w:r>
            <w:r>
              <w:rPr>
                <w:rFonts w:hint="eastAsia" w:ascii="宋体" w:hAnsi="宋体"/>
                <w:snapToGrid w:val="0"/>
                <w:color w:val="auto"/>
                <w:kern w:val="0"/>
                <w:szCs w:val="21"/>
                <w:highlight w:val="none"/>
                <w:lang w:val="en-US" w:eastAsia="zh-CN"/>
              </w:rPr>
              <w:t>副本</w:t>
            </w:r>
            <w:r>
              <w:rPr>
                <w:rFonts w:hint="eastAsia" w:ascii="宋体" w:hAnsi="宋体"/>
                <w:snapToGrid w:val="0"/>
                <w:color w:val="auto"/>
                <w:kern w:val="0"/>
                <w:szCs w:val="21"/>
                <w:highlight w:val="none"/>
                <w:u w:val="single"/>
                <w:lang w:val="en-US" w:eastAsia="zh-CN"/>
              </w:rPr>
              <w:t>贰</w:t>
            </w:r>
            <w:r>
              <w:rPr>
                <w:rFonts w:hint="eastAsia" w:ascii="宋体" w:hAnsi="宋体"/>
                <w:snapToGrid w:val="0"/>
                <w:color w:val="auto"/>
                <w:kern w:val="0"/>
                <w:szCs w:val="21"/>
                <w:highlight w:val="none"/>
                <w:lang w:val="en-US" w:eastAsia="zh-CN"/>
              </w:rPr>
              <w:t>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5"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18</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21</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投标文件提交地点及截止时间</w:t>
            </w:r>
          </w:p>
        </w:tc>
        <w:tc>
          <w:tcPr>
            <w:tcW w:w="5812" w:type="dxa"/>
            <w:vAlign w:val="center"/>
          </w:tcPr>
          <w:p>
            <w:pPr>
              <w:spacing w:line="440" w:lineRule="exact"/>
              <w:jc w:val="left"/>
              <w:rPr>
                <w:rFonts w:hint="eastAsia" w:ascii="宋体" w:hAnsi="宋体" w:eastAsia="宋体"/>
                <w:color w:val="auto"/>
                <w:szCs w:val="21"/>
                <w:highlight w:val="none"/>
                <w:lang w:eastAsia="zh-CN"/>
              </w:rPr>
            </w:pPr>
            <w:r>
              <w:rPr>
                <w:rFonts w:ascii="宋体" w:hAnsi="宋体"/>
                <w:b/>
                <w:color w:val="auto"/>
                <w:szCs w:val="21"/>
                <w:highlight w:val="none"/>
              </w:rPr>
              <w:t>收件人：</w:t>
            </w:r>
            <w:r>
              <w:rPr>
                <w:rFonts w:hint="eastAsia" w:ascii="宋体" w:hAnsi="宋体"/>
                <w:b/>
                <w:color w:val="auto"/>
                <w:szCs w:val="21"/>
                <w:highlight w:val="none"/>
                <w:lang w:eastAsia="zh-CN"/>
              </w:rPr>
              <w:t>中诚智信工程咨询集团股份有限公司</w:t>
            </w:r>
          </w:p>
          <w:p>
            <w:pPr>
              <w:spacing w:line="440" w:lineRule="exact"/>
              <w:jc w:val="left"/>
              <w:rPr>
                <w:rFonts w:ascii="宋体" w:hAnsi="宋体"/>
                <w:color w:val="auto"/>
                <w:szCs w:val="21"/>
                <w:highlight w:val="none"/>
                <w:u w:val="single"/>
              </w:rPr>
            </w:pPr>
            <w:r>
              <w:rPr>
                <w:rFonts w:ascii="宋体" w:hAnsi="宋体"/>
                <w:b/>
                <w:color w:val="auto"/>
                <w:szCs w:val="21"/>
                <w:highlight w:val="none"/>
              </w:rPr>
              <w:t>截止时间：</w:t>
            </w:r>
            <w:r>
              <w:rPr>
                <w:rFonts w:ascii="宋体" w:hAnsi="宋体"/>
                <w:b/>
                <w:color w:val="auto"/>
                <w:szCs w:val="21"/>
                <w:highlight w:val="none"/>
                <w:u w:val="single"/>
              </w:rPr>
              <w:t>20</w:t>
            </w:r>
            <w:r>
              <w:rPr>
                <w:rFonts w:hint="eastAsia" w:ascii="宋体" w:hAnsi="宋体"/>
                <w:b/>
                <w:color w:val="auto"/>
                <w:szCs w:val="21"/>
                <w:highlight w:val="none"/>
                <w:u w:val="single"/>
              </w:rPr>
              <w:t>23</w:t>
            </w:r>
            <w:r>
              <w:rPr>
                <w:rFonts w:ascii="宋体" w:hAnsi="宋体"/>
                <w:b/>
                <w:color w:val="auto"/>
                <w:szCs w:val="21"/>
                <w:highlight w:val="none"/>
                <w:u w:val="single"/>
              </w:rPr>
              <w:t>年</w:t>
            </w:r>
            <w:r>
              <w:rPr>
                <w:rFonts w:hint="eastAsia" w:ascii="宋体" w:hAnsi="宋体"/>
                <w:b/>
                <w:color w:val="auto"/>
                <w:szCs w:val="21"/>
                <w:highlight w:val="none"/>
                <w:u w:val="single"/>
                <w:lang w:val="en-US" w:eastAsia="zh-CN"/>
              </w:rPr>
              <w:t>10</w:t>
            </w:r>
            <w:r>
              <w:rPr>
                <w:rFonts w:ascii="宋体" w:hAnsi="宋体"/>
                <w:b/>
                <w:color w:val="auto"/>
                <w:szCs w:val="21"/>
                <w:highlight w:val="none"/>
                <w:u w:val="single"/>
              </w:rPr>
              <w:t>月</w:t>
            </w:r>
            <w:r>
              <w:rPr>
                <w:rFonts w:hint="eastAsia" w:ascii="宋体" w:hAnsi="宋体"/>
                <w:b/>
                <w:color w:val="auto"/>
                <w:szCs w:val="21"/>
                <w:highlight w:val="none"/>
                <w:u w:val="single"/>
                <w:lang w:val="en-US" w:eastAsia="zh-CN"/>
              </w:rPr>
              <w:t>16</w:t>
            </w:r>
            <w:r>
              <w:rPr>
                <w:rFonts w:ascii="宋体" w:hAnsi="宋体"/>
                <w:b/>
                <w:color w:val="auto"/>
                <w:szCs w:val="21"/>
                <w:highlight w:val="none"/>
                <w:u w:val="single"/>
              </w:rPr>
              <w:t>日</w:t>
            </w:r>
            <w:r>
              <w:rPr>
                <w:rFonts w:hint="eastAsia" w:ascii="宋体" w:hAnsi="宋体"/>
                <w:b/>
                <w:color w:val="auto"/>
                <w:szCs w:val="21"/>
                <w:highlight w:val="none"/>
                <w:u w:val="single"/>
                <w:lang w:val="en-US" w:eastAsia="zh-CN"/>
              </w:rPr>
              <w:t>9</w:t>
            </w:r>
            <w:r>
              <w:rPr>
                <w:rFonts w:ascii="宋体" w:hAnsi="宋体"/>
                <w:b/>
                <w:color w:val="auto"/>
                <w:szCs w:val="21"/>
                <w:highlight w:val="none"/>
                <w:u w:val="single"/>
              </w:rPr>
              <w:t>时</w:t>
            </w:r>
            <w:r>
              <w:rPr>
                <w:rFonts w:hint="eastAsia" w:ascii="宋体" w:hAnsi="宋体"/>
                <w:b/>
                <w:color w:val="auto"/>
                <w:szCs w:val="21"/>
                <w:highlight w:val="none"/>
                <w:u w:val="single"/>
                <w:lang w:val="en-US" w:eastAsia="zh-CN"/>
              </w:rPr>
              <w:t>3</w:t>
            </w:r>
            <w:r>
              <w:rPr>
                <w:rFonts w:hint="eastAsia" w:ascii="宋体" w:hAnsi="宋体"/>
                <w:b/>
                <w:color w:val="auto"/>
                <w:szCs w:val="21"/>
                <w:highlight w:val="none"/>
                <w:u w:val="single"/>
              </w:rPr>
              <w:t>0</w:t>
            </w:r>
            <w:r>
              <w:rPr>
                <w:rFonts w:ascii="宋体" w:hAnsi="宋体"/>
                <w:b/>
                <w:color w:val="auto"/>
                <w:szCs w:val="21"/>
                <w:highlight w:val="none"/>
                <w:u w:val="single"/>
              </w:rPr>
              <w:t>分</w:t>
            </w:r>
          </w:p>
          <w:p>
            <w:pPr>
              <w:spacing w:line="440" w:lineRule="exact"/>
              <w:jc w:val="left"/>
              <w:rPr>
                <w:rFonts w:ascii="宋体" w:hAnsi="宋体"/>
                <w:color w:val="auto"/>
                <w:szCs w:val="21"/>
                <w:highlight w:val="none"/>
                <w:u w:val="single"/>
              </w:rPr>
            </w:pPr>
            <w:r>
              <w:rPr>
                <w:rFonts w:ascii="宋体" w:hAnsi="宋体"/>
                <w:b/>
                <w:color w:val="auto"/>
                <w:szCs w:val="21"/>
                <w:highlight w:val="none"/>
              </w:rPr>
              <w:t>提交地点：</w:t>
            </w:r>
            <w:r>
              <w:rPr>
                <w:rFonts w:hint="eastAsia" w:ascii="宋体" w:hAnsi="宋体"/>
                <w:b/>
                <w:color w:val="auto"/>
                <w:szCs w:val="21"/>
                <w:highlight w:val="none"/>
                <w:lang w:val="en-US" w:eastAsia="zh-CN"/>
              </w:rPr>
              <w:t>南通市保安服务有限公司六楼会议室(南通市石桥路333号)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5"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19</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24</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开标</w:t>
            </w:r>
          </w:p>
        </w:tc>
        <w:tc>
          <w:tcPr>
            <w:tcW w:w="5812" w:type="dxa"/>
            <w:vAlign w:val="center"/>
          </w:tcPr>
          <w:p>
            <w:pPr>
              <w:spacing w:line="440" w:lineRule="exact"/>
              <w:jc w:val="left"/>
              <w:rPr>
                <w:rFonts w:ascii="宋体" w:hAnsi="宋体"/>
                <w:b/>
                <w:color w:val="auto"/>
                <w:szCs w:val="21"/>
                <w:highlight w:val="none"/>
                <w:u w:val="single"/>
              </w:rPr>
            </w:pPr>
            <w:r>
              <w:rPr>
                <w:rFonts w:ascii="宋体" w:hAnsi="宋体"/>
                <w:b/>
                <w:color w:val="auto"/>
                <w:szCs w:val="21"/>
                <w:highlight w:val="none"/>
              </w:rPr>
              <w:t>开标时间：</w:t>
            </w:r>
            <w:r>
              <w:rPr>
                <w:rFonts w:hint="eastAsia" w:ascii="宋体" w:hAnsi="宋体"/>
                <w:b/>
                <w:color w:val="auto"/>
                <w:szCs w:val="21"/>
                <w:highlight w:val="none"/>
                <w:u w:val="single"/>
              </w:rPr>
              <w:t>同投标文件提交截止时间</w:t>
            </w:r>
          </w:p>
          <w:p>
            <w:pPr>
              <w:spacing w:line="440" w:lineRule="exact"/>
              <w:jc w:val="left"/>
              <w:rPr>
                <w:rFonts w:ascii="宋体" w:hAnsi="宋体"/>
                <w:b/>
                <w:snapToGrid w:val="0"/>
                <w:color w:val="auto"/>
                <w:kern w:val="0"/>
                <w:szCs w:val="21"/>
                <w:highlight w:val="none"/>
              </w:rPr>
            </w:pPr>
            <w:r>
              <w:rPr>
                <w:rFonts w:ascii="宋体" w:hAnsi="宋体"/>
                <w:b/>
                <w:color w:val="auto"/>
                <w:szCs w:val="21"/>
                <w:highlight w:val="none"/>
              </w:rPr>
              <w:t>开标地点：</w:t>
            </w:r>
            <w:r>
              <w:rPr>
                <w:rFonts w:hint="eastAsia" w:ascii="宋体" w:hAnsi="宋体"/>
                <w:b/>
                <w:snapToGrid w:val="0"/>
                <w:color w:val="auto"/>
                <w:kern w:val="0"/>
                <w:szCs w:val="21"/>
                <w:highlight w:val="none"/>
              </w:rPr>
              <w:t>同投标文件提交地点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6"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20</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25</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评标委员会</w:t>
            </w:r>
          </w:p>
        </w:tc>
        <w:tc>
          <w:tcPr>
            <w:tcW w:w="5812" w:type="dxa"/>
            <w:vAlign w:val="center"/>
          </w:tcPr>
          <w:p>
            <w:pPr>
              <w:spacing w:line="440" w:lineRule="exact"/>
              <w:jc w:val="left"/>
              <w:rPr>
                <w:rFonts w:ascii="宋体" w:hAnsi="宋体"/>
                <w:color w:val="auto"/>
                <w:szCs w:val="21"/>
                <w:highlight w:val="none"/>
              </w:rPr>
            </w:pPr>
            <w:r>
              <w:rPr>
                <w:rFonts w:hint="eastAsia" w:ascii="宋体" w:hAnsi="宋体"/>
                <w:snapToGrid w:val="0"/>
                <w:color w:val="auto"/>
                <w:kern w:val="0"/>
                <w:szCs w:val="21"/>
                <w:highlight w:val="none"/>
              </w:rPr>
              <w:t>评标委员会由</w:t>
            </w:r>
            <w:r>
              <w:rPr>
                <w:rFonts w:ascii="宋体" w:hAnsi="宋体"/>
                <w:snapToGrid w:val="0"/>
                <w:color w:val="auto"/>
                <w:kern w:val="0"/>
                <w:szCs w:val="21"/>
                <w:highlight w:val="none"/>
                <w:u w:val="single"/>
              </w:rPr>
              <w:t xml:space="preserve"> 3</w:t>
            </w:r>
            <w:r>
              <w:rPr>
                <w:rFonts w:hint="eastAsia" w:ascii="宋体" w:hAnsi="宋体"/>
                <w:snapToGrid w:val="0"/>
                <w:color w:val="auto"/>
                <w:kern w:val="0"/>
                <w:szCs w:val="21"/>
                <w:highlight w:val="none"/>
                <w:u w:val="single"/>
              </w:rPr>
              <w:t>人或3人以上单数</w:t>
            </w:r>
            <w:r>
              <w:rPr>
                <w:rFonts w:hint="eastAsia" w:ascii="宋体" w:hAnsi="宋体"/>
                <w:snapToGrid w:val="0"/>
                <w:color w:val="auto"/>
                <w:kern w:val="0"/>
                <w:szCs w:val="21"/>
                <w:highlight w:val="none"/>
              </w:rPr>
              <w:t>构成。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jc w:val="center"/>
        </w:trPr>
        <w:tc>
          <w:tcPr>
            <w:tcW w:w="814" w:type="dxa"/>
            <w:vAlign w:val="center"/>
          </w:tcPr>
          <w:p>
            <w:pPr>
              <w:jc w:val="center"/>
              <w:rPr>
                <w:rFonts w:ascii="宋体" w:hAnsi="宋体"/>
                <w:color w:val="auto"/>
                <w:szCs w:val="21"/>
                <w:highlight w:val="none"/>
              </w:rPr>
            </w:pPr>
            <w:r>
              <w:rPr>
                <w:rFonts w:ascii="宋体" w:hAnsi="宋体"/>
                <w:color w:val="auto"/>
                <w:szCs w:val="21"/>
                <w:highlight w:val="none"/>
              </w:rPr>
              <w:t>21</w:t>
            </w:r>
          </w:p>
        </w:tc>
        <w:tc>
          <w:tcPr>
            <w:tcW w:w="992" w:type="dxa"/>
            <w:vAlign w:val="center"/>
          </w:tcPr>
          <w:p>
            <w:pPr>
              <w:jc w:val="center"/>
              <w:rPr>
                <w:rFonts w:ascii="宋体" w:hAnsi="宋体"/>
                <w:color w:val="auto"/>
                <w:szCs w:val="21"/>
                <w:highlight w:val="none"/>
              </w:rPr>
            </w:pPr>
            <w:r>
              <w:rPr>
                <w:rFonts w:ascii="宋体" w:hAnsi="宋体"/>
                <w:color w:val="auto"/>
                <w:szCs w:val="21"/>
                <w:highlight w:val="none"/>
              </w:rPr>
              <w:t>35</w:t>
            </w:r>
          </w:p>
        </w:tc>
        <w:tc>
          <w:tcPr>
            <w:tcW w:w="1843" w:type="dxa"/>
            <w:vAlign w:val="center"/>
          </w:tcPr>
          <w:p>
            <w:pPr>
              <w:jc w:val="center"/>
              <w:rPr>
                <w:rFonts w:ascii="宋体" w:hAnsi="宋体"/>
                <w:color w:val="auto"/>
                <w:szCs w:val="21"/>
                <w:highlight w:val="none"/>
              </w:rPr>
            </w:pPr>
            <w:r>
              <w:rPr>
                <w:rFonts w:ascii="宋体" w:hAnsi="宋体"/>
                <w:color w:val="auto"/>
                <w:szCs w:val="21"/>
                <w:highlight w:val="none"/>
              </w:rPr>
              <w:t>履约担保金额</w:t>
            </w:r>
          </w:p>
        </w:tc>
        <w:tc>
          <w:tcPr>
            <w:tcW w:w="5812" w:type="dxa"/>
            <w:vAlign w:val="center"/>
          </w:tcPr>
          <w:p>
            <w:pPr>
              <w:spacing w:line="440" w:lineRule="exact"/>
              <w:jc w:val="left"/>
              <w:rPr>
                <w:rFonts w:ascii="宋体" w:hAnsi="宋体"/>
                <w:color w:val="auto"/>
                <w:szCs w:val="21"/>
                <w:highlight w:val="none"/>
              </w:rPr>
            </w:pPr>
            <w:r>
              <w:rPr>
                <w:rFonts w:hint="eastAsia" w:ascii="宋体" w:hAnsi="宋体"/>
                <w:color w:val="auto"/>
                <w:szCs w:val="21"/>
                <w:highlight w:val="none"/>
              </w:rPr>
              <w:t>投标人提供的履约保证金为合同价的10%；投标人在收到中标通知书后，须在</w:t>
            </w:r>
            <w:r>
              <w:rPr>
                <w:rFonts w:hint="eastAsia" w:ascii="宋体" w:hAnsi="宋体"/>
                <w:color w:val="auto"/>
                <w:szCs w:val="21"/>
                <w:highlight w:val="none"/>
                <w:lang w:val="en-US" w:eastAsia="zh-CN"/>
              </w:rPr>
              <w:t>3</w:t>
            </w:r>
            <w:r>
              <w:rPr>
                <w:rFonts w:hint="eastAsia" w:ascii="宋体" w:hAnsi="宋体"/>
                <w:color w:val="auto"/>
                <w:szCs w:val="21"/>
                <w:highlight w:val="none"/>
              </w:rPr>
              <w:t xml:space="preserve"> 日内向招标人足额提交履约保证金，否则招标人可以取消其中标资格。</w:t>
            </w:r>
            <w:r>
              <w:rPr>
                <w:rFonts w:ascii="宋体" w:hAnsi="宋体"/>
                <w:color w:val="auto"/>
                <w:szCs w:val="21"/>
                <w:highlight w:val="none"/>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36" w:hRule="atLeast"/>
          <w:jc w:val="center"/>
        </w:trPr>
        <w:tc>
          <w:tcPr>
            <w:tcW w:w="814" w:type="dxa"/>
            <w:tcBorders>
              <w:left w:val="single" w:color="auto" w:sz="4" w:space="0"/>
              <w:bottom w:val="single" w:color="auto" w:sz="4" w:space="0"/>
              <w:right w:val="single" w:color="auto" w:sz="4" w:space="0"/>
            </w:tcBorders>
            <w:vAlign w:val="center"/>
          </w:tcPr>
          <w:p>
            <w:pPr>
              <w:jc w:val="center"/>
              <w:rPr>
                <w:rFonts w:ascii="宋体" w:hAnsi="宋体"/>
                <w:color w:val="auto"/>
                <w:szCs w:val="21"/>
                <w:highlight w:val="none"/>
              </w:rPr>
            </w:pPr>
            <w:r>
              <w:rPr>
                <w:rFonts w:ascii="宋体" w:hAnsi="宋体"/>
                <w:color w:val="auto"/>
                <w:szCs w:val="21"/>
                <w:highlight w:val="none"/>
              </w:rPr>
              <w:t>22</w:t>
            </w:r>
          </w:p>
        </w:tc>
        <w:tc>
          <w:tcPr>
            <w:tcW w:w="2835" w:type="dxa"/>
            <w:gridSpan w:val="2"/>
            <w:tcBorders>
              <w:left w:val="single" w:color="auto" w:sz="4" w:space="0"/>
              <w:bottom w:val="single" w:color="auto" w:sz="4" w:space="0"/>
              <w:right w:val="single" w:color="auto" w:sz="4" w:space="0"/>
            </w:tcBorders>
            <w:vAlign w:val="center"/>
          </w:tcPr>
          <w:p>
            <w:pPr>
              <w:jc w:val="center"/>
              <w:rPr>
                <w:rFonts w:ascii="宋体" w:hAnsi="宋体"/>
                <w:color w:val="auto"/>
                <w:szCs w:val="21"/>
                <w:highlight w:val="none"/>
              </w:rPr>
            </w:pPr>
            <w:r>
              <w:rPr>
                <w:rFonts w:ascii="宋体" w:hAnsi="宋体"/>
                <w:color w:val="auto"/>
                <w:szCs w:val="21"/>
                <w:highlight w:val="none"/>
              </w:rPr>
              <w:t>招标单位</w:t>
            </w:r>
          </w:p>
        </w:tc>
        <w:tc>
          <w:tcPr>
            <w:tcW w:w="5812" w:type="dxa"/>
            <w:tcBorders>
              <w:top w:val="single" w:color="auto" w:sz="4" w:space="0"/>
              <w:left w:val="single" w:color="auto" w:sz="4" w:space="0"/>
              <w:bottom w:val="single" w:color="auto" w:sz="4" w:space="0"/>
              <w:right w:val="single" w:color="auto" w:sz="4" w:space="0"/>
            </w:tcBorders>
            <w:vAlign w:val="center"/>
          </w:tcPr>
          <w:p>
            <w:pPr>
              <w:adjustRightInd w:val="0"/>
              <w:spacing w:line="440" w:lineRule="exact"/>
              <w:jc w:val="left"/>
              <w:rPr>
                <w:rFonts w:ascii="宋体" w:hAnsi="宋体"/>
                <w:color w:val="auto"/>
                <w:szCs w:val="21"/>
                <w:highlight w:val="none"/>
              </w:rPr>
            </w:pPr>
            <w:r>
              <w:rPr>
                <w:rFonts w:hint="eastAsia" w:ascii="宋体" w:hAnsi="宋体"/>
                <w:color w:val="auto"/>
                <w:szCs w:val="21"/>
                <w:highlight w:val="none"/>
              </w:rPr>
              <w:t>单位名称：</w:t>
            </w:r>
            <w:r>
              <w:rPr>
                <w:rFonts w:hint="eastAsia" w:ascii="宋体" w:hAnsi="宋体"/>
                <w:color w:val="auto"/>
                <w:szCs w:val="21"/>
                <w:highlight w:val="none"/>
                <w:lang w:eastAsia="zh-CN"/>
              </w:rPr>
              <w:t>南通市保安服务有限公司</w:t>
            </w:r>
            <w:r>
              <w:rPr>
                <w:rFonts w:hint="eastAsia" w:ascii="宋体" w:hAnsi="宋体"/>
                <w:color w:val="auto"/>
                <w:szCs w:val="21"/>
                <w:highlight w:val="none"/>
              </w:rPr>
              <w:t xml:space="preserve"> </w:t>
            </w:r>
          </w:p>
          <w:p>
            <w:pPr>
              <w:adjustRightInd w:val="0"/>
              <w:spacing w:line="440" w:lineRule="exact"/>
              <w:jc w:val="left"/>
              <w:rPr>
                <w:rFonts w:hint="eastAsia" w:ascii="宋体" w:hAnsi="宋体" w:eastAsia="宋体"/>
                <w:color w:val="auto"/>
                <w:szCs w:val="21"/>
                <w:highlight w:val="none"/>
                <w:lang w:eastAsia="zh-CN"/>
              </w:rPr>
            </w:pPr>
            <w:r>
              <w:rPr>
                <w:rFonts w:hint="eastAsia" w:ascii="宋体" w:hAnsi="宋体"/>
                <w:color w:val="auto"/>
                <w:szCs w:val="21"/>
                <w:highlight w:val="none"/>
              </w:rPr>
              <w:t>联 系 人：</w:t>
            </w:r>
            <w:r>
              <w:rPr>
                <w:rFonts w:hint="eastAsia" w:ascii="宋体" w:hAnsi="宋体"/>
                <w:color w:val="auto"/>
                <w:szCs w:val="21"/>
                <w:highlight w:val="none"/>
                <w:lang w:val="en-US" w:eastAsia="zh-CN"/>
              </w:rPr>
              <w:t>徐雷</w:t>
            </w:r>
          </w:p>
          <w:p>
            <w:pPr>
              <w:adjustRightInd w:val="0"/>
              <w:spacing w:line="440" w:lineRule="exact"/>
              <w:jc w:val="left"/>
              <w:rPr>
                <w:rFonts w:ascii="宋体" w:hAnsi="宋体"/>
                <w:color w:val="auto"/>
                <w:szCs w:val="21"/>
                <w:highlight w:val="none"/>
              </w:rPr>
            </w:pPr>
            <w:r>
              <w:rPr>
                <w:rFonts w:hint="eastAsia" w:ascii="宋体" w:hAnsi="宋体"/>
                <w:color w:val="auto"/>
                <w:szCs w:val="21"/>
                <w:highlight w:val="none"/>
              </w:rPr>
              <w:t>联系电话：0513</w:t>
            </w:r>
            <w:r>
              <w:rPr>
                <w:rFonts w:hint="eastAsia" w:ascii="宋体" w:hAnsi="宋体"/>
                <w:color w:val="auto"/>
                <w:szCs w:val="21"/>
                <w:highlight w:val="none"/>
                <w:lang w:val="en-US" w:eastAsia="zh-CN"/>
              </w:rPr>
              <w:t>-</w:t>
            </w:r>
            <w:r>
              <w:rPr>
                <w:rFonts w:hint="eastAsia" w:ascii="宋体" w:hAnsi="宋体"/>
                <w:color w:val="auto"/>
                <w:szCs w:val="21"/>
                <w:highlight w:val="none"/>
              </w:rPr>
              <w:t>80219010</w:t>
            </w:r>
            <w:r>
              <w:rPr>
                <w:rFonts w:hint="eastAsia" w:ascii="宋体" w:hAnsi="宋体"/>
                <w:color w:val="auto"/>
                <w:szCs w:val="21"/>
                <w:highlight w:val="none"/>
                <w:lang w:val="en-US" w:eastAsia="zh-CN"/>
              </w:rPr>
              <w:t>/83533190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61" w:hRule="atLeast"/>
          <w:jc w:val="center"/>
        </w:trPr>
        <w:tc>
          <w:tcPr>
            <w:tcW w:w="814" w:type="dxa"/>
            <w:tcBorders>
              <w:left w:val="single" w:color="auto" w:sz="4" w:space="0"/>
              <w:bottom w:val="single" w:color="auto" w:sz="4" w:space="0"/>
              <w:right w:val="single" w:color="auto" w:sz="4" w:space="0"/>
            </w:tcBorders>
            <w:vAlign w:val="center"/>
          </w:tcPr>
          <w:p>
            <w:pPr>
              <w:jc w:val="center"/>
              <w:rPr>
                <w:rFonts w:ascii="宋体" w:hAnsi="宋体"/>
                <w:color w:val="auto"/>
                <w:szCs w:val="21"/>
                <w:highlight w:val="none"/>
              </w:rPr>
            </w:pPr>
            <w:r>
              <w:rPr>
                <w:rFonts w:ascii="宋体" w:hAnsi="宋体"/>
                <w:color w:val="auto"/>
                <w:szCs w:val="21"/>
                <w:highlight w:val="none"/>
              </w:rPr>
              <w:t>23</w:t>
            </w:r>
          </w:p>
        </w:tc>
        <w:tc>
          <w:tcPr>
            <w:tcW w:w="2835" w:type="dxa"/>
            <w:gridSpan w:val="2"/>
            <w:tcBorders>
              <w:left w:val="single" w:color="auto" w:sz="4" w:space="0"/>
              <w:bottom w:val="single" w:color="auto" w:sz="4" w:space="0"/>
              <w:right w:val="single" w:color="auto" w:sz="4" w:space="0"/>
            </w:tcBorders>
            <w:vAlign w:val="center"/>
          </w:tcPr>
          <w:p>
            <w:pPr>
              <w:jc w:val="center"/>
              <w:rPr>
                <w:rFonts w:ascii="宋体" w:hAnsi="宋体"/>
                <w:color w:val="auto"/>
                <w:szCs w:val="21"/>
                <w:highlight w:val="none"/>
              </w:rPr>
            </w:pPr>
            <w:r>
              <w:rPr>
                <w:rFonts w:ascii="宋体" w:hAnsi="宋体"/>
                <w:color w:val="auto"/>
                <w:szCs w:val="21"/>
                <w:highlight w:val="none"/>
              </w:rPr>
              <w:t>招标代理单位</w:t>
            </w:r>
          </w:p>
        </w:tc>
        <w:tc>
          <w:tcPr>
            <w:tcW w:w="5812" w:type="dxa"/>
            <w:tcBorders>
              <w:top w:val="single" w:color="auto" w:sz="4" w:space="0"/>
              <w:left w:val="single" w:color="auto" w:sz="4" w:space="0"/>
              <w:bottom w:val="single" w:color="auto" w:sz="4" w:space="0"/>
              <w:right w:val="single" w:color="auto" w:sz="4" w:space="0"/>
            </w:tcBorders>
            <w:vAlign w:val="center"/>
          </w:tcPr>
          <w:p>
            <w:pPr>
              <w:adjustRightInd w:val="0"/>
              <w:spacing w:line="440" w:lineRule="exact"/>
              <w:jc w:val="left"/>
              <w:rPr>
                <w:rFonts w:hint="eastAsia" w:ascii="宋体" w:hAnsi="宋体" w:eastAsia="宋体"/>
                <w:b w:val="0"/>
                <w:bCs/>
                <w:color w:val="auto"/>
                <w:szCs w:val="21"/>
                <w:highlight w:val="none"/>
                <w:lang w:eastAsia="zh-CN"/>
              </w:rPr>
            </w:pPr>
            <w:r>
              <w:rPr>
                <w:rFonts w:hint="eastAsia" w:ascii="宋体" w:hAnsi="宋体"/>
                <w:color w:val="auto"/>
                <w:szCs w:val="21"/>
                <w:highlight w:val="none"/>
              </w:rPr>
              <w:t>招标代理单位名称：</w:t>
            </w:r>
            <w:r>
              <w:rPr>
                <w:rFonts w:hint="eastAsia" w:ascii="宋体" w:hAnsi="宋体"/>
                <w:b w:val="0"/>
                <w:bCs/>
                <w:color w:val="auto"/>
                <w:szCs w:val="21"/>
                <w:highlight w:val="none"/>
                <w:lang w:eastAsia="zh-CN"/>
              </w:rPr>
              <w:t>中诚智信工程咨询集团股份有限公司</w:t>
            </w:r>
          </w:p>
          <w:p>
            <w:pPr>
              <w:adjustRightInd w:val="0"/>
              <w:spacing w:line="440" w:lineRule="exact"/>
              <w:jc w:val="left"/>
              <w:rPr>
                <w:rFonts w:hint="eastAsia" w:ascii="宋体" w:hAnsi="宋体"/>
                <w:color w:val="auto"/>
                <w:szCs w:val="21"/>
                <w:highlight w:val="none"/>
                <w:lang w:val="en-US" w:eastAsia="zh-CN"/>
              </w:rPr>
            </w:pPr>
            <w:r>
              <w:rPr>
                <w:rFonts w:hint="eastAsia" w:ascii="宋体" w:hAnsi="宋体"/>
                <w:color w:val="auto"/>
                <w:szCs w:val="21"/>
                <w:highlight w:val="none"/>
              </w:rPr>
              <w:t>地    址：</w:t>
            </w:r>
            <w:r>
              <w:rPr>
                <w:rFonts w:hint="eastAsia" w:ascii="宋体" w:hAnsi="宋体"/>
                <w:color w:val="auto"/>
                <w:szCs w:val="21"/>
                <w:highlight w:val="none"/>
                <w:lang w:eastAsia="zh-CN"/>
              </w:rPr>
              <w:t>南通市</w:t>
            </w:r>
            <w:r>
              <w:rPr>
                <w:rFonts w:hint="eastAsia" w:ascii="宋体" w:hAnsi="宋体"/>
                <w:color w:val="auto"/>
                <w:szCs w:val="21"/>
                <w:highlight w:val="none"/>
                <w:lang w:val="en-US" w:eastAsia="zh-CN"/>
              </w:rPr>
              <w:t>恒隆国际B座801</w:t>
            </w:r>
          </w:p>
          <w:p>
            <w:pPr>
              <w:adjustRightInd w:val="0"/>
              <w:spacing w:line="440" w:lineRule="exact"/>
              <w:jc w:val="left"/>
              <w:rPr>
                <w:rFonts w:hint="eastAsia" w:ascii="宋体" w:hAnsi="宋体"/>
                <w:color w:val="auto"/>
                <w:szCs w:val="21"/>
                <w:highlight w:val="none"/>
                <w:lang w:val="en-US" w:eastAsia="zh-CN"/>
              </w:rPr>
            </w:pPr>
            <w:r>
              <w:rPr>
                <w:rFonts w:hint="eastAsia" w:ascii="宋体" w:hAnsi="宋体"/>
                <w:color w:val="auto"/>
                <w:szCs w:val="21"/>
                <w:highlight w:val="none"/>
                <w:lang w:eastAsia="zh-CN"/>
              </w:rPr>
              <w:t>联</w:t>
            </w:r>
            <w:r>
              <w:rPr>
                <w:rFonts w:hint="eastAsia" w:ascii="宋体" w:hAnsi="宋体"/>
                <w:color w:val="auto"/>
                <w:szCs w:val="21"/>
                <w:highlight w:val="none"/>
                <w:lang w:val="en-US" w:eastAsia="zh-CN"/>
              </w:rPr>
              <w:t xml:space="preserve"> </w:t>
            </w:r>
            <w:r>
              <w:rPr>
                <w:rFonts w:hint="eastAsia" w:ascii="宋体" w:hAnsi="宋体"/>
                <w:color w:val="auto"/>
                <w:szCs w:val="21"/>
                <w:highlight w:val="none"/>
                <w:lang w:eastAsia="zh-CN"/>
              </w:rPr>
              <w:t>系</w:t>
            </w:r>
            <w:r>
              <w:rPr>
                <w:rFonts w:hint="eastAsia" w:ascii="宋体" w:hAnsi="宋体"/>
                <w:color w:val="auto"/>
                <w:szCs w:val="21"/>
                <w:highlight w:val="none"/>
                <w:lang w:val="en-US" w:eastAsia="zh-CN"/>
              </w:rPr>
              <w:t xml:space="preserve"> </w:t>
            </w:r>
            <w:r>
              <w:rPr>
                <w:rFonts w:hint="eastAsia" w:ascii="宋体" w:hAnsi="宋体"/>
                <w:color w:val="auto"/>
                <w:szCs w:val="21"/>
                <w:highlight w:val="none"/>
                <w:lang w:eastAsia="zh-CN"/>
              </w:rPr>
              <w:t>人：</w:t>
            </w:r>
            <w:r>
              <w:rPr>
                <w:rFonts w:hint="eastAsia" w:ascii="宋体" w:hAnsi="宋体"/>
                <w:color w:val="auto"/>
                <w:szCs w:val="21"/>
                <w:highlight w:val="none"/>
                <w:lang w:val="en-US" w:eastAsia="zh-CN"/>
              </w:rPr>
              <w:t xml:space="preserve">单舒    </w:t>
            </w:r>
          </w:p>
          <w:p>
            <w:pPr>
              <w:adjustRightInd w:val="0"/>
              <w:spacing w:line="440" w:lineRule="exact"/>
              <w:jc w:val="left"/>
              <w:rPr>
                <w:rFonts w:hint="eastAsia" w:ascii="宋体" w:hAnsi="宋体"/>
                <w:color w:val="auto"/>
                <w:szCs w:val="21"/>
                <w:highlight w:val="none"/>
                <w:lang w:val="en-US" w:eastAsia="zh-CN"/>
              </w:rPr>
            </w:pPr>
            <w:r>
              <w:rPr>
                <w:rFonts w:hint="eastAsia" w:ascii="宋体" w:hAnsi="宋体"/>
                <w:color w:val="auto"/>
                <w:szCs w:val="21"/>
                <w:highlight w:val="none"/>
                <w:lang w:eastAsia="zh-CN"/>
              </w:rPr>
              <w:t>联系方式：</w:t>
            </w:r>
            <w:r>
              <w:rPr>
                <w:rFonts w:hint="eastAsia" w:ascii="宋体" w:hAnsi="宋体"/>
                <w:color w:val="auto"/>
                <w:szCs w:val="21"/>
                <w:highlight w:val="none"/>
                <w:lang w:val="en-US" w:eastAsia="zh-CN"/>
              </w:rPr>
              <w:t>0513-85980007/13328094029</w:t>
            </w:r>
          </w:p>
          <w:p>
            <w:pPr>
              <w:adjustRightInd w:val="0"/>
              <w:spacing w:line="440" w:lineRule="exact"/>
              <w:jc w:val="left"/>
              <w:rPr>
                <w:rFonts w:ascii="宋体" w:hAnsi="宋体"/>
                <w:color w:val="auto"/>
                <w:szCs w:val="21"/>
                <w:highlight w:val="none"/>
              </w:rPr>
            </w:pPr>
            <w:r>
              <w:rPr>
                <w:rFonts w:hint="eastAsia" w:ascii="宋体" w:hAnsi="宋体"/>
                <w:color w:val="auto"/>
                <w:szCs w:val="21"/>
                <w:highlight w:val="none"/>
                <w:lang w:val="en-US" w:eastAsia="zh-CN"/>
              </w:rPr>
              <w:t>邮    箱：1010491310@qq.com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2" w:hRule="atLeast"/>
          <w:jc w:val="center"/>
        </w:trPr>
        <w:tc>
          <w:tcPr>
            <w:tcW w:w="814" w:type="dxa"/>
            <w:tcBorders>
              <w:left w:val="single" w:color="auto" w:sz="4" w:space="0"/>
              <w:right w:val="single" w:color="auto" w:sz="4" w:space="0"/>
            </w:tcBorders>
            <w:vAlign w:val="center"/>
          </w:tcPr>
          <w:p>
            <w:pPr>
              <w:jc w:val="center"/>
              <w:rPr>
                <w:rFonts w:ascii="宋体" w:hAnsi="宋体"/>
                <w:color w:val="auto"/>
                <w:szCs w:val="21"/>
                <w:highlight w:val="none"/>
              </w:rPr>
            </w:pPr>
            <w:r>
              <w:rPr>
                <w:rFonts w:ascii="宋体" w:hAnsi="宋体"/>
                <w:color w:val="auto"/>
                <w:szCs w:val="21"/>
                <w:highlight w:val="none"/>
              </w:rPr>
              <w:t>24</w:t>
            </w:r>
          </w:p>
        </w:tc>
        <w:tc>
          <w:tcPr>
            <w:tcW w:w="8647" w:type="dxa"/>
            <w:gridSpan w:val="3"/>
            <w:tcBorders>
              <w:left w:val="single" w:color="auto" w:sz="4" w:space="0"/>
              <w:right w:val="single" w:color="auto" w:sz="4" w:space="0"/>
            </w:tcBorders>
            <w:vAlign w:val="center"/>
          </w:tcPr>
          <w:p>
            <w:pPr>
              <w:numPr>
                <w:ilvl w:val="0"/>
                <w:numId w:val="0"/>
              </w:numPr>
              <w:spacing w:line="360" w:lineRule="auto"/>
              <w:ind w:firstLine="482" w:firstLineChars="200"/>
              <w:jc w:val="left"/>
              <w:rPr>
                <w:rFonts w:hint="default" w:ascii="宋体" w:hAnsi="宋体" w:eastAsia="宋体" w:cs="Times New Roman"/>
                <w:b/>
                <w:snapToGrid w:val="0"/>
                <w:color w:val="auto"/>
                <w:kern w:val="0"/>
                <w:sz w:val="24"/>
                <w:highlight w:val="none"/>
                <w:lang w:val="en-US" w:eastAsia="zh-CN"/>
              </w:rPr>
            </w:pPr>
            <w:r>
              <w:rPr>
                <w:rFonts w:hint="default" w:ascii="宋体" w:hAnsi="宋体" w:eastAsia="宋体" w:cs="Times New Roman"/>
                <w:b/>
                <w:snapToGrid w:val="0"/>
                <w:color w:val="auto"/>
                <w:kern w:val="0"/>
                <w:sz w:val="24"/>
                <w:highlight w:val="none"/>
                <w:lang w:val="en-US" w:eastAsia="zh-CN"/>
              </w:rPr>
              <w:t>本项目中标人在领取中标通知书的同时，须向招标代理单位一次性支付</w:t>
            </w:r>
            <w:r>
              <w:rPr>
                <w:rFonts w:hint="eastAsia" w:ascii="宋体" w:hAnsi="宋体" w:cs="Times New Roman"/>
                <w:b/>
                <w:snapToGrid w:val="0"/>
                <w:color w:val="auto"/>
                <w:kern w:val="0"/>
                <w:sz w:val="24"/>
                <w:highlight w:val="none"/>
                <w:lang w:val="en-US" w:eastAsia="zh-CN"/>
              </w:rPr>
              <w:t>招标代理费2500元及</w:t>
            </w:r>
            <w:r>
              <w:rPr>
                <w:rFonts w:hint="eastAsia" w:ascii="宋体" w:hAnsi="宋体" w:eastAsia="宋体" w:cs="Times New Roman"/>
                <w:b/>
                <w:snapToGrid w:val="0"/>
                <w:color w:val="auto"/>
                <w:kern w:val="0"/>
                <w:sz w:val="24"/>
                <w:highlight w:val="none"/>
                <w:lang w:val="en-US" w:eastAsia="zh-CN"/>
              </w:rPr>
              <w:t>评审费，</w:t>
            </w:r>
            <w:r>
              <w:rPr>
                <w:rFonts w:hint="eastAsia" w:ascii="宋体" w:hAnsi="宋体" w:cs="Times New Roman"/>
                <w:b/>
                <w:snapToGrid w:val="0"/>
                <w:color w:val="auto"/>
                <w:kern w:val="0"/>
                <w:sz w:val="24"/>
                <w:highlight w:val="none"/>
                <w:lang w:val="en-US" w:eastAsia="zh-CN"/>
              </w:rPr>
              <w:t>评审费按时结算，</w:t>
            </w:r>
            <w:r>
              <w:rPr>
                <w:rFonts w:hint="default" w:ascii="宋体" w:hAnsi="宋体" w:eastAsia="宋体" w:cs="Times New Roman"/>
                <w:b/>
                <w:snapToGrid w:val="0"/>
                <w:color w:val="auto"/>
                <w:kern w:val="0"/>
                <w:sz w:val="24"/>
                <w:highlight w:val="none"/>
                <w:lang w:val="en-US" w:eastAsia="zh-CN"/>
              </w:rPr>
              <w:t>否则取消</w:t>
            </w:r>
            <w:r>
              <w:rPr>
                <w:rFonts w:hint="eastAsia" w:ascii="宋体" w:hAnsi="宋体" w:cs="Times New Roman"/>
                <w:b/>
                <w:snapToGrid w:val="0"/>
                <w:color w:val="auto"/>
                <w:kern w:val="0"/>
                <w:sz w:val="24"/>
                <w:highlight w:val="none"/>
                <w:lang w:val="en-US" w:eastAsia="zh-CN"/>
              </w:rPr>
              <w:t>中标资格。</w:t>
            </w:r>
          </w:p>
          <w:p>
            <w:pPr>
              <w:ind w:firstLine="482" w:firstLineChars="200"/>
              <w:rPr>
                <w:rFonts w:ascii="宋体" w:hAnsi="宋体"/>
                <w:b/>
                <w:bCs/>
                <w:color w:val="auto"/>
                <w:szCs w:val="21"/>
                <w:highlight w:val="none"/>
              </w:rPr>
            </w:pPr>
            <w:r>
              <w:rPr>
                <w:rFonts w:hint="eastAsia" w:ascii="宋体" w:hAnsi="宋体" w:eastAsia="宋体" w:cs="Times New Roman"/>
                <w:b/>
                <w:snapToGrid w:val="0"/>
                <w:color w:val="auto"/>
                <w:kern w:val="0"/>
                <w:sz w:val="24"/>
                <w:highlight w:val="none"/>
                <w:lang w:val="en-US" w:eastAsia="zh-CN"/>
              </w:rPr>
              <w:t>本项目</w:t>
            </w:r>
            <w:r>
              <w:rPr>
                <w:rFonts w:hint="default" w:ascii="宋体" w:hAnsi="宋体" w:eastAsia="宋体" w:cs="Times New Roman"/>
                <w:b/>
                <w:snapToGrid w:val="0"/>
                <w:color w:val="auto"/>
                <w:kern w:val="0"/>
                <w:sz w:val="24"/>
                <w:highlight w:val="none"/>
                <w:lang w:val="en-US" w:eastAsia="zh-CN"/>
              </w:rPr>
              <w:t>标底</w:t>
            </w:r>
            <w:r>
              <w:rPr>
                <w:rFonts w:hint="eastAsia" w:ascii="宋体" w:hAnsi="宋体" w:eastAsia="宋体" w:cs="Times New Roman"/>
                <w:b/>
                <w:snapToGrid w:val="0"/>
                <w:color w:val="auto"/>
                <w:kern w:val="0"/>
                <w:sz w:val="24"/>
                <w:highlight w:val="none"/>
                <w:lang w:val="en-US" w:eastAsia="zh-CN"/>
              </w:rPr>
              <w:t>编制费1500元、审标费用1500元。</w:t>
            </w:r>
            <w:r>
              <w:rPr>
                <w:rFonts w:hint="default" w:ascii="宋体" w:hAnsi="宋体" w:eastAsia="宋体" w:cs="Times New Roman"/>
                <w:b/>
                <w:snapToGrid w:val="0"/>
                <w:color w:val="auto"/>
                <w:kern w:val="0"/>
                <w:sz w:val="24"/>
                <w:highlight w:val="none"/>
                <w:lang w:val="en-US" w:eastAsia="zh-CN"/>
              </w:rPr>
              <w:t>投标人在报价时一并考虑，招标人不再另行支付任何费用。</w:t>
            </w:r>
          </w:p>
        </w:tc>
      </w:tr>
    </w:tbl>
    <w:p>
      <w:pPr>
        <w:pStyle w:val="4"/>
        <w:rPr>
          <w:rFonts w:ascii="Times New Roman" w:hAnsi="宋体" w:eastAsia="宋体"/>
          <w:color w:val="auto"/>
          <w:sz w:val="30"/>
          <w:highlight w:val="none"/>
        </w:rPr>
      </w:pPr>
      <w:bookmarkStart w:id="15" w:name="_Toc380681232"/>
      <w:bookmarkStart w:id="16" w:name="_Toc380680180"/>
      <w:bookmarkStart w:id="17" w:name="_Toc380681013"/>
      <w:bookmarkStart w:id="18" w:name="_Toc380680820"/>
    </w:p>
    <w:p>
      <w:pPr>
        <w:pStyle w:val="4"/>
        <w:jc w:val="center"/>
        <w:rPr>
          <w:rFonts w:ascii="Times New Roman" w:hAnsi="宋体" w:eastAsia="宋体"/>
          <w:color w:val="auto"/>
          <w:sz w:val="30"/>
          <w:highlight w:val="none"/>
        </w:rPr>
        <w:sectPr>
          <w:footerReference r:id="rId6" w:type="default"/>
          <w:pgSz w:w="11906" w:h="16838"/>
          <w:pgMar w:top="1440" w:right="1519" w:bottom="1440" w:left="1519" w:header="851" w:footer="992" w:gutter="0"/>
          <w:pgNumType w:start="1"/>
          <w:cols w:space="425" w:num="1"/>
          <w:docGrid w:type="lines" w:linePitch="312" w:charSpace="0"/>
        </w:sectPr>
      </w:pPr>
    </w:p>
    <w:p>
      <w:pPr>
        <w:pStyle w:val="4"/>
        <w:jc w:val="center"/>
        <w:rPr>
          <w:rFonts w:ascii="Times New Roman" w:hAnsi="Times New Roman" w:eastAsia="宋体"/>
          <w:color w:val="auto"/>
          <w:sz w:val="30"/>
          <w:highlight w:val="none"/>
        </w:rPr>
      </w:pPr>
      <w:r>
        <w:rPr>
          <w:rFonts w:ascii="Times New Roman" w:hAnsi="宋体" w:eastAsia="宋体"/>
          <w:color w:val="auto"/>
          <w:sz w:val="30"/>
          <w:highlight w:val="none"/>
        </w:rPr>
        <w:t>二、投标须知</w:t>
      </w:r>
      <w:bookmarkEnd w:id="15"/>
      <w:bookmarkEnd w:id="16"/>
      <w:bookmarkEnd w:id="17"/>
      <w:bookmarkEnd w:id="18"/>
    </w:p>
    <w:p>
      <w:pPr>
        <w:pStyle w:val="4"/>
        <w:jc w:val="center"/>
        <w:rPr>
          <w:rFonts w:ascii="Times New Roman" w:hAnsi="Times New Roman" w:eastAsia="宋体"/>
          <w:color w:val="auto"/>
          <w:sz w:val="24"/>
          <w:szCs w:val="24"/>
          <w:highlight w:val="none"/>
        </w:rPr>
      </w:pPr>
      <w:bookmarkStart w:id="19" w:name="_Toc380681014"/>
      <w:bookmarkStart w:id="20" w:name="_Toc380680821"/>
      <w:bookmarkStart w:id="21" w:name="_Toc380680181"/>
      <w:bookmarkStart w:id="22" w:name="_Toc286661158"/>
      <w:bookmarkStart w:id="23" w:name="_Toc380681233"/>
      <w:r>
        <w:rPr>
          <w:rFonts w:ascii="Times New Roman" w:hAnsi="宋体" w:eastAsia="宋体"/>
          <w:color w:val="auto"/>
          <w:sz w:val="24"/>
          <w:szCs w:val="24"/>
          <w:highlight w:val="none"/>
        </w:rPr>
        <w:t>（一）总则</w:t>
      </w:r>
      <w:bookmarkEnd w:id="19"/>
      <w:bookmarkEnd w:id="20"/>
      <w:bookmarkEnd w:id="21"/>
      <w:bookmarkEnd w:id="22"/>
      <w:bookmarkEnd w:id="23"/>
    </w:p>
    <w:p>
      <w:pPr>
        <w:autoSpaceDE w:val="0"/>
        <w:autoSpaceDN w:val="0"/>
        <w:adjustRightInd w:val="0"/>
        <w:spacing w:line="420" w:lineRule="exact"/>
        <w:ind w:left="500"/>
        <w:jc w:val="left"/>
        <w:rPr>
          <w:b/>
          <w:color w:val="auto"/>
          <w:kern w:val="0"/>
          <w:szCs w:val="21"/>
          <w:highlight w:val="none"/>
        </w:rPr>
      </w:pPr>
      <w:r>
        <w:rPr>
          <w:b/>
          <w:color w:val="auto"/>
          <w:kern w:val="0"/>
          <w:szCs w:val="21"/>
          <w:highlight w:val="none"/>
        </w:rPr>
        <w:t>1.</w:t>
      </w:r>
      <w:r>
        <w:rPr>
          <w:rFonts w:hAnsi="宋体"/>
          <w:b/>
          <w:color w:val="auto"/>
          <w:kern w:val="0"/>
          <w:szCs w:val="21"/>
          <w:highlight w:val="none"/>
        </w:rPr>
        <w:t>工程概况</w:t>
      </w:r>
    </w:p>
    <w:p>
      <w:pPr>
        <w:spacing w:line="420" w:lineRule="exact"/>
        <w:ind w:firstLine="420" w:firstLineChars="200"/>
        <w:rPr>
          <w:color w:val="auto"/>
          <w:szCs w:val="21"/>
          <w:highlight w:val="none"/>
        </w:rPr>
      </w:pPr>
      <w:r>
        <w:rPr>
          <w:color w:val="auto"/>
          <w:szCs w:val="21"/>
          <w:highlight w:val="none"/>
        </w:rPr>
        <w:t>1.1</w:t>
      </w:r>
      <w:r>
        <w:rPr>
          <w:rFonts w:hAnsi="宋体"/>
          <w:color w:val="auto"/>
          <w:szCs w:val="21"/>
          <w:highlight w:val="none"/>
        </w:rPr>
        <w:t>本招标工程项目说明详见本须知前附表第</w:t>
      </w:r>
      <w:r>
        <w:rPr>
          <w:color w:val="auto"/>
          <w:szCs w:val="21"/>
          <w:highlight w:val="none"/>
        </w:rPr>
        <w:t>1</w:t>
      </w:r>
      <w:r>
        <w:rPr>
          <w:rFonts w:hAnsi="宋体"/>
          <w:color w:val="auto"/>
          <w:szCs w:val="21"/>
          <w:highlight w:val="none"/>
        </w:rPr>
        <w:t>项～第</w:t>
      </w:r>
      <w:r>
        <w:rPr>
          <w:color w:val="auto"/>
          <w:szCs w:val="21"/>
          <w:highlight w:val="none"/>
        </w:rPr>
        <w:t>7</w:t>
      </w:r>
      <w:r>
        <w:rPr>
          <w:rFonts w:hAnsi="宋体"/>
          <w:color w:val="auto"/>
          <w:szCs w:val="21"/>
          <w:highlight w:val="none"/>
        </w:rPr>
        <w:t>项。</w:t>
      </w:r>
    </w:p>
    <w:p>
      <w:pPr>
        <w:spacing w:line="420" w:lineRule="exact"/>
        <w:ind w:firstLine="420" w:firstLineChars="200"/>
        <w:rPr>
          <w:color w:val="auto"/>
          <w:szCs w:val="21"/>
          <w:highlight w:val="none"/>
        </w:rPr>
      </w:pPr>
      <w:r>
        <w:rPr>
          <w:color w:val="auto"/>
          <w:szCs w:val="21"/>
          <w:highlight w:val="none"/>
        </w:rPr>
        <w:t>1.2</w:t>
      </w:r>
      <w:r>
        <w:rPr>
          <w:rFonts w:hAnsi="宋体"/>
          <w:color w:val="auto"/>
          <w:szCs w:val="21"/>
          <w:highlight w:val="none"/>
        </w:rPr>
        <w:t>招标范围：见本须知前附表第</w:t>
      </w:r>
      <w:r>
        <w:rPr>
          <w:color w:val="auto"/>
          <w:szCs w:val="21"/>
          <w:highlight w:val="none"/>
        </w:rPr>
        <w:t>8</w:t>
      </w:r>
      <w:r>
        <w:rPr>
          <w:rFonts w:hAnsi="宋体"/>
          <w:color w:val="auto"/>
          <w:szCs w:val="21"/>
          <w:highlight w:val="none"/>
        </w:rPr>
        <w:t>项。</w:t>
      </w:r>
    </w:p>
    <w:p>
      <w:pPr>
        <w:spacing w:line="420" w:lineRule="exact"/>
        <w:ind w:firstLine="420" w:firstLineChars="200"/>
        <w:rPr>
          <w:color w:val="auto"/>
          <w:szCs w:val="21"/>
          <w:highlight w:val="none"/>
        </w:rPr>
      </w:pPr>
      <w:r>
        <w:rPr>
          <w:color w:val="auto"/>
          <w:szCs w:val="21"/>
          <w:highlight w:val="none"/>
        </w:rPr>
        <w:t>1.3</w:t>
      </w:r>
      <w:r>
        <w:rPr>
          <w:rFonts w:hAnsi="宋体"/>
          <w:color w:val="auto"/>
          <w:szCs w:val="21"/>
          <w:highlight w:val="none"/>
        </w:rPr>
        <w:t>现场条件：</w:t>
      </w:r>
    </w:p>
    <w:p>
      <w:pPr>
        <w:spacing w:line="420" w:lineRule="exact"/>
        <w:rPr>
          <w:color w:val="auto"/>
          <w:szCs w:val="21"/>
          <w:highlight w:val="none"/>
        </w:rPr>
      </w:pPr>
      <w:r>
        <w:rPr>
          <w:color w:val="auto"/>
          <w:szCs w:val="21"/>
          <w:highlight w:val="none"/>
        </w:rPr>
        <w:t xml:space="preserve">    (1)</w:t>
      </w:r>
      <w:r>
        <w:rPr>
          <w:rFonts w:hAnsi="宋体"/>
          <w:color w:val="auto"/>
          <w:szCs w:val="21"/>
          <w:highlight w:val="none"/>
        </w:rPr>
        <w:t>施工现场拆迁及平整情况：</w:t>
      </w:r>
      <w:r>
        <w:rPr>
          <w:rFonts w:hint="eastAsia" w:ascii="宋体" w:hAnsi="宋体" w:cs="宋体"/>
          <w:b/>
          <w:color w:val="auto"/>
          <w:szCs w:val="21"/>
          <w:highlight w:val="none"/>
          <w:u w:val="single"/>
        </w:rPr>
        <w:t>以施工场地的现状为准。招标人提供的现状场地，中标人必须无条件接受。各投标人根据踏勘现场的情况自行制定相应措施，所发生的费用由各投标人自行考虑，并列入投标报价，工程结算时不作调整</w:t>
      </w:r>
      <w:r>
        <w:rPr>
          <w:rFonts w:hAnsi="宋体"/>
          <w:bCs/>
          <w:snapToGrid w:val="0"/>
          <w:color w:val="auto"/>
          <w:kern w:val="0"/>
          <w:szCs w:val="21"/>
          <w:highlight w:val="none"/>
          <w:u w:val="single"/>
        </w:rPr>
        <w:t>。</w:t>
      </w:r>
    </w:p>
    <w:p>
      <w:pPr>
        <w:spacing w:line="420" w:lineRule="exact"/>
        <w:ind w:firstLine="420" w:firstLineChars="200"/>
        <w:rPr>
          <w:color w:val="auto"/>
          <w:szCs w:val="21"/>
          <w:highlight w:val="none"/>
        </w:rPr>
      </w:pPr>
      <w:r>
        <w:rPr>
          <w:color w:val="auto"/>
          <w:szCs w:val="21"/>
          <w:highlight w:val="none"/>
        </w:rPr>
        <w:t>(2)施工用水、电</w:t>
      </w:r>
      <w:r>
        <w:rPr>
          <w:rFonts w:hint="eastAsia" w:ascii="宋体" w:hAnsi="宋体" w:cs="宋体"/>
          <w:color w:val="auto"/>
          <w:szCs w:val="21"/>
          <w:highlight w:val="none"/>
        </w:rPr>
        <w:t>、通信线路：</w:t>
      </w:r>
      <w:r>
        <w:rPr>
          <w:rFonts w:hint="eastAsia" w:ascii="宋体" w:hAnsi="宋体" w:cs="宋体"/>
          <w:b/>
          <w:color w:val="auto"/>
          <w:szCs w:val="21"/>
          <w:highlight w:val="none"/>
          <w:u w:val="single"/>
        </w:rPr>
        <w:t>由承包人自行解决，费用已包含在总价措施项目中，竣工结算时不再另行计量与支付（供配电设备、相应临建、临时用电申请等均由承包人自行解决，招标人予以配合，费用包含在投标总价内）</w:t>
      </w:r>
      <w:r>
        <w:rPr>
          <w:color w:val="auto"/>
          <w:szCs w:val="21"/>
          <w:highlight w:val="none"/>
        </w:rPr>
        <w:t>。</w:t>
      </w:r>
    </w:p>
    <w:p>
      <w:pPr>
        <w:spacing w:line="420" w:lineRule="exact"/>
        <w:ind w:firstLine="420" w:firstLineChars="200"/>
        <w:rPr>
          <w:color w:val="auto"/>
          <w:szCs w:val="21"/>
          <w:highlight w:val="none"/>
          <w:u w:val="single"/>
        </w:rPr>
      </w:pPr>
      <w:r>
        <w:rPr>
          <w:color w:val="auto"/>
          <w:szCs w:val="21"/>
          <w:highlight w:val="none"/>
        </w:rPr>
        <w:t>(3)场内外道路：</w:t>
      </w:r>
      <w:r>
        <w:rPr>
          <w:rFonts w:hint="eastAsia" w:ascii="宋体" w:hAnsi="宋体" w:cs="宋体"/>
          <w:b/>
          <w:color w:val="auto"/>
          <w:szCs w:val="21"/>
          <w:highlight w:val="none"/>
          <w:u w:val="single"/>
        </w:rPr>
        <w:t>场内、外道路</w:t>
      </w:r>
      <w:r>
        <w:rPr>
          <w:rFonts w:hint="eastAsia" w:ascii="宋体" w:hAnsi="宋体"/>
          <w:b/>
          <w:color w:val="auto"/>
          <w:szCs w:val="21"/>
          <w:highlight w:val="none"/>
          <w:u w:val="single"/>
        </w:rPr>
        <w:t>以施工场地的现状为准。</w:t>
      </w:r>
      <w:r>
        <w:rPr>
          <w:rFonts w:hint="eastAsia" w:ascii="宋体" w:hAnsi="宋体" w:cs="宋体"/>
          <w:b/>
          <w:color w:val="auto"/>
          <w:szCs w:val="21"/>
          <w:highlight w:val="none"/>
          <w:u w:val="single"/>
        </w:rPr>
        <w:t>施工便道由投标人自行考虑，并列入投标报价，工程结算时不作调整</w:t>
      </w:r>
      <w:r>
        <w:rPr>
          <w:color w:val="auto"/>
          <w:szCs w:val="21"/>
          <w:highlight w:val="none"/>
          <w:u w:val="single"/>
        </w:rPr>
        <w:t>。</w:t>
      </w:r>
    </w:p>
    <w:p>
      <w:pPr>
        <w:spacing w:line="420" w:lineRule="exact"/>
        <w:ind w:firstLine="420" w:firstLineChars="200"/>
        <w:rPr>
          <w:rFonts w:hAnsi="宋体"/>
          <w:bCs/>
          <w:color w:val="auto"/>
          <w:szCs w:val="21"/>
          <w:highlight w:val="none"/>
        </w:rPr>
      </w:pPr>
      <w:r>
        <w:rPr>
          <w:color w:val="auto"/>
          <w:szCs w:val="21"/>
          <w:highlight w:val="none"/>
        </w:rPr>
        <w:t>(4)</w:t>
      </w:r>
      <w:r>
        <w:rPr>
          <w:rFonts w:hAnsi="宋体"/>
          <w:color w:val="auto"/>
          <w:szCs w:val="21"/>
          <w:highlight w:val="none"/>
        </w:rPr>
        <w:t>其他：</w:t>
      </w:r>
      <w:r>
        <w:rPr>
          <w:rFonts w:hAnsi="宋体"/>
          <w:bCs/>
          <w:color w:val="auto"/>
          <w:spacing w:val="-6"/>
          <w:szCs w:val="21"/>
          <w:highlight w:val="none"/>
          <w:u w:val="single"/>
        </w:rPr>
        <w:t>投标人应认真对现场环境进行踏勘，对施工现场情况和影响施工的因素以及困难条件进行周密的勘察和研究，作出自己的判断结论和估价。中标后和签订合同时及施工过程中，投标人均不得以不了解现场情况为由，提出任何形式增加工程造价的要求，施工时因场地问题引起的成本费用增加，均由投标人自行承担，结算时不予调整</w:t>
      </w:r>
      <w:r>
        <w:rPr>
          <w:rFonts w:hAnsi="宋体"/>
          <w:bCs/>
          <w:color w:val="auto"/>
          <w:szCs w:val="21"/>
          <w:highlight w:val="none"/>
        </w:rPr>
        <w:t>。</w:t>
      </w:r>
    </w:p>
    <w:p>
      <w:pPr>
        <w:widowControl/>
        <w:tabs>
          <w:tab w:val="left" w:pos="0"/>
          <w:tab w:val="left" w:pos="993"/>
          <w:tab w:val="left" w:pos="1134"/>
        </w:tabs>
        <w:adjustRightInd w:val="0"/>
        <w:snapToGrid w:val="0"/>
        <w:spacing w:before="50" w:line="420" w:lineRule="exact"/>
        <w:ind w:firstLine="422" w:firstLineChars="200"/>
        <w:jc w:val="left"/>
        <w:rPr>
          <w:rFonts w:hAnsi="宋体"/>
          <w:b/>
          <w:bCs/>
          <w:color w:val="auto"/>
          <w:szCs w:val="21"/>
          <w:highlight w:val="none"/>
          <w:u w:val="single"/>
        </w:rPr>
      </w:pPr>
      <w:r>
        <w:rPr>
          <w:rFonts w:hAnsi="宋体"/>
          <w:b/>
          <w:bCs/>
          <w:color w:val="auto"/>
          <w:szCs w:val="21"/>
          <w:highlight w:val="none"/>
          <w:u w:val="single"/>
        </w:rPr>
        <w:t>(</w:t>
      </w:r>
      <w:r>
        <w:rPr>
          <w:rFonts w:hint="eastAsia" w:hAnsi="宋体"/>
          <w:b/>
          <w:bCs/>
          <w:color w:val="auto"/>
          <w:szCs w:val="21"/>
          <w:highlight w:val="none"/>
          <w:u w:val="single"/>
        </w:rPr>
        <w:t>5</w:t>
      </w:r>
      <w:r>
        <w:rPr>
          <w:rFonts w:hAnsi="宋体"/>
          <w:b/>
          <w:bCs/>
          <w:color w:val="auto"/>
          <w:szCs w:val="21"/>
          <w:highlight w:val="none"/>
          <w:u w:val="single"/>
        </w:rPr>
        <w:t>)</w:t>
      </w:r>
      <w:r>
        <w:rPr>
          <w:rFonts w:hint="eastAsia" w:hAnsi="宋体"/>
          <w:b/>
          <w:bCs/>
          <w:color w:val="auto"/>
          <w:szCs w:val="21"/>
          <w:highlight w:val="none"/>
          <w:u w:val="single"/>
        </w:rPr>
        <w:t>本项目为消防改造工程，现场情况复杂，协调事宜较多，请各投标人慎重考虑投标风险，自行踏勘现场，谨慎报价。中标后必须无条件服从招标人的各项安排，如若不能按相关要求执行，视情况处以违约金处罚，直至退场。</w:t>
      </w:r>
    </w:p>
    <w:p>
      <w:pPr>
        <w:widowControl/>
        <w:tabs>
          <w:tab w:val="left" w:pos="0"/>
          <w:tab w:val="left" w:pos="993"/>
          <w:tab w:val="left" w:pos="1134"/>
        </w:tabs>
        <w:adjustRightInd w:val="0"/>
        <w:snapToGrid w:val="0"/>
        <w:spacing w:before="50" w:line="420" w:lineRule="exact"/>
        <w:ind w:firstLine="420" w:firstLineChars="200"/>
        <w:jc w:val="left"/>
        <w:rPr>
          <w:bCs/>
          <w:snapToGrid w:val="0"/>
          <w:color w:val="auto"/>
          <w:kern w:val="0"/>
          <w:szCs w:val="21"/>
          <w:highlight w:val="none"/>
          <w:u w:val="single"/>
        </w:rPr>
      </w:pPr>
      <w:r>
        <w:rPr>
          <w:rFonts w:hAnsi="宋体"/>
          <w:color w:val="auto"/>
          <w:szCs w:val="21"/>
          <w:highlight w:val="none"/>
          <w:u w:val="single"/>
        </w:rPr>
        <w:t>中标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结算时不作调整，并无条件接受发包单位、监理单位的协调、管理。投标人务必自行认真踏勘现场条件，如若对现场施工条件有疑问，请在提交疑问截止时间之</w:t>
      </w:r>
      <w:r>
        <w:rPr>
          <w:rFonts w:hAnsi="宋体"/>
          <w:bCs/>
          <w:color w:val="auto"/>
          <w:szCs w:val="21"/>
          <w:highlight w:val="none"/>
          <w:u w:val="single"/>
        </w:rPr>
        <w:t>前</w:t>
      </w:r>
      <w:r>
        <w:rPr>
          <w:rFonts w:hAnsi="宋体"/>
          <w:color w:val="auto"/>
          <w:szCs w:val="21"/>
          <w:highlight w:val="none"/>
          <w:u w:val="single"/>
        </w:rPr>
        <w:t>提出，否则视同认可。一旦中标不得对现场条件提出额外要求，且不得要求增加费用。</w:t>
      </w:r>
    </w:p>
    <w:p>
      <w:pPr>
        <w:spacing w:line="360" w:lineRule="auto"/>
        <w:ind w:firstLine="420" w:firstLineChars="200"/>
        <w:rPr>
          <w:rFonts w:hAnsi="宋体"/>
          <w:color w:val="auto"/>
          <w:kern w:val="0"/>
          <w:szCs w:val="21"/>
          <w:highlight w:val="none"/>
        </w:rPr>
      </w:pPr>
      <w:r>
        <w:rPr>
          <w:rFonts w:hAnsi="宋体"/>
          <w:color w:val="auto"/>
          <w:kern w:val="0"/>
          <w:szCs w:val="21"/>
          <w:highlight w:val="none"/>
        </w:rPr>
        <w:t>1.4承包方式说明：</w:t>
      </w:r>
    </w:p>
    <w:p>
      <w:pPr>
        <w:spacing w:line="360" w:lineRule="auto"/>
        <w:ind w:firstLine="420" w:firstLineChars="200"/>
        <w:rPr>
          <w:rFonts w:hAnsi="宋体"/>
          <w:color w:val="auto"/>
          <w:kern w:val="0"/>
          <w:szCs w:val="21"/>
          <w:highlight w:val="none"/>
        </w:rPr>
      </w:pPr>
      <w:r>
        <w:rPr>
          <w:rFonts w:hAnsi="宋体"/>
          <w:color w:val="auto"/>
          <w:kern w:val="0"/>
          <w:szCs w:val="21"/>
          <w:highlight w:val="none"/>
        </w:rPr>
        <w:t>工程发包范围内的包工、包料（发包人供应或发包人另行发包的除外）、包质量、包工期、包安全、包文明、包成品养护、包风险等。</w:t>
      </w:r>
    </w:p>
    <w:p>
      <w:pPr>
        <w:spacing w:line="360" w:lineRule="auto"/>
        <w:ind w:firstLine="420" w:firstLineChars="200"/>
        <w:rPr>
          <w:rFonts w:hAnsi="宋体"/>
          <w:color w:val="auto"/>
          <w:kern w:val="0"/>
          <w:szCs w:val="21"/>
          <w:highlight w:val="none"/>
        </w:rPr>
        <w:sectPr>
          <w:footerReference r:id="rId7" w:type="default"/>
          <w:pgSz w:w="11906" w:h="16838"/>
          <w:pgMar w:top="1440" w:right="1519" w:bottom="1440" w:left="1519" w:header="851" w:footer="992" w:gutter="0"/>
          <w:pgNumType w:start="1"/>
          <w:cols w:space="425" w:num="1"/>
          <w:docGrid w:type="lines" w:linePitch="312" w:charSpace="0"/>
        </w:sectPr>
      </w:pPr>
    </w:p>
    <w:p>
      <w:pPr>
        <w:spacing w:line="360" w:lineRule="auto"/>
        <w:ind w:firstLine="420" w:firstLineChars="200"/>
        <w:rPr>
          <w:rFonts w:hAnsi="宋体"/>
          <w:color w:val="auto"/>
          <w:kern w:val="0"/>
          <w:szCs w:val="21"/>
          <w:highlight w:val="none"/>
        </w:rPr>
      </w:pPr>
      <w:r>
        <w:rPr>
          <w:rFonts w:hAnsi="宋体"/>
          <w:color w:val="auto"/>
          <w:kern w:val="0"/>
          <w:szCs w:val="21"/>
          <w:highlight w:val="none"/>
        </w:rPr>
        <w:t>1.5按照《中华人民共和国招标投标法》、《工程建设项目施工招标投标办法》及相关规定，上述工程已符合招标条件，现采用</w:t>
      </w:r>
      <w:r>
        <w:rPr>
          <w:rFonts w:hAnsi="宋体"/>
          <w:b/>
          <w:bCs/>
          <w:color w:val="auto"/>
          <w:kern w:val="0"/>
          <w:szCs w:val="21"/>
          <w:highlight w:val="none"/>
        </w:rPr>
        <w:t>公开招标、资格后审</w:t>
      </w:r>
      <w:r>
        <w:rPr>
          <w:rFonts w:hAnsi="宋体"/>
          <w:color w:val="auto"/>
          <w:kern w:val="0"/>
          <w:szCs w:val="21"/>
          <w:highlight w:val="none"/>
        </w:rPr>
        <w:t>招标方式，择优选定施工单位。</w:t>
      </w:r>
    </w:p>
    <w:p>
      <w:pPr>
        <w:spacing w:line="360" w:lineRule="auto"/>
        <w:ind w:firstLine="422" w:firstLineChars="200"/>
        <w:rPr>
          <w:rFonts w:hAnsi="宋体"/>
          <w:b/>
          <w:bCs/>
          <w:color w:val="auto"/>
          <w:kern w:val="0"/>
          <w:szCs w:val="21"/>
          <w:highlight w:val="none"/>
        </w:rPr>
      </w:pPr>
      <w:bookmarkStart w:id="24" w:name="_Toc286661161"/>
      <w:r>
        <w:rPr>
          <w:rFonts w:hAnsi="宋体"/>
          <w:b/>
          <w:bCs/>
          <w:color w:val="auto"/>
          <w:kern w:val="0"/>
          <w:szCs w:val="21"/>
          <w:highlight w:val="none"/>
        </w:rPr>
        <w:t>2.投标人资格要求</w:t>
      </w:r>
    </w:p>
    <w:p>
      <w:pPr>
        <w:spacing w:line="360" w:lineRule="auto"/>
        <w:ind w:firstLine="420" w:firstLineChars="200"/>
        <w:rPr>
          <w:rFonts w:hAnsi="宋体"/>
          <w:color w:val="auto"/>
          <w:kern w:val="0"/>
          <w:szCs w:val="21"/>
          <w:highlight w:val="none"/>
        </w:rPr>
      </w:pPr>
      <w:r>
        <w:rPr>
          <w:rFonts w:hAnsi="宋体"/>
          <w:color w:val="auto"/>
          <w:kern w:val="0"/>
          <w:szCs w:val="21"/>
          <w:highlight w:val="none"/>
        </w:rPr>
        <w:t>2.1投标人应具备承担本工程施工的资质条件、能力和信誉：</w:t>
      </w:r>
    </w:p>
    <w:p>
      <w:pPr>
        <w:spacing w:line="360" w:lineRule="auto"/>
        <w:ind w:firstLine="420" w:firstLineChars="200"/>
        <w:rPr>
          <w:rFonts w:hAnsi="宋体"/>
          <w:color w:val="auto"/>
          <w:kern w:val="0"/>
          <w:szCs w:val="21"/>
          <w:highlight w:val="none"/>
        </w:rPr>
      </w:pPr>
      <w:r>
        <w:rPr>
          <w:rFonts w:hAnsi="宋体"/>
          <w:color w:val="auto"/>
          <w:kern w:val="0"/>
          <w:szCs w:val="21"/>
          <w:highlight w:val="none"/>
        </w:rPr>
        <w:t>（1）企业资质条件：具有独立法人资格和</w:t>
      </w:r>
      <w:r>
        <w:rPr>
          <w:rFonts w:hint="eastAsia" w:hAnsi="宋体"/>
          <w:b/>
          <w:bCs/>
          <w:color w:val="auto"/>
          <w:kern w:val="0"/>
          <w:szCs w:val="21"/>
          <w:highlight w:val="none"/>
          <w:lang w:val="en-US" w:eastAsia="zh-CN"/>
        </w:rPr>
        <w:t>有效的</w:t>
      </w:r>
      <w:r>
        <w:rPr>
          <w:rFonts w:hint="eastAsia" w:hAnsi="宋体"/>
          <w:b/>
          <w:bCs/>
          <w:color w:val="auto"/>
          <w:kern w:val="0"/>
          <w:szCs w:val="21"/>
          <w:highlight w:val="none"/>
        </w:rPr>
        <w:t>消防设施工程专业承包贰级及以上资质</w:t>
      </w:r>
      <w:r>
        <w:rPr>
          <w:rFonts w:hAnsi="宋体"/>
          <w:color w:val="auto"/>
          <w:kern w:val="0"/>
          <w:szCs w:val="21"/>
          <w:highlight w:val="none"/>
        </w:rPr>
        <w:t>；</w:t>
      </w:r>
    </w:p>
    <w:p>
      <w:pPr>
        <w:spacing w:line="360" w:lineRule="auto"/>
        <w:ind w:firstLine="420" w:firstLineChars="200"/>
        <w:rPr>
          <w:rFonts w:hAnsi="宋体"/>
          <w:color w:val="auto"/>
          <w:kern w:val="0"/>
          <w:szCs w:val="21"/>
          <w:highlight w:val="none"/>
        </w:rPr>
      </w:pPr>
      <w:r>
        <w:rPr>
          <w:rFonts w:hAnsi="宋体"/>
          <w:color w:val="auto"/>
          <w:kern w:val="0"/>
          <w:szCs w:val="21"/>
          <w:highlight w:val="none"/>
        </w:rPr>
        <w:t>（2）项目经理（项目负责人）资格：</w:t>
      </w:r>
      <w:r>
        <w:rPr>
          <w:rFonts w:hint="eastAsia" w:hAnsi="宋体"/>
          <w:b/>
          <w:bCs/>
          <w:color w:val="auto"/>
          <w:kern w:val="0"/>
          <w:szCs w:val="21"/>
          <w:highlight w:val="none"/>
        </w:rPr>
        <w:t>机电</w:t>
      </w:r>
      <w:r>
        <w:rPr>
          <w:rFonts w:hAnsi="宋体"/>
          <w:b/>
          <w:bCs/>
          <w:color w:val="auto"/>
          <w:kern w:val="0"/>
          <w:szCs w:val="21"/>
          <w:highlight w:val="none"/>
        </w:rPr>
        <w:t>工程专业</w:t>
      </w:r>
      <w:r>
        <w:rPr>
          <w:rFonts w:hint="eastAsia" w:hAnsi="宋体"/>
          <w:b/>
          <w:bCs/>
          <w:color w:val="auto"/>
          <w:kern w:val="0"/>
          <w:szCs w:val="21"/>
          <w:highlight w:val="none"/>
        </w:rPr>
        <w:t>二</w:t>
      </w:r>
      <w:r>
        <w:rPr>
          <w:rFonts w:hAnsi="宋体"/>
          <w:b/>
          <w:bCs/>
          <w:color w:val="auto"/>
          <w:kern w:val="0"/>
          <w:szCs w:val="21"/>
          <w:highlight w:val="none"/>
        </w:rPr>
        <w:t>级或以上注册建造师，并具备</w:t>
      </w:r>
      <w:r>
        <w:rPr>
          <w:rFonts w:hint="eastAsia" w:hAnsi="宋体"/>
          <w:b/>
          <w:bCs/>
          <w:color w:val="auto"/>
          <w:kern w:val="0"/>
          <w:szCs w:val="21"/>
          <w:highlight w:val="none"/>
          <w:lang w:val="en-US" w:eastAsia="zh-CN"/>
        </w:rPr>
        <w:t>建筑施工企业</w:t>
      </w:r>
      <w:r>
        <w:rPr>
          <w:rFonts w:hAnsi="宋体"/>
          <w:b/>
          <w:bCs/>
          <w:color w:val="auto"/>
          <w:kern w:val="0"/>
          <w:szCs w:val="21"/>
          <w:highlight w:val="none"/>
        </w:rPr>
        <w:t>安全考核合格证书</w:t>
      </w:r>
      <w:r>
        <w:rPr>
          <w:rFonts w:hint="eastAsia" w:hAnsi="宋体"/>
          <w:b/>
          <w:bCs/>
          <w:color w:val="auto"/>
          <w:kern w:val="0"/>
          <w:szCs w:val="21"/>
          <w:highlight w:val="none"/>
        </w:rPr>
        <w:t>(</w:t>
      </w:r>
      <w:r>
        <w:rPr>
          <w:rFonts w:hAnsi="宋体"/>
          <w:b/>
          <w:bCs/>
          <w:color w:val="auto"/>
          <w:kern w:val="0"/>
          <w:szCs w:val="21"/>
          <w:highlight w:val="none"/>
        </w:rPr>
        <w:t>B证</w:t>
      </w:r>
      <w:r>
        <w:rPr>
          <w:rFonts w:hint="eastAsia" w:hAnsi="宋体"/>
          <w:b/>
          <w:bCs/>
          <w:color w:val="auto"/>
          <w:kern w:val="0"/>
          <w:szCs w:val="21"/>
          <w:highlight w:val="none"/>
        </w:rPr>
        <w:t>)（以上证书注册单位为投标单位）</w:t>
      </w:r>
      <w:r>
        <w:rPr>
          <w:rFonts w:hAnsi="宋体"/>
          <w:color w:val="auto"/>
          <w:kern w:val="0"/>
          <w:szCs w:val="21"/>
          <w:highlight w:val="none"/>
        </w:rPr>
        <w:t>。</w:t>
      </w:r>
    </w:p>
    <w:p>
      <w:pPr>
        <w:spacing w:line="360" w:lineRule="auto"/>
        <w:ind w:firstLine="420" w:firstLineChars="200"/>
        <w:rPr>
          <w:rFonts w:hAnsi="宋体"/>
          <w:color w:val="auto"/>
          <w:kern w:val="0"/>
          <w:szCs w:val="21"/>
          <w:highlight w:val="none"/>
        </w:rPr>
      </w:pPr>
      <w:r>
        <w:rPr>
          <w:rFonts w:hAnsi="宋体"/>
          <w:color w:val="auto"/>
          <w:kern w:val="0"/>
          <w:szCs w:val="21"/>
          <w:highlight w:val="none"/>
        </w:rPr>
        <w:t>（3）</w:t>
      </w:r>
      <w:r>
        <w:rPr>
          <w:rFonts w:hint="eastAsia" w:hAnsi="宋体"/>
          <w:color w:val="auto"/>
          <w:kern w:val="0"/>
          <w:szCs w:val="21"/>
          <w:highlight w:val="none"/>
        </w:rPr>
        <w:t>企业具备安全生产条件，并取得安全生产许可证。</w:t>
      </w:r>
    </w:p>
    <w:p>
      <w:pPr>
        <w:spacing w:line="360" w:lineRule="auto"/>
        <w:ind w:firstLine="420" w:firstLineChars="200"/>
        <w:rPr>
          <w:rFonts w:hAnsi="宋体"/>
          <w:color w:val="auto"/>
          <w:kern w:val="0"/>
          <w:szCs w:val="21"/>
          <w:highlight w:val="none"/>
        </w:rPr>
      </w:pPr>
      <w:r>
        <w:rPr>
          <w:rFonts w:hAnsi="宋体"/>
          <w:color w:val="auto"/>
          <w:kern w:val="0"/>
          <w:szCs w:val="21"/>
          <w:highlight w:val="none"/>
        </w:rPr>
        <w:t>（4）未尽之处具体详见第二章“评标办法”中的“资格审查标准汇总表”。</w:t>
      </w:r>
    </w:p>
    <w:p>
      <w:pPr>
        <w:spacing w:line="360" w:lineRule="auto"/>
        <w:ind w:firstLine="420" w:firstLineChars="200"/>
        <w:rPr>
          <w:rFonts w:hAnsi="宋体"/>
          <w:color w:val="auto"/>
          <w:kern w:val="0"/>
          <w:szCs w:val="21"/>
          <w:highlight w:val="none"/>
        </w:rPr>
      </w:pPr>
      <w:r>
        <w:rPr>
          <w:rFonts w:hAnsi="宋体"/>
          <w:color w:val="auto"/>
          <w:kern w:val="0"/>
          <w:szCs w:val="21"/>
          <w:highlight w:val="none"/>
        </w:rPr>
        <w:t>（5）本工程</w:t>
      </w:r>
      <w:r>
        <w:rPr>
          <w:rFonts w:hAnsi="宋体"/>
          <w:b/>
          <w:bCs/>
          <w:color w:val="auto"/>
          <w:kern w:val="0"/>
          <w:szCs w:val="21"/>
          <w:highlight w:val="none"/>
        </w:rPr>
        <w:t>不接受</w:t>
      </w:r>
      <w:r>
        <w:rPr>
          <w:rFonts w:hAnsi="宋体"/>
          <w:color w:val="auto"/>
          <w:kern w:val="0"/>
          <w:szCs w:val="21"/>
          <w:highlight w:val="none"/>
        </w:rPr>
        <w:t>联合体方式的投标。</w:t>
      </w:r>
    </w:p>
    <w:p>
      <w:pPr>
        <w:spacing w:line="360" w:lineRule="auto"/>
        <w:ind w:firstLine="422" w:firstLineChars="200"/>
        <w:rPr>
          <w:rFonts w:hAnsi="宋体"/>
          <w:b/>
          <w:bCs/>
          <w:color w:val="auto"/>
          <w:kern w:val="0"/>
          <w:szCs w:val="21"/>
          <w:highlight w:val="none"/>
        </w:rPr>
      </w:pPr>
      <w:r>
        <w:rPr>
          <w:rFonts w:hAnsi="宋体"/>
          <w:b/>
          <w:bCs/>
          <w:color w:val="auto"/>
          <w:kern w:val="0"/>
          <w:szCs w:val="21"/>
          <w:highlight w:val="none"/>
        </w:rPr>
        <w:t>3.投标费用</w:t>
      </w:r>
    </w:p>
    <w:p>
      <w:pPr>
        <w:spacing w:line="360" w:lineRule="auto"/>
        <w:ind w:firstLine="420" w:firstLineChars="200"/>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w:t>
      </w:r>
      <w:r>
        <w:rPr>
          <w:rFonts w:hint="eastAsia" w:ascii="宋体" w:hAnsi="宋体" w:cs="宋体"/>
          <w:color w:val="auto"/>
          <w:kern w:val="0"/>
          <w:szCs w:val="21"/>
          <w:highlight w:val="none"/>
          <w:lang w:val="en-US" w:eastAsia="zh-CN"/>
        </w:rPr>
        <w:t>1</w:t>
      </w:r>
      <w:r>
        <w:rPr>
          <w:rFonts w:hint="eastAsia" w:ascii="宋体" w:hAnsi="宋体" w:eastAsia="宋体" w:cs="宋体"/>
          <w:color w:val="auto"/>
          <w:kern w:val="0"/>
          <w:szCs w:val="21"/>
          <w:highlight w:val="none"/>
        </w:rPr>
        <w:t>投标人应承担其编制投标文件以及递交投标文件所涉及的一切费用。无论投标结果如何，招标人对上述费用不负任何责任。</w:t>
      </w:r>
    </w:p>
    <w:p>
      <w:pPr>
        <w:spacing w:line="360" w:lineRule="auto"/>
        <w:ind w:firstLine="420" w:firstLineChars="200"/>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4、踏勘现场</w:t>
      </w:r>
    </w:p>
    <w:p>
      <w:pPr>
        <w:spacing w:line="360" w:lineRule="auto"/>
        <w:ind w:firstLine="420" w:firstLineChars="200"/>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4.1经招标人允许，投标人可为踏勘目的进入招标人的项目现场，但投标人不得因此使招标人承担有关的责任和蒙受损失，投标人应承担踏勘现场的责任和风险。</w:t>
      </w:r>
    </w:p>
    <w:p>
      <w:pPr>
        <w:spacing w:line="360" w:lineRule="auto"/>
        <w:ind w:firstLine="420" w:firstLineChars="200"/>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4.2投标人自行对工程现场及周围环境进行踏勘，以便投标人获取有关编制投标文件和签署合同所涉及的现场资料。投标人承担踏勘现场发生的一切费用。</w:t>
      </w:r>
    </w:p>
    <w:p>
      <w:pPr>
        <w:spacing w:line="360" w:lineRule="auto"/>
        <w:ind w:firstLine="420" w:firstLineChars="200"/>
        <w:rPr>
          <w:rFonts w:hAnsi="宋体"/>
          <w:color w:val="auto"/>
          <w:kern w:val="0"/>
          <w:szCs w:val="21"/>
          <w:highlight w:val="none"/>
        </w:rPr>
      </w:pPr>
      <w:r>
        <w:rPr>
          <w:rFonts w:hint="eastAsia" w:hAnsi="宋体"/>
          <w:color w:val="auto"/>
          <w:kern w:val="0"/>
          <w:szCs w:val="21"/>
          <w:highlight w:val="none"/>
        </w:rPr>
        <w:t>4</w:t>
      </w:r>
      <w:r>
        <w:rPr>
          <w:rFonts w:hAnsi="宋体"/>
          <w:color w:val="auto"/>
          <w:kern w:val="0"/>
          <w:szCs w:val="21"/>
          <w:highlight w:val="none"/>
        </w:rPr>
        <w:t>.3招标人向投标人提供的有关现场的数据和资料，是招标人现有的能被投标人利用的资料，招标人对投标人作出的任何推论、理解和结论均不负责任。</w:t>
      </w:r>
    </w:p>
    <w:p>
      <w:pPr>
        <w:spacing w:line="360" w:lineRule="auto"/>
        <w:ind w:firstLine="420" w:firstLineChars="200"/>
        <w:rPr>
          <w:rFonts w:hAnsi="宋体"/>
          <w:color w:val="auto"/>
          <w:kern w:val="0"/>
          <w:szCs w:val="21"/>
          <w:highlight w:val="none"/>
        </w:rPr>
      </w:pPr>
      <w:r>
        <w:rPr>
          <w:rFonts w:hAnsi="宋体"/>
          <w:color w:val="auto"/>
          <w:kern w:val="0"/>
          <w:szCs w:val="21"/>
          <w:highlight w:val="none"/>
        </w:rPr>
        <w:t>4.4投标人应充分考虑标书制作过程中的数据变化因素，检查确认标书内容的正确完整和对招标文件的响应程度。</w:t>
      </w:r>
    </w:p>
    <w:p>
      <w:pPr>
        <w:spacing w:line="360" w:lineRule="auto"/>
        <w:ind w:firstLine="420" w:firstLineChars="200"/>
        <w:rPr>
          <w:rFonts w:hAnsi="宋体"/>
          <w:color w:val="auto"/>
          <w:kern w:val="0"/>
          <w:szCs w:val="21"/>
          <w:highlight w:val="none"/>
        </w:rPr>
      </w:pPr>
    </w:p>
    <w:p>
      <w:pPr>
        <w:pStyle w:val="4"/>
        <w:jc w:val="center"/>
        <w:rPr>
          <w:rFonts w:ascii="Times New Roman" w:hAnsi="Times New Roman" w:eastAsia="宋体"/>
          <w:color w:val="auto"/>
          <w:sz w:val="24"/>
          <w:szCs w:val="24"/>
          <w:highlight w:val="none"/>
        </w:rPr>
      </w:pPr>
      <w:bookmarkStart w:id="25" w:name="_Toc380681234"/>
      <w:bookmarkStart w:id="26" w:name="_Toc380680822"/>
      <w:bookmarkStart w:id="27" w:name="_Toc380681015"/>
      <w:r>
        <w:rPr>
          <w:rFonts w:ascii="Times New Roman" w:hAnsi="宋体" w:eastAsia="宋体"/>
          <w:color w:val="auto"/>
          <w:sz w:val="24"/>
          <w:szCs w:val="24"/>
          <w:highlight w:val="none"/>
        </w:rPr>
        <w:t>（二）招标文件</w:t>
      </w:r>
      <w:bookmarkEnd w:id="25"/>
      <w:bookmarkEnd w:id="26"/>
      <w:bookmarkEnd w:id="27"/>
    </w:p>
    <w:p>
      <w:pPr>
        <w:autoSpaceDE w:val="0"/>
        <w:autoSpaceDN w:val="0"/>
        <w:adjustRightInd w:val="0"/>
        <w:spacing w:line="420" w:lineRule="exact"/>
        <w:ind w:left="500"/>
        <w:jc w:val="left"/>
        <w:rPr>
          <w:b/>
          <w:color w:val="auto"/>
          <w:kern w:val="0"/>
          <w:szCs w:val="21"/>
          <w:highlight w:val="none"/>
        </w:rPr>
      </w:pPr>
      <w:r>
        <w:rPr>
          <w:b/>
          <w:color w:val="auto"/>
          <w:kern w:val="0"/>
          <w:szCs w:val="21"/>
          <w:highlight w:val="none"/>
        </w:rPr>
        <w:t>5.</w:t>
      </w:r>
      <w:r>
        <w:rPr>
          <w:rFonts w:hAnsi="宋体"/>
          <w:b/>
          <w:color w:val="auto"/>
          <w:kern w:val="0"/>
          <w:szCs w:val="21"/>
          <w:highlight w:val="none"/>
        </w:rPr>
        <w:t>招标文件的组成</w:t>
      </w:r>
    </w:p>
    <w:p>
      <w:pPr>
        <w:spacing w:line="420" w:lineRule="exact"/>
        <w:ind w:firstLine="420" w:firstLineChars="200"/>
        <w:rPr>
          <w:color w:val="auto"/>
          <w:szCs w:val="21"/>
          <w:highlight w:val="none"/>
        </w:rPr>
      </w:pPr>
      <w:r>
        <w:rPr>
          <w:color w:val="auto"/>
          <w:szCs w:val="21"/>
          <w:highlight w:val="none"/>
        </w:rPr>
        <w:t>5.1.</w:t>
      </w:r>
      <w:r>
        <w:rPr>
          <w:rFonts w:hAnsi="宋体"/>
          <w:color w:val="auto"/>
          <w:szCs w:val="21"/>
          <w:highlight w:val="none"/>
        </w:rPr>
        <w:t>招标文件包括下列内容：</w:t>
      </w:r>
    </w:p>
    <w:p>
      <w:pPr>
        <w:spacing w:line="420" w:lineRule="exact"/>
        <w:ind w:firstLine="420" w:firstLineChars="200"/>
        <w:rPr>
          <w:color w:val="auto"/>
          <w:szCs w:val="21"/>
          <w:highlight w:val="none"/>
        </w:rPr>
      </w:pPr>
      <w:r>
        <w:rPr>
          <w:rFonts w:hAnsi="宋体"/>
          <w:color w:val="auto"/>
          <w:szCs w:val="21"/>
          <w:highlight w:val="none"/>
        </w:rPr>
        <w:t>第一章：投标须知</w:t>
      </w:r>
    </w:p>
    <w:p>
      <w:pPr>
        <w:spacing w:line="420" w:lineRule="exact"/>
        <w:ind w:firstLine="480"/>
        <w:rPr>
          <w:color w:val="auto"/>
          <w:szCs w:val="21"/>
          <w:highlight w:val="none"/>
        </w:rPr>
      </w:pPr>
      <w:r>
        <w:rPr>
          <w:rFonts w:hAnsi="宋体"/>
          <w:color w:val="auto"/>
          <w:szCs w:val="21"/>
          <w:highlight w:val="none"/>
        </w:rPr>
        <w:t>第二章：评标办法</w:t>
      </w:r>
    </w:p>
    <w:p>
      <w:pPr>
        <w:spacing w:line="420" w:lineRule="exact"/>
        <w:ind w:firstLine="480"/>
        <w:rPr>
          <w:color w:val="auto"/>
          <w:szCs w:val="21"/>
          <w:highlight w:val="none"/>
        </w:rPr>
      </w:pPr>
      <w:r>
        <w:rPr>
          <w:rFonts w:hAnsi="宋体"/>
          <w:color w:val="auto"/>
          <w:szCs w:val="21"/>
          <w:highlight w:val="none"/>
        </w:rPr>
        <w:t>第三章：合同条款</w:t>
      </w:r>
    </w:p>
    <w:p>
      <w:pPr>
        <w:spacing w:line="420" w:lineRule="exact"/>
        <w:ind w:firstLine="480"/>
        <w:rPr>
          <w:rFonts w:hAnsi="宋体"/>
          <w:color w:val="auto"/>
          <w:szCs w:val="21"/>
          <w:highlight w:val="none"/>
        </w:rPr>
      </w:pPr>
      <w:r>
        <w:rPr>
          <w:rFonts w:hAnsi="宋体"/>
          <w:color w:val="auto"/>
          <w:szCs w:val="21"/>
          <w:highlight w:val="none"/>
        </w:rPr>
        <w:t>第四章：工程建设标准</w:t>
      </w:r>
    </w:p>
    <w:p>
      <w:pPr>
        <w:spacing w:line="420" w:lineRule="exact"/>
        <w:ind w:firstLine="480"/>
        <w:rPr>
          <w:color w:val="auto"/>
          <w:szCs w:val="21"/>
          <w:highlight w:val="none"/>
        </w:rPr>
      </w:pPr>
      <w:r>
        <w:rPr>
          <w:rFonts w:hAnsi="宋体"/>
          <w:color w:val="auto"/>
          <w:szCs w:val="21"/>
          <w:highlight w:val="none"/>
        </w:rPr>
        <w:t>第五章：图纸、技术资料及附件</w:t>
      </w:r>
    </w:p>
    <w:p>
      <w:pPr>
        <w:spacing w:line="420" w:lineRule="exact"/>
        <w:ind w:firstLine="480"/>
        <w:rPr>
          <w:color w:val="auto"/>
          <w:szCs w:val="21"/>
          <w:highlight w:val="none"/>
        </w:rPr>
      </w:pPr>
      <w:r>
        <w:rPr>
          <w:rFonts w:hAnsi="宋体"/>
          <w:color w:val="auto"/>
          <w:szCs w:val="21"/>
          <w:highlight w:val="none"/>
        </w:rPr>
        <w:t>第六章：投标文件格式</w:t>
      </w:r>
    </w:p>
    <w:p>
      <w:pPr>
        <w:spacing w:line="420" w:lineRule="exact"/>
        <w:ind w:firstLine="480"/>
        <w:rPr>
          <w:color w:val="auto"/>
          <w:szCs w:val="21"/>
          <w:highlight w:val="none"/>
        </w:rPr>
      </w:pPr>
      <w:r>
        <w:rPr>
          <w:rFonts w:hAnsi="宋体"/>
          <w:color w:val="auto"/>
          <w:szCs w:val="21"/>
          <w:highlight w:val="none"/>
        </w:rPr>
        <w:t>第七章：资格审查证明材料</w:t>
      </w:r>
    </w:p>
    <w:p>
      <w:pPr>
        <w:spacing w:line="420" w:lineRule="exact"/>
        <w:ind w:firstLine="480"/>
        <w:rPr>
          <w:color w:val="auto"/>
          <w:szCs w:val="21"/>
          <w:highlight w:val="none"/>
        </w:rPr>
      </w:pPr>
      <w:r>
        <w:rPr>
          <w:rFonts w:hAnsi="宋体"/>
          <w:color w:val="auto"/>
          <w:szCs w:val="21"/>
          <w:highlight w:val="none"/>
        </w:rPr>
        <w:t>第八章：工程量清单</w:t>
      </w:r>
    </w:p>
    <w:p>
      <w:pPr>
        <w:spacing w:line="420" w:lineRule="exact"/>
        <w:ind w:firstLine="480"/>
        <w:rPr>
          <w:color w:val="auto"/>
          <w:szCs w:val="21"/>
          <w:highlight w:val="none"/>
        </w:rPr>
      </w:pPr>
      <w:r>
        <w:rPr>
          <w:color w:val="auto"/>
          <w:szCs w:val="21"/>
          <w:highlight w:val="none"/>
        </w:rPr>
        <w:t>5.2</w:t>
      </w:r>
      <w:r>
        <w:rPr>
          <w:rFonts w:hAnsi="宋体"/>
          <w:color w:val="auto"/>
          <w:szCs w:val="21"/>
          <w:highlight w:val="none"/>
        </w:rPr>
        <w:t>根据本章第</w:t>
      </w:r>
      <w:r>
        <w:rPr>
          <w:color w:val="auto"/>
          <w:szCs w:val="21"/>
          <w:highlight w:val="none"/>
        </w:rPr>
        <w:t>6</w:t>
      </w:r>
      <w:r>
        <w:rPr>
          <w:rFonts w:hAnsi="宋体"/>
          <w:color w:val="auto"/>
          <w:szCs w:val="21"/>
          <w:highlight w:val="none"/>
        </w:rPr>
        <w:t>、</w:t>
      </w:r>
      <w:r>
        <w:rPr>
          <w:color w:val="auto"/>
          <w:szCs w:val="21"/>
          <w:highlight w:val="none"/>
        </w:rPr>
        <w:t>7</w:t>
      </w:r>
      <w:r>
        <w:rPr>
          <w:rFonts w:hAnsi="宋体"/>
          <w:color w:val="auto"/>
          <w:szCs w:val="21"/>
          <w:highlight w:val="none"/>
        </w:rPr>
        <w:t>款对招标文件所作的澄清、修改，构成招标文件的组成部分。投标人在投标截止时间前，应通过将在</w:t>
      </w:r>
      <w:r>
        <w:rPr>
          <w:rFonts w:hint="eastAsia" w:hAnsi="宋体"/>
          <w:color w:val="auto"/>
          <w:szCs w:val="21"/>
          <w:highlight w:val="none"/>
          <w:lang w:eastAsia="zh-CN"/>
        </w:rPr>
        <w:t>南通市保安服务有限公司官网</w:t>
      </w:r>
      <w:r>
        <w:rPr>
          <w:rFonts w:hint="eastAsia" w:hAnsi="宋体"/>
          <w:color w:val="auto"/>
          <w:szCs w:val="21"/>
          <w:highlight w:val="none"/>
        </w:rPr>
        <w:t>。</w:t>
      </w:r>
      <w:r>
        <w:rPr>
          <w:rFonts w:hAnsi="宋体"/>
          <w:color w:val="auto"/>
          <w:szCs w:val="21"/>
          <w:highlight w:val="none"/>
        </w:rPr>
        <w:t>随时查阅有关该工程招标文件的澄清、招标文件的修改</w:t>
      </w:r>
      <w:r>
        <w:rPr>
          <w:color w:val="auto"/>
          <w:szCs w:val="21"/>
          <w:highlight w:val="none"/>
        </w:rPr>
        <w:t>(</w:t>
      </w:r>
      <w:r>
        <w:rPr>
          <w:rFonts w:hAnsi="宋体"/>
          <w:color w:val="auto"/>
          <w:szCs w:val="21"/>
          <w:highlight w:val="none"/>
        </w:rPr>
        <w:t>招标答疑、补遗文件</w:t>
      </w:r>
      <w:r>
        <w:rPr>
          <w:color w:val="auto"/>
          <w:szCs w:val="21"/>
          <w:highlight w:val="none"/>
        </w:rPr>
        <w:t>)</w:t>
      </w:r>
      <w:r>
        <w:rPr>
          <w:rFonts w:hAnsi="宋体"/>
          <w:color w:val="auto"/>
          <w:szCs w:val="21"/>
          <w:highlight w:val="none"/>
        </w:rPr>
        <w:t>、招标控制价公示等内容。</w:t>
      </w:r>
      <w:r>
        <w:rPr>
          <w:rFonts w:hAnsi="宋体"/>
          <w:b/>
          <w:color w:val="auto"/>
          <w:szCs w:val="21"/>
          <w:highlight w:val="none"/>
        </w:rPr>
        <w:t>投标人查阅如有遗漏，其风险应由投标人自行承担。</w:t>
      </w:r>
    </w:p>
    <w:p>
      <w:pPr>
        <w:autoSpaceDE w:val="0"/>
        <w:autoSpaceDN w:val="0"/>
        <w:adjustRightInd w:val="0"/>
        <w:spacing w:line="420" w:lineRule="exact"/>
        <w:ind w:left="500"/>
        <w:jc w:val="left"/>
        <w:rPr>
          <w:b/>
          <w:color w:val="auto"/>
          <w:kern w:val="0"/>
          <w:szCs w:val="21"/>
          <w:highlight w:val="none"/>
        </w:rPr>
      </w:pPr>
      <w:r>
        <w:rPr>
          <w:b/>
          <w:color w:val="auto"/>
          <w:kern w:val="0"/>
          <w:szCs w:val="21"/>
          <w:highlight w:val="none"/>
        </w:rPr>
        <w:t>6</w:t>
      </w:r>
      <w:r>
        <w:rPr>
          <w:rFonts w:hAnsi="宋体"/>
          <w:b/>
          <w:color w:val="auto"/>
          <w:kern w:val="0"/>
          <w:szCs w:val="21"/>
          <w:highlight w:val="none"/>
        </w:rPr>
        <w:t>、招标文件的澄清</w:t>
      </w:r>
    </w:p>
    <w:p>
      <w:pPr>
        <w:spacing w:line="420" w:lineRule="exact"/>
        <w:ind w:firstLine="480"/>
        <w:rPr>
          <w:color w:val="auto"/>
          <w:szCs w:val="21"/>
          <w:highlight w:val="none"/>
        </w:rPr>
      </w:pPr>
      <w:r>
        <w:rPr>
          <w:color w:val="auto"/>
          <w:szCs w:val="21"/>
          <w:highlight w:val="none"/>
        </w:rPr>
        <w:t>6.1</w:t>
      </w:r>
      <w:r>
        <w:rPr>
          <w:rFonts w:hAnsi="宋体"/>
          <w:color w:val="auto"/>
          <w:szCs w:val="21"/>
          <w:highlight w:val="none"/>
        </w:rPr>
        <w:t>投标人从将在</w:t>
      </w:r>
      <w:r>
        <w:rPr>
          <w:rFonts w:hint="eastAsia" w:hAnsi="宋体"/>
          <w:b/>
          <w:bCs/>
          <w:color w:val="auto"/>
          <w:szCs w:val="21"/>
          <w:highlight w:val="none"/>
          <w:lang w:eastAsia="zh-CN"/>
        </w:rPr>
        <w:t>南通市保安服务有限公司官网</w:t>
      </w:r>
      <w:r>
        <w:rPr>
          <w:rFonts w:hAnsi="宋体"/>
          <w:color w:val="auto"/>
          <w:szCs w:val="21"/>
          <w:highlight w:val="none"/>
        </w:rPr>
        <w:t>下载招标文件后应仔细阅读和检查招标文件的全部内容。如发现缺页或附件不全，应及时向招标人提出，以便补齐。投标人应对招标人提供的工程量清单进行认真细致的复核。这种复核包括对招标人提供的工程量清单中的子目编码、子目名称、子目特征描述、计量单位、工程量的准确性以及可能存在的任何书写、打印错误进行检查和复核，特别是对</w:t>
      </w:r>
      <w:r>
        <w:rPr>
          <w:color w:val="auto"/>
          <w:szCs w:val="21"/>
          <w:highlight w:val="none"/>
        </w:rPr>
        <w:t>“</w:t>
      </w:r>
      <w:r>
        <w:rPr>
          <w:rFonts w:hAnsi="宋体"/>
          <w:color w:val="auto"/>
          <w:szCs w:val="21"/>
          <w:highlight w:val="none"/>
        </w:rPr>
        <w:t>分部分项工程和单价措施项目清单与计价表</w:t>
      </w:r>
      <w:r>
        <w:rPr>
          <w:color w:val="auto"/>
          <w:szCs w:val="21"/>
          <w:highlight w:val="none"/>
        </w:rPr>
        <w:t>”</w:t>
      </w:r>
      <w:r>
        <w:rPr>
          <w:rFonts w:hAnsi="宋体"/>
          <w:color w:val="auto"/>
          <w:szCs w:val="21"/>
          <w:highlight w:val="none"/>
        </w:rPr>
        <w:t>中每个工作子目的工程量进行重新计算和校核。如果投标人经过检查和复核以后认为招标人提供的工程量清单存在差异，则投标人应将此类差异的详细情况连同按投标人须知规定提交的要求招标人澄清的其他问题一起提交给招标人，招标人将根据实际情况决定是否颁发工程量清单的补充和</w:t>
      </w:r>
      <w:r>
        <w:rPr>
          <w:color w:val="auto"/>
          <w:szCs w:val="21"/>
          <w:highlight w:val="none"/>
        </w:rPr>
        <w:t>(</w:t>
      </w:r>
      <w:r>
        <w:rPr>
          <w:rFonts w:hAnsi="宋体"/>
          <w:color w:val="auto"/>
          <w:szCs w:val="21"/>
          <w:highlight w:val="none"/>
        </w:rPr>
        <w:t>或</w:t>
      </w:r>
      <w:r>
        <w:rPr>
          <w:color w:val="auto"/>
          <w:szCs w:val="21"/>
          <w:highlight w:val="none"/>
        </w:rPr>
        <w:t>)</w:t>
      </w:r>
      <w:r>
        <w:rPr>
          <w:rFonts w:hAnsi="宋体"/>
          <w:color w:val="auto"/>
          <w:szCs w:val="21"/>
          <w:highlight w:val="none"/>
        </w:rPr>
        <w:t>修改文件。</w:t>
      </w:r>
    </w:p>
    <w:p>
      <w:pPr>
        <w:spacing w:line="420" w:lineRule="exact"/>
        <w:ind w:firstLine="480"/>
        <w:rPr>
          <w:color w:val="auto"/>
          <w:szCs w:val="21"/>
          <w:highlight w:val="none"/>
        </w:rPr>
      </w:pPr>
      <w:r>
        <w:rPr>
          <w:color w:val="auto"/>
          <w:szCs w:val="21"/>
          <w:highlight w:val="none"/>
        </w:rPr>
        <w:t>6.2</w:t>
      </w:r>
      <w:r>
        <w:rPr>
          <w:rFonts w:hAnsi="宋体"/>
          <w:color w:val="auto"/>
          <w:szCs w:val="21"/>
          <w:highlight w:val="none"/>
        </w:rPr>
        <w:t>招标人不组织集中答疑，投标人如对招标公告、招标文件、工程量清单、图纸、标底、招标控制价等文件存在前后矛盾，部分条款说明不清、存在歧义、违反相关法律法规，存在限制性条款等有疑问的应在</w:t>
      </w:r>
      <w:r>
        <w:rPr>
          <w:color w:val="auto"/>
          <w:szCs w:val="21"/>
          <w:highlight w:val="none"/>
          <w:u w:val="single"/>
        </w:rPr>
        <w:t>20</w:t>
      </w:r>
      <w:r>
        <w:rPr>
          <w:rFonts w:hint="eastAsia"/>
          <w:color w:val="auto"/>
          <w:szCs w:val="21"/>
          <w:highlight w:val="none"/>
          <w:u w:val="single"/>
        </w:rPr>
        <w:t>23</w:t>
      </w:r>
      <w:r>
        <w:rPr>
          <w:rFonts w:hAnsi="宋体"/>
          <w:color w:val="auto"/>
          <w:szCs w:val="21"/>
          <w:highlight w:val="none"/>
          <w:u w:val="single"/>
        </w:rPr>
        <w:t>年</w:t>
      </w:r>
      <w:r>
        <w:rPr>
          <w:rFonts w:hint="eastAsia" w:hAnsi="宋体"/>
          <w:color w:val="auto"/>
          <w:szCs w:val="21"/>
          <w:highlight w:val="none"/>
          <w:u w:val="single"/>
          <w:lang w:val="en-US" w:eastAsia="zh-CN"/>
        </w:rPr>
        <w:t>10</w:t>
      </w:r>
      <w:r>
        <w:rPr>
          <w:rFonts w:hAnsi="宋体"/>
          <w:color w:val="auto"/>
          <w:szCs w:val="21"/>
          <w:highlight w:val="none"/>
          <w:u w:val="single"/>
        </w:rPr>
        <w:t>月</w:t>
      </w:r>
      <w:r>
        <w:rPr>
          <w:rFonts w:hint="eastAsia" w:hAnsi="宋体"/>
          <w:color w:val="auto"/>
          <w:szCs w:val="21"/>
          <w:highlight w:val="none"/>
          <w:u w:val="single"/>
          <w:lang w:val="en-US" w:eastAsia="zh-CN"/>
        </w:rPr>
        <w:t>7</w:t>
      </w:r>
      <w:r>
        <w:rPr>
          <w:rFonts w:hAnsi="宋体"/>
          <w:color w:val="auto"/>
          <w:szCs w:val="21"/>
          <w:highlight w:val="none"/>
          <w:u w:val="single"/>
        </w:rPr>
        <w:t>日</w:t>
      </w:r>
      <w:r>
        <w:rPr>
          <w:color w:val="auto"/>
          <w:szCs w:val="21"/>
          <w:highlight w:val="none"/>
          <w:u w:val="single"/>
        </w:rPr>
        <w:t>17</w:t>
      </w:r>
      <w:r>
        <w:rPr>
          <w:rFonts w:hAnsi="宋体"/>
          <w:color w:val="auto"/>
          <w:szCs w:val="21"/>
          <w:highlight w:val="none"/>
          <w:u w:val="single"/>
        </w:rPr>
        <w:t>时</w:t>
      </w:r>
      <w:r>
        <w:rPr>
          <w:rFonts w:hint="eastAsia" w:hAnsi="宋体"/>
          <w:color w:val="auto"/>
          <w:szCs w:val="21"/>
          <w:highlight w:val="none"/>
          <w:u w:val="single"/>
        </w:rPr>
        <w:t>00分</w:t>
      </w:r>
      <w:r>
        <w:rPr>
          <w:rFonts w:hAnsi="宋体"/>
          <w:color w:val="auto"/>
          <w:szCs w:val="21"/>
          <w:highlight w:val="none"/>
          <w:u w:val="single"/>
        </w:rPr>
        <w:t>前</w:t>
      </w:r>
      <w:r>
        <w:rPr>
          <w:rFonts w:hAnsi="宋体"/>
          <w:color w:val="auto"/>
          <w:szCs w:val="21"/>
          <w:highlight w:val="none"/>
        </w:rPr>
        <w:t>向招标人提出澄清要求，</w:t>
      </w:r>
      <w:r>
        <w:rPr>
          <w:color w:val="auto"/>
          <w:highlight w:val="none"/>
        </w:rPr>
        <w:fldChar w:fldCharType="begin"/>
      </w:r>
      <w:r>
        <w:rPr>
          <w:color w:val="auto"/>
          <w:highlight w:val="none"/>
        </w:rPr>
        <w:instrText xml:space="preserve"> HYPERLINK "mailto:以电子文件形式发送至550362779@qq.com" </w:instrText>
      </w:r>
      <w:r>
        <w:rPr>
          <w:color w:val="auto"/>
          <w:highlight w:val="none"/>
        </w:rPr>
        <w:fldChar w:fldCharType="separate"/>
      </w:r>
      <w:r>
        <w:rPr>
          <w:rFonts w:hAnsi="宋体"/>
          <w:color w:val="auto"/>
          <w:szCs w:val="21"/>
          <w:highlight w:val="none"/>
        </w:rPr>
        <w:t>以电子文件形式发送至</w:t>
      </w:r>
      <w:r>
        <w:rPr>
          <w:rFonts w:hAnsi="宋体"/>
          <w:color w:val="auto"/>
          <w:szCs w:val="21"/>
          <w:highlight w:val="none"/>
        </w:rPr>
        <w:fldChar w:fldCharType="end"/>
      </w:r>
      <w:r>
        <w:rPr>
          <w:rFonts w:hAnsi="宋体"/>
          <w:color w:val="auto"/>
          <w:szCs w:val="21"/>
          <w:highlight w:val="none"/>
        </w:rPr>
        <w:t>指定邮箱：</w:t>
      </w:r>
      <w:r>
        <w:rPr>
          <w:rFonts w:hint="eastAsia"/>
          <w:color w:val="auto"/>
          <w:szCs w:val="21"/>
          <w:highlight w:val="none"/>
          <w:lang w:val="en-US" w:eastAsia="zh-CN"/>
        </w:rPr>
        <w:fldChar w:fldCharType="begin"/>
      </w:r>
      <w:r>
        <w:rPr>
          <w:rFonts w:hint="eastAsia"/>
          <w:color w:val="auto"/>
          <w:szCs w:val="21"/>
          <w:highlight w:val="none"/>
          <w:lang w:val="en-US" w:eastAsia="zh-CN"/>
        </w:rPr>
        <w:instrText xml:space="preserve"> HYPERLINK "mailto:1010491310@qq.com（不具单位名称，不加盖单位公章）。招标人在收到疑问材料后2日内予以解答，并于2023年" </w:instrText>
      </w:r>
      <w:r>
        <w:rPr>
          <w:rFonts w:hint="eastAsia"/>
          <w:color w:val="auto"/>
          <w:szCs w:val="21"/>
          <w:highlight w:val="none"/>
          <w:lang w:val="en-US" w:eastAsia="zh-CN"/>
        </w:rPr>
        <w:fldChar w:fldCharType="separate"/>
      </w:r>
      <w:r>
        <w:rPr>
          <w:rStyle w:val="69"/>
          <w:rFonts w:hint="eastAsia"/>
          <w:color w:val="auto"/>
          <w:szCs w:val="21"/>
          <w:highlight w:val="none"/>
          <w:lang w:val="en-US" w:eastAsia="zh-CN"/>
        </w:rPr>
        <w:t>1010491310</w:t>
      </w:r>
      <w:r>
        <w:rPr>
          <w:rStyle w:val="69"/>
          <w:rFonts w:hint="eastAsia"/>
          <w:color w:val="auto"/>
          <w:szCs w:val="21"/>
          <w:highlight w:val="none"/>
        </w:rPr>
        <w:t>@qq.com</w:t>
      </w:r>
      <w:r>
        <w:rPr>
          <w:rStyle w:val="69"/>
          <w:rFonts w:hAnsi="宋体"/>
          <w:color w:val="auto"/>
          <w:szCs w:val="21"/>
          <w:highlight w:val="none"/>
        </w:rPr>
        <w:t>（不具单位名称，不加盖单位公章）。招标人在收到疑问材料后</w:t>
      </w:r>
      <w:r>
        <w:rPr>
          <w:rStyle w:val="69"/>
          <w:rFonts w:hint="eastAsia"/>
          <w:color w:val="auto"/>
          <w:szCs w:val="21"/>
          <w:highlight w:val="none"/>
        </w:rPr>
        <w:t>2</w:t>
      </w:r>
      <w:r>
        <w:rPr>
          <w:rStyle w:val="69"/>
          <w:rFonts w:hAnsi="宋体"/>
          <w:color w:val="auto"/>
          <w:szCs w:val="21"/>
          <w:highlight w:val="none"/>
        </w:rPr>
        <w:t>日内予以解答，并于</w:t>
      </w:r>
      <w:r>
        <w:rPr>
          <w:rStyle w:val="69"/>
          <w:color w:val="auto"/>
          <w:szCs w:val="21"/>
          <w:highlight w:val="none"/>
        </w:rPr>
        <w:t>20</w:t>
      </w:r>
      <w:r>
        <w:rPr>
          <w:rStyle w:val="69"/>
          <w:rFonts w:hint="eastAsia"/>
          <w:color w:val="auto"/>
          <w:szCs w:val="21"/>
          <w:highlight w:val="none"/>
        </w:rPr>
        <w:t>23</w:t>
      </w:r>
      <w:r>
        <w:rPr>
          <w:rStyle w:val="69"/>
          <w:rFonts w:hAnsi="宋体"/>
          <w:color w:val="auto"/>
          <w:szCs w:val="21"/>
          <w:highlight w:val="none"/>
        </w:rPr>
        <w:t>年</w:t>
      </w:r>
      <w:r>
        <w:rPr>
          <w:rFonts w:hint="eastAsia"/>
          <w:color w:val="auto"/>
          <w:szCs w:val="21"/>
          <w:highlight w:val="none"/>
          <w:lang w:val="en-US" w:eastAsia="zh-CN"/>
        </w:rPr>
        <w:fldChar w:fldCharType="end"/>
      </w:r>
      <w:r>
        <w:rPr>
          <w:rFonts w:hint="eastAsia" w:hAnsi="宋体"/>
          <w:color w:val="auto"/>
          <w:szCs w:val="21"/>
          <w:highlight w:val="none"/>
          <w:u w:val="single"/>
          <w:lang w:val="en-US" w:eastAsia="zh-CN"/>
        </w:rPr>
        <w:t>10</w:t>
      </w:r>
      <w:r>
        <w:rPr>
          <w:rFonts w:hAnsi="宋体"/>
          <w:color w:val="auto"/>
          <w:szCs w:val="21"/>
          <w:highlight w:val="none"/>
          <w:u w:val="single"/>
        </w:rPr>
        <w:t>月</w:t>
      </w:r>
      <w:r>
        <w:rPr>
          <w:rFonts w:hint="eastAsia" w:hAnsi="宋体"/>
          <w:color w:val="auto"/>
          <w:szCs w:val="21"/>
          <w:highlight w:val="none"/>
          <w:u w:val="single"/>
          <w:lang w:val="en-US" w:eastAsia="zh-CN"/>
        </w:rPr>
        <w:t>9</w:t>
      </w:r>
      <w:r>
        <w:rPr>
          <w:rFonts w:hAnsi="宋体"/>
          <w:color w:val="auto"/>
          <w:szCs w:val="21"/>
          <w:highlight w:val="none"/>
          <w:u w:val="single"/>
        </w:rPr>
        <w:t>日</w:t>
      </w:r>
      <w:r>
        <w:rPr>
          <w:color w:val="auto"/>
          <w:szCs w:val="21"/>
          <w:highlight w:val="none"/>
          <w:u w:val="single"/>
        </w:rPr>
        <w:t>17</w:t>
      </w:r>
      <w:r>
        <w:rPr>
          <w:rFonts w:hAnsi="宋体"/>
          <w:color w:val="auto"/>
          <w:szCs w:val="21"/>
          <w:highlight w:val="none"/>
          <w:u w:val="single"/>
        </w:rPr>
        <w:t>时</w:t>
      </w:r>
      <w:r>
        <w:rPr>
          <w:rFonts w:hint="eastAsia" w:hAnsi="宋体"/>
          <w:color w:val="auto"/>
          <w:szCs w:val="21"/>
          <w:highlight w:val="none"/>
          <w:u w:val="single"/>
        </w:rPr>
        <w:t>00分后</w:t>
      </w:r>
      <w:r>
        <w:rPr>
          <w:rFonts w:hAnsi="宋体"/>
          <w:color w:val="auto"/>
          <w:szCs w:val="21"/>
          <w:highlight w:val="none"/>
        </w:rPr>
        <w:t>将解答内容（若有）以电子文档上传至将在</w:t>
      </w:r>
      <w:r>
        <w:rPr>
          <w:rFonts w:hint="eastAsia" w:hAnsi="宋体"/>
          <w:b/>
          <w:bCs/>
          <w:color w:val="auto"/>
          <w:szCs w:val="21"/>
          <w:highlight w:val="none"/>
          <w:lang w:eastAsia="zh-CN"/>
        </w:rPr>
        <w:t>南通市保安服务有限公司官网</w:t>
      </w:r>
      <w:r>
        <w:rPr>
          <w:rFonts w:hAnsi="宋体"/>
          <w:color w:val="auto"/>
          <w:szCs w:val="21"/>
          <w:highlight w:val="none"/>
        </w:rPr>
        <w:t>，请各潜在投标人在</w:t>
      </w:r>
      <w:r>
        <w:rPr>
          <w:rFonts w:hint="eastAsia" w:hAnsi="宋体"/>
          <w:b/>
          <w:bCs/>
          <w:color w:val="auto"/>
          <w:szCs w:val="21"/>
          <w:highlight w:val="none"/>
          <w:lang w:eastAsia="zh-CN"/>
        </w:rPr>
        <w:t>南通市保安服务有限公司官网</w:t>
      </w:r>
      <w:r>
        <w:rPr>
          <w:rFonts w:hAnsi="宋体"/>
          <w:color w:val="auto"/>
          <w:szCs w:val="21"/>
          <w:highlight w:val="none"/>
        </w:rPr>
        <w:t>自行下载。</w:t>
      </w:r>
    </w:p>
    <w:p>
      <w:pPr>
        <w:spacing w:line="420" w:lineRule="exact"/>
        <w:ind w:firstLine="480"/>
        <w:rPr>
          <w:b/>
          <w:color w:val="auto"/>
          <w:szCs w:val="21"/>
          <w:highlight w:val="none"/>
        </w:rPr>
      </w:pPr>
      <w:r>
        <w:rPr>
          <w:rFonts w:hAnsi="宋体"/>
          <w:b/>
          <w:color w:val="auto"/>
          <w:szCs w:val="21"/>
          <w:highlight w:val="none"/>
        </w:rPr>
        <w:t>在开标截止时间前，投标人未以书面、电子文件形式提出疑问（质疑）的，视为投标人接受招标公告、招标文件所注全部条款。开标后投标人再对招标公告、招标文件等提出质疑或投诉的，招标人有理由不予受理，由此引起的损失由投标人自行承担。</w:t>
      </w:r>
    </w:p>
    <w:p>
      <w:pPr>
        <w:spacing w:line="420" w:lineRule="exact"/>
        <w:ind w:firstLine="480"/>
        <w:rPr>
          <w:color w:val="auto"/>
          <w:szCs w:val="21"/>
          <w:highlight w:val="none"/>
        </w:rPr>
      </w:pPr>
      <w:r>
        <w:rPr>
          <w:color w:val="auto"/>
          <w:szCs w:val="21"/>
          <w:highlight w:val="none"/>
        </w:rPr>
        <w:t>6.3</w:t>
      </w:r>
      <w:r>
        <w:rPr>
          <w:rFonts w:hAnsi="宋体"/>
          <w:color w:val="auto"/>
          <w:szCs w:val="21"/>
          <w:highlight w:val="none"/>
        </w:rPr>
        <w:t>招标文件的澄清</w:t>
      </w:r>
      <w:r>
        <w:rPr>
          <w:rFonts w:hint="eastAsia" w:hAnsi="宋体"/>
          <w:color w:val="auto"/>
          <w:szCs w:val="21"/>
          <w:highlight w:val="none"/>
        </w:rPr>
        <w:t>答疑将在投标人须知前附表规定的时间前，在</w:t>
      </w:r>
      <w:r>
        <w:rPr>
          <w:rFonts w:hint="eastAsia" w:hAnsi="宋体"/>
          <w:b/>
          <w:bCs/>
          <w:color w:val="auto"/>
          <w:szCs w:val="21"/>
          <w:highlight w:val="none"/>
          <w:lang w:eastAsia="zh-CN"/>
        </w:rPr>
        <w:t>南通市保安服务有限公司官网</w:t>
      </w:r>
      <w:r>
        <w:rPr>
          <w:rFonts w:hint="eastAsia" w:hAnsi="宋体"/>
          <w:color w:val="auto"/>
          <w:szCs w:val="21"/>
          <w:highlight w:val="none"/>
        </w:rPr>
        <w:t>向所有投标人公示，</w:t>
      </w:r>
      <w:r>
        <w:rPr>
          <w:rFonts w:hAnsi="宋体"/>
          <w:color w:val="auto"/>
          <w:szCs w:val="21"/>
          <w:highlight w:val="none"/>
        </w:rPr>
        <w:t>但招标人不指明澄清问题的来源。如果招标人在检查投标人提交的工程量差异问题后认为没有必要对工程量清单进行补充和</w:t>
      </w:r>
      <w:r>
        <w:rPr>
          <w:color w:val="auto"/>
          <w:szCs w:val="21"/>
          <w:highlight w:val="none"/>
        </w:rPr>
        <w:t>(</w:t>
      </w:r>
      <w:r>
        <w:rPr>
          <w:rFonts w:hAnsi="宋体"/>
          <w:color w:val="auto"/>
          <w:szCs w:val="21"/>
          <w:highlight w:val="none"/>
        </w:rPr>
        <w:t>或</w:t>
      </w:r>
      <w:r>
        <w:rPr>
          <w:color w:val="auto"/>
          <w:szCs w:val="21"/>
          <w:highlight w:val="none"/>
        </w:rPr>
        <w:t>)</w:t>
      </w:r>
      <w:r>
        <w:rPr>
          <w:rFonts w:hAnsi="宋体"/>
          <w:color w:val="auto"/>
          <w:szCs w:val="21"/>
          <w:highlight w:val="none"/>
        </w:rPr>
        <w:t>修改，或者招标人根据投标人所提问题对工程量清单进行了补充和</w:t>
      </w:r>
      <w:r>
        <w:rPr>
          <w:color w:val="auto"/>
          <w:szCs w:val="21"/>
          <w:highlight w:val="none"/>
        </w:rPr>
        <w:t>(</w:t>
      </w:r>
      <w:r>
        <w:rPr>
          <w:rFonts w:hAnsi="宋体"/>
          <w:color w:val="auto"/>
          <w:szCs w:val="21"/>
          <w:highlight w:val="none"/>
        </w:rPr>
        <w:t>或</w:t>
      </w:r>
      <w:r>
        <w:rPr>
          <w:color w:val="auto"/>
          <w:szCs w:val="21"/>
          <w:highlight w:val="none"/>
        </w:rPr>
        <w:t>)</w:t>
      </w:r>
      <w:r>
        <w:rPr>
          <w:rFonts w:hAnsi="宋体"/>
          <w:color w:val="auto"/>
          <w:szCs w:val="21"/>
          <w:highlight w:val="none"/>
        </w:rPr>
        <w:t>修改，但投标人认为工程量清单中的工程量依然存在差异，则此类差异不再提交招标人答疑和修正，而是直接按招标人提供的工程量清单</w:t>
      </w:r>
      <w:r>
        <w:rPr>
          <w:color w:val="auto"/>
          <w:szCs w:val="21"/>
          <w:highlight w:val="none"/>
        </w:rPr>
        <w:t>(</w:t>
      </w:r>
      <w:r>
        <w:rPr>
          <w:rFonts w:hAnsi="宋体"/>
          <w:color w:val="auto"/>
          <w:szCs w:val="21"/>
          <w:highlight w:val="none"/>
        </w:rPr>
        <w:t>包括招标人已作的补充和</w:t>
      </w:r>
      <w:r>
        <w:rPr>
          <w:color w:val="auto"/>
          <w:szCs w:val="21"/>
          <w:highlight w:val="none"/>
        </w:rPr>
        <w:t>(</w:t>
      </w:r>
      <w:r>
        <w:rPr>
          <w:rFonts w:hAnsi="宋体"/>
          <w:color w:val="auto"/>
          <w:szCs w:val="21"/>
          <w:highlight w:val="none"/>
        </w:rPr>
        <w:t>或</w:t>
      </w:r>
      <w:r>
        <w:rPr>
          <w:color w:val="auto"/>
          <w:szCs w:val="21"/>
          <w:highlight w:val="none"/>
        </w:rPr>
        <w:t>)</w:t>
      </w:r>
      <w:r>
        <w:rPr>
          <w:rFonts w:hAnsi="宋体"/>
          <w:color w:val="auto"/>
          <w:szCs w:val="21"/>
          <w:highlight w:val="none"/>
        </w:rPr>
        <w:t>修改</w:t>
      </w:r>
      <w:r>
        <w:rPr>
          <w:color w:val="auto"/>
          <w:szCs w:val="21"/>
          <w:highlight w:val="none"/>
        </w:rPr>
        <w:t>)</w:t>
      </w:r>
      <w:r>
        <w:rPr>
          <w:rFonts w:hAnsi="宋体"/>
          <w:color w:val="auto"/>
          <w:szCs w:val="21"/>
          <w:highlight w:val="none"/>
        </w:rPr>
        <w:t>进行投标报价。</w:t>
      </w:r>
    </w:p>
    <w:p>
      <w:pPr>
        <w:spacing w:line="420" w:lineRule="exact"/>
        <w:ind w:firstLine="480"/>
        <w:rPr>
          <w:color w:val="auto"/>
          <w:szCs w:val="21"/>
          <w:highlight w:val="none"/>
        </w:rPr>
      </w:pPr>
      <w:r>
        <w:rPr>
          <w:rFonts w:hAnsi="宋体"/>
          <w:color w:val="auto"/>
          <w:szCs w:val="21"/>
          <w:highlight w:val="none"/>
        </w:rPr>
        <w:t>投标人对招标人提供的招标文件所做出的推论、解释和结论，招标人概不负责。投标人由于对招标文件的任何推论和误解均由投标人自负。</w:t>
      </w:r>
    </w:p>
    <w:p>
      <w:pPr>
        <w:spacing w:line="420" w:lineRule="exact"/>
        <w:ind w:firstLine="480"/>
        <w:rPr>
          <w:color w:val="auto"/>
          <w:szCs w:val="21"/>
          <w:highlight w:val="none"/>
        </w:rPr>
      </w:pPr>
      <w:r>
        <w:rPr>
          <w:rFonts w:hAnsi="宋体"/>
          <w:color w:val="auto"/>
          <w:szCs w:val="21"/>
          <w:highlight w:val="none"/>
        </w:rPr>
        <w:t>在投标截止时间</w:t>
      </w:r>
      <w:r>
        <w:rPr>
          <w:rFonts w:hint="eastAsia"/>
          <w:color w:val="auto"/>
          <w:szCs w:val="21"/>
          <w:highlight w:val="none"/>
        </w:rPr>
        <w:t>3</w:t>
      </w:r>
      <w:r>
        <w:rPr>
          <w:rFonts w:hAnsi="宋体"/>
          <w:color w:val="auto"/>
          <w:szCs w:val="21"/>
          <w:highlight w:val="none"/>
        </w:rPr>
        <w:t>天前，招标人可以修改招标文件，并以电子文档形式在</w:t>
      </w:r>
      <w:r>
        <w:rPr>
          <w:rFonts w:hint="eastAsia" w:hAnsi="宋体"/>
          <w:b/>
          <w:bCs/>
          <w:color w:val="auto"/>
          <w:szCs w:val="21"/>
          <w:highlight w:val="none"/>
          <w:lang w:eastAsia="zh-CN"/>
        </w:rPr>
        <w:t>南通市保安服务有限公司官网</w:t>
      </w:r>
      <w:r>
        <w:rPr>
          <w:rFonts w:hAnsi="宋体"/>
          <w:color w:val="auto"/>
          <w:szCs w:val="21"/>
          <w:highlight w:val="none"/>
        </w:rPr>
        <w:t>发布。如果修改招标文件的时间距投标截止时间不足</w:t>
      </w:r>
      <w:r>
        <w:rPr>
          <w:rFonts w:hint="eastAsia"/>
          <w:color w:val="auto"/>
          <w:szCs w:val="21"/>
          <w:highlight w:val="none"/>
        </w:rPr>
        <w:t>3</w:t>
      </w:r>
      <w:r>
        <w:rPr>
          <w:rFonts w:hAnsi="宋体"/>
          <w:color w:val="auto"/>
          <w:szCs w:val="21"/>
          <w:highlight w:val="none"/>
        </w:rPr>
        <w:t>天，相应延长投标截止时间。</w:t>
      </w:r>
    </w:p>
    <w:p>
      <w:pPr>
        <w:autoSpaceDE w:val="0"/>
        <w:autoSpaceDN w:val="0"/>
        <w:adjustRightInd w:val="0"/>
        <w:spacing w:line="420" w:lineRule="exact"/>
        <w:ind w:left="500"/>
        <w:jc w:val="left"/>
        <w:rPr>
          <w:b/>
          <w:color w:val="auto"/>
          <w:kern w:val="0"/>
          <w:szCs w:val="21"/>
          <w:highlight w:val="none"/>
        </w:rPr>
      </w:pPr>
      <w:r>
        <w:rPr>
          <w:b/>
          <w:color w:val="auto"/>
          <w:kern w:val="0"/>
          <w:szCs w:val="21"/>
          <w:highlight w:val="none"/>
        </w:rPr>
        <w:t>7</w:t>
      </w:r>
      <w:r>
        <w:rPr>
          <w:rFonts w:hAnsi="宋体"/>
          <w:b/>
          <w:color w:val="auto"/>
          <w:kern w:val="0"/>
          <w:szCs w:val="21"/>
          <w:highlight w:val="none"/>
        </w:rPr>
        <w:t>、招标文件的修改</w:t>
      </w:r>
    </w:p>
    <w:p>
      <w:pPr>
        <w:spacing w:line="420" w:lineRule="exact"/>
        <w:ind w:firstLine="480"/>
        <w:rPr>
          <w:color w:val="auto"/>
          <w:szCs w:val="21"/>
          <w:highlight w:val="none"/>
        </w:rPr>
      </w:pPr>
      <w:r>
        <w:rPr>
          <w:color w:val="auto"/>
          <w:szCs w:val="21"/>
          <w:highlight w:val="none"/>
        </w:rPr>
        <w:t>7.1</w:t>
      </w:r>
      <w:r>
        <w:rPr>
          <w:rFonts w:hAnsi="宋体"/>
          <w:color w:val="auto"/>
          <w:szCs w:val="21"/>
          <w:highlight w:val="none"/>
        </w:rPr>
        <w:t>招标文件发布后，在投标截止期前，确需对招标文件进行修改的，招标人以招标文件澄清、答疑方式，经将在</w:t>
      </w:r>
      <w:r>
        <w:rPr>
          <w:rFonts w:hint="eastAsia" w:hAnsi="宋体"/>
          <w:color w:val="auto"/>
          <w:szCs w:val="21"/>
          <w:highlight w:val="none"/>
          <w:lang w:eastAsia="zh-CN"/>
        </w:rPr>
        <w:t>南通市保安服务有限公司官网</w:t>
      </w:r>
      <w:r>
        <w:rPr>
          <w:rFonts w:hAnsi="宋体"/>
          <w:color w:val="auto"/>
          <w:szCs w:val="21"/>
          <w:highlight w:val="none"/>
        </w:rPr>
        <w:t>向所有投标人公示。</w:t>
      </w:r>
    </w:p>
    <w:p>
      <w:pPr>
        <w:spacing w:line="420" w:lineRule="exact"/>
        <w:ind w:firstLine="480"/>
        <w:rPr>
          <w:rFonts w:hAnsi="宋体"/>
          <w:color w:val="auto"/>
          <w:szCs w:val="21"/>
          <w:highlight w:val="none"/>
        </w:rPr>
      </w:pPr>
      <w:r>
        <w:rPr>
          <w:rFonts w:hAnsi="宋体"/>
          <w:color w:val="auto"/>
          <w:szCs w:val="21"/>
          <w:highlight w:val="none"/>
        </w:rPr>
        <w:t>7.2招标人在投标截止期前对招标文件的所作澄清、答疑、修改作为招标文件的组成部分，对招标人、投标人均具有约束力。如果修改招标文件时间距投标截止时间不足</w:t>
      </w:r>
      <w:r>
        <w:rPr>
          <w:rFonts w:hint="eastAsia" w:hAnsi="宋体"/>
          <w:color w:val="auto"/>
          <w:szCs w:val="21"/>
          <w:highlight w:val="none"/>
        </w:rPr>
        <w:t>3</w:t>
      </w:r>
      <w:r>
        <w:rPr>
          <w:rFonts w:hAnsi="宋体"/>
          <w:color w:val="auto"/>
          <w:szCs w:val="21"/>
          <w:highlight w:val="none"/>
        </w:rPr>
        <w:t>天，为保证投标人合理时间编制投标文件，招标人应合理延长递交投标文件的截止日期。</w:t>
      </w:r>
    </w:p>
    <w:p>
      <w:pPr>
        <w:spacing w:line="420" w:lineRule="exact"/>
        <w:ind w:firstLine="480"/>
        <w:rPr>
          <w:rFonts w:hAnsi="宋体"/>
          <w:color w:val="auto"/>
          <w:szCs w:val="21"/>
          <w:highlight w:val="none"/>
        </w:rPr>
      </w:pPr>
      <w:r>
        <w:rPr>
          <w:rFonts w:hAnsi="宋体"/>
          <w:color w:val="auto"/>
          <w:szCs w:val="21"/>
          <w:highlight w:val="none"/>
        </w:rPr>
        <w:t>7.3本工程采用电子答疑，招标人对招标文件的所作澄清、答疑、修改均以将在</w:t>
      </w:r>
      <w:r>
        <w:rPr>
          <w:rFonts w:hint="eastAsia" w:hAnsi="宋体"/>
          <w:color w:val="auto"/>
          <w:szCs w:val="21"/>
          <w:highlight w:val="none"/>
          <w:lang w:eastAsia="zh-CN"/>
        </w:rPr>
        <w:t>南通市保安服务有限公司官网</w:t>
      </w:r>
      <w:r>
        <w:rPr>
          <w:rFonts w:hAnsi="宋体"/>
          <w:color w:val="auto"/>
          <w:szCs w:val="21"/>
          <w:highlight w:val="none"/>
        </w:rPr>
        <w:t>上公布的内容为准。招标文件的答疑内容前后期相互矛盾时，以公示时间在后的文件为准。投标人应在投标截止时间前随时查看将在</w:t>
      </w:r>
      <w:r>
        <w:rPr>
          <w:rFonts w:hint="eastAsia" w:ascii="宋体" w:hAnsi="宋体"/>
          <w:color w:val="auto"/>
          <w:szCs w:val="21"/>
          <w:highlight w:val="none"/>
          <w:lang w:val="en-US" w:eastAsia="zh-CN"/>
        </w:rPr>
        <w:t>南通市保安服务有限公司官网</w:t>
      </w:r>
      <w:r>
        <w:rPr>
          <w:rFonts w:hAnsi="宋体"/>
          <w:color w:val="auto"/>
          <w:szCs w:val="21"/>
          <w:highlight w:val="none"/>
        </w:rPr>
        <w:t>中有关该工程招标文件的答疑内容。投标人因自身原因未能及时掌握上述网上公示信息，由此造成投标损失自负。</w:t>
      </w:r>
    </w:p>
    <w:p>
      <w:pPr>
        <w:spacing w:before="156" w:beforeLines="50" w:after="156" w:afterLines="50" w:line="420" w:lineRule="exact"/>
        <w:jc w:val="center"/>
        <w:rPr>
          <w:color w:val="auto"/>
          <w:sz w:val="24"/>
          <w:highlight w:val="none"/>
        </w:rPr>
      </w:pPr>
    </w:p>
    <w:p>
      <w:pPr>
        <w:pStyle w:val="4"/>
        <w:jc w:val="center"/>
        <w:rPr>
          <w:rFonts w:ascii="Times New Roman" w:hAnsi="Times New Roman" w:eastAsia="宋体"/>
          <w:color w:val="auto"/>
          <w:sz w:val="24"/>
          <w:szCs w:val="24"/>
          <w:highlight w:val="none"/>
        </w:rPr>
      </w:pPr>
      <w:r>
        <w:rPr>
          <w:rFonts w:ascii="Times New Roman" w:hAnsi="宋体" w:eastAsia="宋体"/>
          <w:color w:val="auto"/>
          <w:sz w:val="24"/>
          <w:szCs w:val="24"/>
          <w:highlight w:val="none"/>
        </w:rPr>
        <w:t>（三）投标文件</w:t>
      </w:r>
    </w:p>
    <w:p>
      <w:pPr>
        <w:spacing w:line="360" w:lineRule="auto"/>
        <w:ind w:firstLine="422" w:firstLineChars="200"/>
        <w:rPr>
          <w:color w:val="auto"/>
          <w:szCs w:val="21"/>
          <w:highlight w:val="none"/>
        </w:rPr>
      </w:pPr>
      <w:r>
        <w:rPr>
          <w:b/>
          <w:color w:val="auto"/>
          <w:kern w:val="0"/>
          <w:szCs w:val="21"/>
          <w:highlight w:val="none"/>
        </w:rPr>
        <w:t xml:space="preserve">8. </w:t>
      </w:r>
      <w:r>
        <w:rPr>
          <w:rFonts w:hAnsi="宋体"/>
          <w:color w:val="auto"/>
          <w:szCs w:val="21"/>
          <w:highlight w:val="none"/>
        </w:rPr>
        <w:t>投标人应认真阅读招标文件所有内容，未按招标文件要求编制的投标文件将被拒绝或者作为废标处理。</w:t>
      </w:r>
    </w:p>
    <w:p>
      <w:pPr>
        <w:spacing w:line="360" w:lineRule="auto"/>
        <w:ind w:firstLine="422" w:firstLineChars="200"/>
        <w:rPr>
          <w:color w:val="auto"/>
          <w:szCs w:val="21"/>
          <w:highlight w:val="none"/>
        </w:rPr>
      </w:pPr>
      <w:r>
        <w:rPr>
          <w:b/>
          <w:color w:val="auto"/>
          <w:kern w:val="0"/>
          <w:szCs w:val="21"/>
          <w:highlight w:val="none"/>
        </w:rPr>
        <w:t xml:space="preserve">9. </w:t>
      </w:r>
      <w:r>
        <w:rPr>
          <w:rFonts w:hAnsi="宋体"/>
          <w:color w:val="auto"/>
          <w:szCs w:val="21"/>
          <w:highlight w:val="none"/>
        </w:rPr>
        <w:t>本工程投标文件由</w:t>
      </w:r>
      <w:r>
        <w:rPr>
          <w:rFonts w:hAnsi="宋体"/>
          <w:b/>
          <w:color w:val="auto"/>
          <w:szCs w:val="21"/>
          <w:highlight w:val="none"/>
          <w:u w:val="single"/>
        </w:rPr>
        <w:t>资格审查资料包、商务标</w:t>
      </w:r>
      <w:r>
        <w:rPr>
          <w:rFonts w:hint="eastAsia" w:hAnsi="宋体"/>
          <w:color w:val="auto"/>
          <w:szCs w:val="21"/>
          <w:highlight w:val="none"/>
          <w:lang w:val="en-US" w:eastAsia="zh-CN"/>
        </w:rPr>
        <w:t>两</w:t>
      </w:r>
      <w:r>
        <w:rPr>
          <w:rFonts w:hAnsi="宋体"/>
          <w:color w:val="auto"/>
          <w:szCs w:val="21"/>
          <w:highlight w:val="none"/>
        </w:rPr>
        <w:t>部分组成，具体应包括以下内容：</w:t>
      </w:r>
    </w:p>
    <w:p>
      <w:pPr>
        <w:spacing w:line="360" w:lineRule="auto"/>
        <w:ind w:firstLine="422" w:firstLineChars="200"/>
        <w:rPr>
          <w:b/>
          <w:color w:val="auto"/>
          <w:szCs w:val="21"/>
          <w:highlight w:val="none"/>
        </w:rPr>
      </w:pPr>
      <w:r>
        <w:rPr>
          <w:b/>
          <w:color w:val="auto"/>
          <w:szCs w:val="21"/>
          <w:highlight w:val="none"/>
        </w:rPr>
        <w:t xml:space="preserve">9.1 </w:t>
      </w:r>
      <w:r>
        <w:rPr>
          <w:rFonts w:hAnsi="宋体"/>
          <w:b/>
          <w:color w:val="auto"/>
          <w:szCs w:val="21"/>
          <w:highlight w:val="none"/>
        </w:rPr>
        <w:t>资格审查资料包包括内容：</w:t>
      </w:r>
    </w:p>
    <w:p>
      <w:pPr>
        <w:numPr>
          <w:ilvl w:val="0"/>
          <w:numId w:val="2"/>
        </w:numPr>
        <w:spacing w:line="360" w:lineRule="auto"/>
        <w:ind w:left="0" w:firstLine="420" w:firstLineChars="200"/>
        <w:rPr>
          <w:color w:val="auto"/>
          <w:szCs w:val="21"/>
          <w:highlight w:val="none"/>
        </w:rPr>
      </w:pPr>
      <w:r>
        <w:rPr>
          <w:rFonts w:hint="eastAsia"/>
          <w:color w:val="auto"/>
          <w:szCs w:val="21"/>
          <w:highlight w:val="none"/>
          <w:lang w:val="en-US" w:eastAsia="zh-CN"/>
        </w:rPr>
        <w:t>有效的</w:t>
      </w:r>
      <w:r>
        <w:rPr>
          <w:rFonts w:hint="eastAsia"/>
          <w:color w:val="auto"/>
          <w:szCs w:val="21"/>
          <w:highlight w:val="none"/>
        </w:rPr>
        <w:t>法定代表人身份证明书</w:t>
      </w:r>
      <w:r>
        <w:rPr>
          <w:rFonts w:hint="eastAsia"/>
          <w:color w:val="auto"/>
          <w:szCs w:val="21"/>
          <w:highlight w:val="none"/>
          <w:lang w:val="en-US" w:eastAsia="zh-CN"/>
        </w:rPr>
        <w:t>原件（详见第七章）</w:t>
      </w:r>
      <w:r>
        <w:rPr>
          <w:rFonts w:hint="eastAsia"/>
          <w:color w:val="auto"/>
          <w:szCs w:val="21"/>
          <w:highlight w:val="none"/>
        </w:rPr>
        <w:t>；</w:t>
      </w:r>
    </w:p>
    <w:p>
      <w:pPr>
        <w:numPr>
          <w:ilvl w:val="0"/>
          <w:numId w:val="2"/>
        </w:numPr>
        <w:spacing w:line="360" w:lineRule="auto"/>
        <w:ind w:left="0" w:firstLine="420" w:firstLineChars="200"/>
        <w:rPr>
          <w:color w:val="auto"/>
          <w:szCs w:val="21"/>
          <w:highlight w:val="none"/>
        </w:rPr>
      </w:pPr>
      <w:r>
        <w:rPr>
          <w:rFonts w:hint="eastAsia"/>
          <w:color w:val="auto"/>
          <w:szCs w:val="21"/>
          <w:highlight w:val="none"/>
          <w:lang w:val="en-US" w:eastAsia="zh-CN"/>
        </w:rPr>
        <w:t>有效的</w:t>
      </w:r>
      <w:r>
        <w:rPr>
          <w:rFonts w:hint="eastAsia"/>
          <w:color w:val="auto"/>
          <w:szCs w:val="21"/>
          <w:highlight w:val="none"/>
        </w:rPr>
        <w:t>授权委托书</w:t>
      </w:r>
      <w:r>
        <w:rPr>
          <w:rFonts w:hint="eastAsia"/>
          <w:color w:val="auto"/>
          <w:szCs w:val="21"/>
          <w:highlight w:val="none"/>
          <w:lang w:val="en-US" w:eastAsia="zh-CN"/>
        </w:rPr>
        <w:t>原件</w:t>
      </w:r>
      <w:r>
        <w:rPr>
          <w:rFonts w:hint="eastAsia"/>
          <w:color w:val="auto"/>
          <w:szCs w:val="21"/>
          <w:highlight w:val="none"/>
        </w:rPr>
        <w:t>(如有授权（详见第七章）)；</w:t>
      </w:r>
    </w:p>
    <w:p>
      <w:pPr>
        <w:numPr>
          <w:ilvl w:val="0"/>
          <w:numId w:val="2"/>
        </w:numPr>
        <w:spacing w:line="360" w:lineRule="auto"/>
        <w:ind w:left="0" w:firstLine="420" w:firstLineChars="200"/>
        <w:rPr>
          <w:color w:val="auto"/>
          <w:szCs w:val="21"/>
          <w:highlight w:val="none"/>
        </w:rPr>
      </w:pPr>
      <w:r>
        <w:rPr>
          <w:rFonts w:hAnsi="宋体"/>
          <w:color w:val="auto"/>
          <w:szCs w:val="21"/>
          <w:highlight w:val="none"/>
        </w:rPr>
        <w:t>有效的企业法人营业执照复印件；</w:t>
      </w:r>
    </w:p>
    <w:p>
      <w:pPr>
        <w:numPr>
          <w:ilvl w:val="0"/>
          <w:numId w:val="2"/>
        </w:numPr>
        <w:spacing w:line="360" w:lineRule="auto"/>
        <w:ind w:left="0" w:firstLine="420" w:firstLineChars="200"/>
        <w:rPr>
          <w:color w:val="auto"/>
          <w:szCs w:val="21"/>
          <w:highlight w:val="none"/>
        </w:rPr>
      </w:pPr>
      <w:r>
        <w:rPr>
          <w:rFonts w:hint="eastAsia" w:hAnsi="宋体"/>
          <w:color w:val="auto"/>
          <w:szCs w:val="21"/>
          <w:highlight w:val="none"/>
        </w:rPr>
        <w:t>有效的</w:t>
      </w:r>
      <w:r>
        <w:rPr>
          <w:rFonts w:hAnsi="宋体"/>
          <w:color w:val="auto"/>
          <w:szCs w:val="21"/>
          <w:highlight w:val="none"/>
        </w:rPr>
        <w:t>企业资质证书复印件；</w:t>
      </w:r>
    </w:p>
    <w:p>
      <w:pPr>
        <w:numPr>
          <w:ilvl w:val="0"/>
          <w:numId w:val="2"/>
        </w:numPr>
        <w:spacing w:line="360" w:lineRule="auto"/>
        <w:ind w:left="0" w:firstLine="420" w:firstLineChars="200"/>
        <w:rPr>
          <w:color w:val="auto"/>
          <w:szCs w:val="21"/>
          <w:highlight w:val="none"/>
        </w:rPr>
      </w:pPr>
      <w:r>
        <w:rPr>
          <w:rFonts w:hint="eastAsia" w:hAnsi="宋体"/>
          <w:color w:val="auto"/>
          <w:szCs w:val="21"/>
          <w:highlight w:val="none"/>
        </w:rPr>
        <w:t>有效的</w:t>
      </w:r>
      <w:r>
        <w:rPr>
          <w:rFonts w:hAnsi="宋体"/>
          <w:color w:val="auto"/>
          <w:szCs w:val="21"/>
          <w:highlight w:val="none"/>
        </w:rPr>
        <w:t>企业安全生产许可证复印件；</w:t>
      </w:r>
    </w:p>
    <w:p>
      <w:pPr>
        <w:numPr>
          <w:ilvl w:val="0"/>
          <w:numId w:val="2"/>
        </w:numPr>
        <w:spacing w:line="360" w:lineRule="auto"/>
        <w:ind w:left="0" w:firstLine="420" w:firstLineChars="200"/>
        <w:rPr>
          <w:color w:val="auto"/>
          <w:szCs w:val="21"/>
          <w:highlight w:val="none"/>
        </w:rPr>
      </w:pPr>
      <w:r>
        <w:rPr>
          <w:rFonts w:hAnsi="宋体"/>
          <w:color w:val="auto"/>
          <w:szCs w:val="21"/>
          <w:highlight w:val="none"/>
        </w:rPr>
        <w:t>拟派项目负责人</w:t>
      </w:r>
      <w:r>
        <w:rPr>
          <w:rFonts w:hint="eastAsia" w:hAnsi="宋体"/>
          <w:color w:val="auto"/>
          <w:szCs w:val="21"/>
          <w:highlight w:val="none"/>
        </w:rPr>
        <w:t>有效的</w:t>
      </w:r>
      <w:r>
        <w:rPr>
          <w:rFonts w:hAnsi="宋体"/>
          <w:color w:val="auto"/>
          <w:szCs w:val="21"/>
          <w:highlight w:val="none"/>
        </w:rPr>
        <w:t>建造师资格证书复印件；</w:t>
      </w:r>
    </w:p>
    <w:p>
      <w:pPr>
        <w:numPr>
          <w:ilvl w:val="0"/>
          <w:numId w:val="2"/>
        </w:numPr>
        <w:spacing w:line="360" w:lineRule="auto"/>
        <w:ind w:left="0" w:firstLine="420" w:firstLineChars="200"/>
        <w:rPr>
          <w:color w:val="auto"/>
          <w:szCs w:val="21"/>
          <w:highlight w:val="none"/>
        </w:rPr>
      </w:pPr>
      <w:r>
        <w:rPr>
          <w:rFonts w:hAnsi="宋体"/>
          <w:color w:val="auto"/>
          <w:szCs w:val="21"/>
          <w:highlight w:val="none"/>
        </w:rPr>
        <w:t>拟派项目负责人</w:t>
      </w:r>
      <w:r>
        <w:rPr>
          <w:rFonts w:hint="eastAsia" w:hAnsi="宋体"/>
          <w:color w:val="auto"/>
          <w:szCs w:val="21"/>
          <w:highlight w:val="none"/>
        </w:rPr>
        <w:t>有效的</w:t>
      </w:r>
      <w:r>
        <w:rPr>
          <w:rFonts w:hAnsi="宋体"/>
          <w:color w:val="auto"/>
          <w:szCs w:val="21"/>
          <w:highlight w:val="none"/>
        </w:rPr>
        <w:t>安全生产考核合格证（</w:t>
      </w:r>
      <w:r>
        <w:rPr>
          <w:color w:val="auto"/>
          <w:szCs w:val="21"/>
          <w:highlight w:val="none"/>
        </w:rPr>
        <w:t>B</w:t>
      </w:r>
      <w:r>
        <w:rPr>
          <w:rFonts w:hAnsi="宋体"/>
          <w:color w:val="auto"/>
          <w:szCs w:val="21"/>
          <w:highlight w:val="none"/>
        </w:rPr>
        <w:t>证）复印件；</w:t>
      </w:r>
    </w:p>
    <w:p>
      <w:pPr>
        <w:numPr>
          <w:ilvl w:val="0"/>
          <w:numId w:val="2"/>
        </w:numPr>
        <w:spacing w:line="360" w:lineRule="auto"/>
        <w:ind w:left="0" w:firstLine="420" w:firstLineChars="200"/>
        <w:rPr>
          <w:color w:val="auto"/>
          <w:szCs w:val="21"/>
          <w:highlight w:val="none"/>
        </w:rPr>
      </w:pPr>
      <w:r>
        <w:rPr>
          <w:rFonts w:hAnsi="宋体"/>
          <w:color w:val="auto"/>
          <w:szCs w:val="21"/>
          <w:highlight w:val="none"/>
        </w:rPr>
        <w:t>拟派项目负责人为投标企业正式人员证明材料复印件；（投标企业必须提供：投标企业与项目经理双方签订的有效劳动合同书）</w:t>
      </w:r>
    </w:p>
    <w:p>
      <w:pPr>
        <w:numPr>
          <w:ilvl w:val="0"/>
          <w:numId w:val="2"/>
        </w:numPr>
        <w:spacing w:line="360" w:lineRule="auto"/>
        <w:ind w:left="0" w:firstLine="420" w:firstLineChars="200"/>
        <w:rPr>
          <w:rFonts w:hAnsi="宋体"/>
          <w:color w:val="auto"/>
          <w:szCs w:val="21"/>
          <w:highlight w:val="none"/>
        </w:rPr>
      </w:pPr>
      <w:r>
        <w:rPr>
          <w:rFonts w:hAnsi="宋体"/>
          <w:color w:val="auto"/>
          <w:szCs w:val="21"/>
          <w:highlight w:val="none"/>
        </w:rPr>
        <w:t>拟派项目负责人无在建工程（详见第七章</w:t>
      </w:r>
      <w:r>
        <w:rPr>
          <w:color w:val="auto"/>
          <w:szCs w:val="21"/>
          <w:highlight w:val="none"/>
        </w:rPr>
        <w:t>—</w:t>
      </w:r>
      <w:r>
        <w:rPr>
          <w:rFonts w:hAnsi="宋体"/>
          <w:color w:val="auto"/>
          <w:szCs w:val="21"/>
          <w:highlight w:val="none"/>
        </w:rPr>
        <w:t>诚信承诺书）；</w:t>
      </w:r>
    </w:p>
    <w:p>
      <w:pPr>
        <w:numPr>
          <w:ilvl w:val="0"/>
          <w:numId w:val="2"/>
        </w:numPr>
        <w:spacing w:line="360" w:lineRule="auto"/>
        <w:ind w:left="0" w:firstLine="420" w:firstLineChars="200"/>
        <w:rPr>
          <w:color w:val="auto"/>
          <w:szCs w:val="21"/>
          <w:highlight w:val="none"/>
        </w:rPr>
      </w:pPr>
      <w:r>
        <w:rPr>
          <w:rFonts w:hAnsi="宋体"/>
          <w:color w:val="auto"/>
          <w:szCs w:val="21"/>
          <w:highlight w:val="none"/>
        </w:rPr>
        <w:t>工程完工证明复印件</w:t>
      </w:r>
      <w:r>
        <w:rPr>
          <w:rFonts w:hAnsi="宋体"/>
          <w:b/>
          <w:color w:val="auto"/>
          <w:szCs w:val="21"/>
          <w:highlight w:val="none"/>
        </w:rPr>
        <w:t>（如有）</w:t>
      </w:r>
      <w:r>
        <w:rPr>
          <w:rFonts w:hint="eastAsia" w:hAnsi="宋体"/>
          <w:b/>
          <w:color w:val="auto"/>
          <w:szCs w:val="21"/>
          <w:highlight w:val="none"/>
          <w:lang w:eastAsia="zh-CN"/>
        </w:rPr>
        <w:t>；</w:t>
      </w:r>
    </w:p>
    <w:p>
      <w:pPr>
        <w:spacing w:line="360" w:lineRule="auto"/>
        <w:ind w:firstLine="420" w:firstLineChars="200"/>
        <w:rPr>
          <w:color w:val="auto"/>
          <w:szCs w:val="21"/>
          <w:highlight w:val="none"/>
        </w:rPr>
      </w:pPr>
      <w:r>
        <w:rPr>
          <w:rFonts w:hAnsi="宋体"/>
          <w:color w:val="auto"/>
          <w:szCs w:val="21"/>
          <w:highlight w:val="none"/>
        </w:rPr>
        <w:t>拟派项目经理在崇川区范围内有在建工程的，虽然未正式竣工验收但工程确已完工的，必须有由建设单位出具</w:t>
      </w:r>
      <w:r>
        <w:rPr>
          <w:color w:val="auto"/>
          <w:szCs w:val="21"/>
          <w:highlight w:val="none"/>
        </w:rPr>
        <w:t>“</w:t>
      </w:r>
      <w:r>
        <w:rPr>
          <w:rFonts w:hAnsi="宋体"/>
          <w:color w:val="auto"/>
          <w:szCs w:val="21"/>
          <w:highlight w:val="none"/>
        </w:rPr>
        <w:t>工程已完工，同意项目经理参加其他工程招投标活动</w:t>
      </w:r>
      <w:r>
        <w:rPr>
          <w:color w:val="auto"/>
          <w:szCs w:val="21"/>
          <w:highlight w:val="none"/>
        </w:rPr>
        <w:t>”</w:t>
      </w:r>
      <w:r>
        <w:rPr>
          <w:rFonts w:hAnsi="宋体"/>
          <w:color w:val="auto"/>
          <w:szCs w:val="21"/>
          <w:highlight w:val="none"/>
        </w:rPr>
        <w:t>的证明。无此证明的一律做废标处理。证明格式详见第七章</w:t>
      </w:r>
      <w:r>
        <w:rPr>
          <w:color w:val="auto"/>
          <w:szCs w:val="21"/>
          <w:highlight w:val="none"/>
        </w:rPr>
        <w:t>—</w:t>
      </w:r>
      <w:r>
        <w:rPr>
          <w:rFonts w:hAnsi="宋体"/>
          <w:color w:val="auto"/>
          <w:szCs w:val="21"/>
          <w:highlight w:val="none"/>
        </w:rPr>
        <w:t>工程完工证明</w:t>
      </w:r>
    </w:p>
    <w:p>
      <w:pPr>
        <w:spacing w:line="360" w:lineRule="auto"/>
        <w:ind w:firstLine="420" w:firstLineChars="200"/>
        <w:rPr>
          <w:color w:val="auto"/>
          <w:szCs w:val="21"/>
          <w:highlight w:val="none"/>
        </w:rPr>
      </w:pPr>
      <w:r>
        <w:rPr>
          <w:rFonts w:hint="eastAsia" w:hAnsi="宋体"/>
          <w:color w:val="auto"/>
          <w:szCs w:val="21"/>
          <w:highlight w:val="none"/>
          <w:lang w:eastAsia="zh-CN"/>
        </w:rPr>
        <w:t>（</w:t>
      </w:r>
      <w:r>
        <w:rPr>
          <w:rFonts w:hint="eastAsia" w:hAnsi="宋体"/>
          <w:color w:val="auto"/>
          <w:szCs w:val="21"/>
          <w:highlight w:val="none"/>
          <w:lang w:val="en-US" w:eastAsia="zh-CN"/>
        </w:rPr>
        <w:t>11</w:t>
      </w:r>
      <w:r>
        <w:rPr>
          <w:rFonts w:hint="eastAsia" w:hAnsi="宋体"/>
          <w:color w:val="auto"/>
          <w:szCs w:val="21"/>
          <w:highlight w:val="none"/>
          <w:lang w:eastAsia="zh-CN"/>
        </w:rPr>
        <w:t>）</w:t>
      </w:r>
      <w:r>
        <w:rPr>
          <w:rFonts w:hint="eastAsia" w:ascii="宋体" w:hAnsi="宋体" w:cs="宋体"/>
          <w:color w:val="auto"/>
          <w:sz w:val="21"/>
          <w:szCs w:val="21"/>
          <w:highlight w:val="none"/>
        </w:rPr>
        <w:t>现场勘察回执</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lang w:val="en-US" w:eastAsia="zh-CN"/>
        </w:rPr>
        <w:t>格式详见第七章。</w:t>
      </w:r>
    </w:p>
    <w:p>
      <w:pPr>
        <w:spacing w:line="360" w:lineRule="auto"/>
        <w:ind w:firstLine="420" w:firstLineChars="200"/>
        <w:rPr>
          <w:color w:val="auto"/>
          <w:szCs w:val="21"/>
          <w:highlight w:val="none"/>
        </w:rPr>
      </w:pPr>
      <w:r>
        <w:rPr>
          <w:color w:val="auto"/>
          <w:szCs w:val="21"/>
          <w:highlight w:val="none"/>
        </w:rPr>
        <w:t xml:space="preserve"> (</w:t>
      </w:r>
      <w:r>
        <w:rPr>
          <w:rFonts w:hint="eastAsia"/>
          <w:color w:val="auto"/>
          <w:szCs w:val="21"/>
          <w:highlight w:val="none"/>
          <w:lang w:val="en-US" w:eastAsia="zh-CN"/>
        </w:rPr>
        <w:t>12</w:t>
      </w:r>
      <w:r>
        <w:rPr>
          <w:color w:val="auto"/>
          <w:szCs w:val="21"/>
          <w:highlight w:val="none"/>
        </w:rPr>
        <w:t xml:space="preserve">) </w:t>
      </w:r>
      <w:r>
        <w:rPr>
          <w:rFonts w:hAnsi="宋体"/>
          <w:color w:val="auto"/>
          <w:szCs w:val="21"/>
          <w:highlight w:val="none"/>
        </w:rPr>
        <w:t>资格审查文件表格</w:t>
      </w:r>
      <w:r>
        <w:rPr>
          <w:rFonts w:hAnsi="宋体"/>
          <w:b/>
          <w:color w:val="auto"/>
          <w:szCs w:val="21"/>
          <w:highlight w:val="none"/>
        </w:rPr>
        <w:t>（格式详见招标文件第七章的）</w:t>
      </w:r>
      <w:r>
        <w:rPr>
          <w:rFonts w:hAnsi="宋体"/>
          <w:color w:val="auto"/>
          <w:szCs w:val="21"/>
          <w:highlight w:val="none"/>
        </w:rPr>
        <w:t>。</w:t>
      </w:r>
    </w:p>
    <w:p>
      <w:pPr>
        <w:spacing w:line="360" w:lineRule="auto"/>
        <w:ind w:firstLine="527" w:firstLineChars="250"/>
        <w:rPr>
          <w:color w:val="auto"/>
          <w:szCs w:val="21"/>
          <w:highlight w:val="none"/>
        </w:rPr>
      </w:pPr>
      <w:r>
        <w:rPr>
          <w:rFonts w:hAnsi="宋体"/>
          <w:b/>
          <w:color w:val="auto"/>
          <w:szCs w:val="21"/>
          <w:highlight w:val="none"/>
          <w:u w:val="single"/>
        </w:rPr>
        <w:t>具体要求详见本招标文件第二章中附件《资格审查标准汇总表》。提供的资格审查材料及审查标准，前后矛盾的以《资格审查标准汇总表》为准。</w:t>
      </w:r>
    </w:p>
    <w:p>
      <w:pPr>
        <w:spacing w:line="360" w:lineRule="auto"/>
        <w:ind w:firstLine="527" w:firstLineChars="250"/>
        <w:rPr>
          <w:color w:val="auto"/>
          <w:szCs w:val="21"/>
          <w:highlight w:val="none"/>
        </w:rPr>
      </w:pPr>
      <w:r>
        <w:rPr>
          <w:rFonts w:hAnsi="宋体"/>
          <w:b/>
          <w:color w:val="auto"/>
          <w:szCs w:val="21"/>
          <w:highlight w:val="none"/>
          <w:u w:val="single"/>
        </w:rPr>
        <w:t>以上</w:t>
      </w:r>
      <w:r>
        <w:rPr>
          <w:rFonts w:hint="eastAsia" w:hAnsi="宋体"/>
          <w:b/>
          <w:color w:val="auto"/>
          <w:szCs w:val="21"/>
          <w:highlight w:val="none"/>
          <w:u w:val="single"/>
          <w:lang w:val="en-US" w:eastAsia="zh-CN"/>
        </w:rPr>
        <w:t>材料均须加盖投标单位公章，</w:t>
      </w:r>
      <w:r>
        <w:rPr>
          <w:rFonts w:hAnsi="宋体"/>
          <w:b/>
          <w:color w:val="auto"/>
          <w:szCs w:val="21"/>
          <w:highlight w:val="none"/>
          <w:u w:val="single"/>
        </w:rPr>
        <w:t>复印件</w:t>
      </w:r>
      <w:r>
        <w:rPr>
          <w:rFonts w:hint="eastAsia" w:hAnsi="宋体"/>
          <w:b/>
          <w:color w:val="auto"/>
          <w:szCs w:val="21"/>
          <w:highlight w:val="none"/>
          <w:u w:val="single"/>
          <w:lang w:val="en-US" w:eastAsia="zh-CN"/>
        </w:rPr>
        <w:t>为有效证明材料复印件</w:t>
      </w:r>
      <w:r>
        <w:rPr>
          <w:rFonts w:hAnsi="宋体"/>
          <w:b/>
          <w:color w:val="auto"/>
          <w:szCs w:val="21"/>
          <w:highlight w:val="none"/>
          <w:u w:val="single"/>
        </w:rPr>
        <w:t>，所有材料须统一密封在一个封袋中并编写材料目录，以便在开标时核查，并在封袋上加盖投标人单位公章和法定代表人印章。</w:t>
      </w:r>
    </w:p>
    <w:p>
      <w:pPr>
        <w:spacing w:line="360" w:lineRule="auto"/>
        <w:ind w:firstLine="422" w:firstLineChars="200"/>
        <w:rPr>
          <w:b/>
          <w:color w:val="auto"/>
          <w:szCs w:val="21"/>
          <w:highlight w:val="none"/>
        </w:rPr>
      </w:pPr>
      <w:r>
        <w:rPr>
          <w:b/>
          <w:color w:val="auto"/>
          <w:szCs w:val="21"/>
          <w:highlight w:val="none"/>
        </w:rPr>
        <w:t xml:space="preserve">9.2 </w:t>
      </w:r>
      <w:r>
        <w:rPr>
          <w:rFonts w:hAnsi="宋体"/>
          <w:b/>
          <w:color w:val="auto"/>
          <w:szCs w:val="21"/>
          <w:highlight w:val="none"/>
        </w:rPr>
        <w:t>商务标</w:t>
      </w:r>
    </w:p>
    <w:p>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1</w:t>
      </w:r>
      <w:r>
        <w:rPr>
          <w:rFonts w:hAnsi="宋体"/>
          <w:color w:val="auto"/>
          <w:szCs w:val="21"/>
          <w:highlight w:val="none"/>
        </w:rPr>
        <w:t>）投标函；</w:t>
      </w:r>
    </w:p>
    <w:p>
      <w:pPr>
        <w:spacing w:line="360" w:lineRule="auto"/>
        <w:ind w:firstLine="420" w:firstLineChars="200"/>
        <w:rPr>
          <w:color w:val="auto"/>
          <w:szCs w:val="21"/>
          <w:highlight w:val="none"/>
        </w:rPr>
      </w:pPr>
      <w:r>
        <w:rPr>
          <w:rFonts w:hAnsi="宋体"/>
          <w:color w:val="auto"/>
          <w:szCs w:val="21"/>
          <w:highlight w:val="none"/>
        </w:rPr>
        <w:t>（</w:t>
      </w:r>
      <w:r>
        <w:rPr>
          <w:rFonts w:hint="eastAsia" w:hAnsi="宋体"/>
          <w:color w:val="auto"/>
          <w:szCs w:val="21"/>
          <w:highlight w:val="none"/>
        </w:rPr>
        <w:t>2</w:t>
      </w:r>
      <w:r>
        <w:rPr>
          <w:rFonts w:hAnsi="宋体"/>
          <w:color w:val="auto"/>
          <w:szCs w:val="21"/>
          <w:highlight w:val="none"/>
        </w:rPr>
        <w:t>）已标价的工程量清单：投标总价、总说明、建设项目投标报价汇总表、单项工程投标报价汇总表、单位工程投标报价汇总表、分部分项工程和单价措施项目清单与计价表、综合单价分析表、总价措施项目清单与计价表、其他项目清单与计价汇总表、暂列金额明细表、材料</w:t>
      </w:r>
      <w:r>
        <w:rPr>
          <w:color w:val="auto"/>
          <w:szCs w:val="21"/>
          <w:highlight w:val="none"/>
        </w:rPr>
        <w:t>(</w:t>
      </w:r>
      <w:r>
        <w:rPr>
          <w:rFonts w:hAnsi="宋体"/>
          <w:color w:val="auto"/>
          <w:szCs w:val="21"/>
          <w:highlight w:val="none"/>
        </w:rPr>
        <w:t>工程设备</w:t>
      </w:r>
      <w:r>
        <w:rPr>
          <w:color w:val="auto"/>
          <w:szCs w:val="21"/>
          <w:highlight w:val="none"/>
        </w:rPr>
        <w:t>)</w:t>
      </w:r>
      <w:r>
        <w:rPr>
          <w:rFonts w:hAnsi="宋体"/>
          <w:color w:val="auto"/>
          <w:szCs w:val="21"/>
          <w:highlight w:val="none"/>
        </w:rPr>
        <w:t>暂估单价及调整表、专业工程暂估价及结算价表、计日工表、总承包服务费计价表、规费、税金项目清单与计价表等；</w:t>
      </w:r>
    </w:p>
    <w:p>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5</w:t>
      </w:r>
      <w:r>
        <w:rPr>
          <w:rFonts w:hAnsi="宋体"/>
          <w:color w:val="auto"/>
          <w:szCs w:val="21"/>
          <w:highlight w:val="none"/>
        </w:rPr>
        <w:t>）主材、特材和其他需发包人供应的材料用量；发包人供应材料一览表、承包人供应主要材料一览表；</w:t>
      </w:r>
    </w:p>
    <w:p>
      <w:pPr>
        <w:spacing w:line="360" w:lineRule="auto"/>
        <w:ind w:left="-315" w:leftChars="-150" w:firstLine="693" w:firstLineChars="330"/>
        <w:rPr>
          <w:rFonts w:hAnsi="宋体"/>
          <w:color w:val="auto"/>
          <w:szCs w:val="21"/>
          <w:highlight w:val="none"/>
        </w:rPr>
      </w:pPr>
      <w:r>
        <w:rPr>
          <w:rFonts w:hAnsi="宋体"/>
          <w:color w:val="auto"/>
          <w:szCs w:val="21"/>
          <w:highlight w:val="none"/>
        </w:rPr>
        <w:t>（</w:t>
      </w:r>
      <w:r>
        <w:rPr>
          <w:color w:val="auto"/>
          <w:szCs w:val="21"/>
          <w:highlight w:val="none"/>
        </w:rPr>
        <w:t>6</w:t>
      </w:r>
      <w:r>
        <w:rPr>
          <w:rFonts w:hAnsi="宋体"/>
          <w:color w:val="auto"/>
          <w:szCs w:val="21"/>
          <w:highlight w:val="none"/>
        </w:rPr>
        <w:t>）计划投入的主要施工机械设备表、主要施工管理人员表</w:t>
      </w:r>
      <w:r>
        <w:rPr>
          <w:rFonts w:hint="eastAsia" w:hAnsi="宋体"/>
          <w:color w:val="auto"/>
          <w:szCs w:val="21"/>
          <w:highlight w:val="none"/>
        </w:rPr>
        <w:t>；</w:t>
      </w:r>
    </w:p>
    <w:p>
      <w:pPr>
        <w:spacing w:line="360" w:lineRule="auto"/>
        <w:ind w:firstLine="527" w:firstLineChars="250"/>
        <w:rPr>
          <w:rFonts w:hAnsi="宋体"/>
          <w:b/>
          <w:color w:val="auto"/>
          <w:szCs w:val="21"/>
          <w:highlight w:val="none"/>
        </w:rPr>
      </w:pPr>
      <w:r>
        <w:rPr>
          <w:rFonts w:hint="eastAsia" w:hAnsi="宋体"/>
          <w:b/>
          <w:color w:val="auto"/>
          <w:szCs w:val="21"/>
          <w:highlight w:val="none"/>
        </w:rPr>
        <w:t>本项目资格审查以资格审查资料包的内容为准，招标文件中要求提交的资料请各投标人务必提供齐全。</w:t>
      </w:r>
    </w:p>
    <w:p>
      <w:pPr>
        <w:spacing w:line="420" w:lineRule="exact"/>
        <w:ind w:firstLine="480"/>
        <w:rPr>
          <w:color w:val="auto"/>
          <w:szCs w:val="21"/>
          <w:highlight w:val="none"/>
        </w:rPr>
      </w:pPr>
      <w:r>
        <w:rPr>
          <w:b/>
          <w:color w:val="auto"/>
          <w:kern w:val="0"/>
          <w:szCs w:val="21"/>
          <w:highlight w:val="none"/>
        </w:rPr>
        <w:t>10.</w:t>
      </w:r>
      <w:r>
        <w:rPr>
          <w:rFonts w:hAnsi="宋体"/>
          <w:color w:val="auto"/>
          <w:szCs w:val="21"/>
          <w:highlight w:val="none"/>
        </w:rPr>
        <w:t>招标文件提供的文件格式</w:t>
      </w:r>
      <w:r>
        <w:rPr>
          <w:color w:val="auto"/>
          <w:szCs w:val="21"/>
          <w:highlight w:val="none"/>
        </w:rPr>
        <w:t>(</w:t>
      </w:r>
      <w:r>
        <w:rPr>
          <w:rFonts w:hAnsi="宋体"/>
          <w:color w:val="auto"/>
          <w:szCs w:val="21"/>
          <w:highlight w:val="none"/>
        </w:rPr>
        <w:t>第六章</w:t>
      </w:r>
      <w:r>
        <w:rPr>
          <w:rFonts w:hint="eastAsia" w:hAnsi="宋体"/>
          <w:color w:val="auto"/>
          <w:szCs w:val="21"/>
          <w:highlight w:val="none"/>
          <w:lang w:eastAsia="zh-CN"/>
        </w:rPr>
        <w:t>、</w:t>
      </w:r>
      <w:r>
        <w:rPr>
          <w:rFonts w:hint="eastAsia" w:hAnsi="宋体"/>
          <w:color w:val="auto"/>
          <w:szCs w:val="21"/>
          <w:highlight w:val="none"/>
          <w:lang w:val="en-US" w:eastAsia="zh-CN"/>
        </w:rPr>
        <w:t>第七章</w:t>
      </w:r>
      <w:r>
        <w:rPr>
          <w:color w:val="auto"/>
          <w:szCs w:val="21"/>
          <w:highlight w:val="none"/>
        </w:rPr>
        <w:t>)</w:t>
      </w:r>
      <w:r>
        <w:rPr>
          <w:rFonts w:hAnsi="宋体"/>
          <w:color w:val="auto"/>
          <w:szCs w:val="21"/>
          <w:highlight w:val="none"/>
        </w:rPr>
        <w:t>投标人必须使用。但表式可以按同样格式进行扩展。</w:t>
      </w:r>
    </w:p>
    <w:p>
      <w:pPr>
        <w:spacing w:line="420" w:lineRule="exact"/>
        <w:ind w:firstLine="422" w:firstLineChars="200"/>
        <w:outlineLvl w:val="3"/>
        <w:rPr>
          <w:color w:val="auto"/>
          <w:szCs w:val="21"/>
          <w:highlight w:val="none"/>
        </w:rPr>
      </w:pPr>
      <w:r>
        <w:rPr>
          <w:b/>
          <w:color w:val="auto"/>
          <w:kern w:val="0"/>
          <w:szCs w:val="21"/>
          <w:highlight w:val="none"/>
        </w:rPr>
        <w:t>11.</w:t>
      </w:r>
      <w:r>
        <w:rPr>
          <w:rFonts w:hAnsi="宋体"/>
          <w:color w:val="auto"/>
          <w:szCs w:val="21"/>
          <w:highlight w:val="none"/>
        </w:rPr>
        <w:t>纸质投标文件正本须用不能擦去的墨水书写或打印，投标文件副本可以复印，其正、副本都应装订成册，并在封面上正确标明</w:t>
      </w:r>
      <w:r>
        <w:rPr>
          <w:color w:val="auto"/>
          <w:szCs w:val="21"/>
          <w:highlight w:val="none"/>
        </w:rPr>
        <w:t>“</w:t>
      </w:r>
      <w:r>
        <w:rPr>
          <w:rFonts w:hAnsi="宋体"/>
          <w:color w:val="auto"/>
          <w:szCs w:val="21"/>
          <w:highlight w:val="none"/>
        </w:rPr>
        <w:t>正本</w:t>
      </w:r>
      <w:r>
        <w:rPr>
          <w:color w:val="auto"/>
          <w:szCs w:val="21"/>
          <w:highlight w:val="none"/>
        </w:rPr>
        <w:t>”</w:t>
      </w:r>
      <w:r>
        <w:rPr>
          <w:rFonts w:hAnsi="宋体"/>
          <w:color w:val="auto"/>
          <w:szCs w:val="21"/>
          <w:highlight w:val="none"/>
        </w:rPr>
        <w:t>、</w:t>
      </w:r>
      <w:r>
        <w:rPr>
          <w:color w:val="auto"/>
          <w:szCs w:val="21"/>
          <w:highlight w:val="none"/>
        </w:rPr>
        <w:t>“</w:t>
      </w:r>
      <w:r>
        <w:rPr>
          <w:rFonts w:hAnsi="宋体"/>
          <w:color w:val="auto"/>
          <w:szCs w:val="21"/>
          <w:highlight w:val="none"/>
        </w:rPr>
        <w:t>副本</w:t>
      </w:r>
      <w:r>
        <w:rPr>
          <w:color w:val="auto"/>
          <w:szCs w:val="21"/>
          <w:highlight w:val="none"/>
        </w:rPr>
        <w:t>”</w:t>
      </w:r>
      <w:r>
        <w:rPr>
          <w:rFonts w:hAnsi="宋体"/>
          <w:color w:val="auto"/>
          <w:szCs w:val="21"/>
          <w:highlight w:val="none"/>
        </w:rPr>
        <w:t>字样。资格审查资料包、商务标分开装袋密封。</w:t>
      </w:r>
    </w:p>
    <w:p>
      <w:pPr>
        <w:spacing w:line="420" w:lineRule="exact"/>
        <w:ind w:firstLine="420" w:firstLineChars="200"/>
        <w:outlineLvl w:val="3"/>
        <w:rPr>
          <w:color w:val="auto"/>
          <w:szCs w:val="21"/>
          <w:highlight w:val="none"/>
        </w:rPr>
      </w:pPr>
      <w:r>
        <w:rPr>
          <w:rFonts w:hAnsi="宋体"/>
          <w:color w:val="auto"/>
          <w:szCs w:val="21"/>
          <w:highlight w:val="none"/>
        </w:rPr>
        <w:t>全套投标文件应无修改和行间插字。如有修改，须在修改处加盖投标人法定代表人或其代理人的印鉴。</w:t>
      </w:r>
    </w:p>
    <w:p>
      <w:pPr>
        <w:autoSpaceDE w:val="0"/>
        <w:autoSpaceDN w:val="0"/>
        <w:adjustRightInd w:val="0"/>
        <w:spacing w:line="420" w:lineRule="exact"/>
        <w:ind w:left="500"/>
        <w:jc w:val="left"/>
        <w:rPr>
          <w:b/>
          <w:color w:val="auto"/>
          <w:kern w:val="0"/>
          <w:szCs w:val="21"/>
          <w:highlight w:val="none"/>
        </w:rPr>
      </w:pPr>
      <w:r>
        <w:rPr>
          <w:b/>
          <w:color w:val="auto"/>
          <w:kern w:val="0"/>
          <w:szCs w:val="21"/>
          <w:highlight w:val="none"/>
        </w:rPr>
        <w:t>12.</w:t>
      </w:r>
      <w:r>
        <w:rPr>
          <w:rFonts w:hAnsi="宋体"/>
          <w:b/>
          <w:color w:val="auto"/>
          <w:kern w:val="0"/>
          <w:szCs w:val="21"/>
          <w:highlight w:val="none"/>
        </w:rPr>
        <w:t>投标有效期</w:t>
      </w:r>
    </w:p>
    <w:p>
      <w:pPr>
        <w:autoSpaceDE w:val="0"/>
        <w:autoSpaceDN w:val="0"/>
        <w:adjustRightInd w:val="0"/>
        <w:spacing w:line="420" w:lineRule="exact"/>
        <w:ind w:left="500"/>
        <w:jc w:val="left"/>
        <w:rPr>
          <w:b/>
          <w:color w:val="auto"/>
          <w:kern w:val="0"/>
          <w:szCs w:val="21"/>
          <w:highlight w:val="none"/>
        </w:rPr>
      </w:pPr>
      <w:r>
        <w:rPr>
          <w:b/>
          <w:color w:val="auto"/>
          <w:kern w:val="0"/>
          <w:szCs w:val="21"/>
          <w:highlight w:val="none"/>
        </w:rPr>
        <w:t>投标文件自投标截止时间起至投标须知前附表规定的时间内有效。</w:t>
      </w:r>
    </w:p>
    <w:p>
      <w:pPr>
        <w:autoSpaceDE w:val="0"/>
        <w:autoSpaceDN w:val="0"/>
        <w:adjustRightInd w:val="0"/>
        <w:spacing w:line="420" w:lineRule="exact"/>
        <w:ind w:left="500"/>
        <w:jc w:val="left"/>
        <w:rPr>
          <w:b/>
          <w:color w:val="auto"/>
          <w:kern w:val="0"/>
          <w:szCs w:val="21"/>
          <w:highlight w:val="none"/>
        </w:rPr>
      </w:pPr>
      <w:r>
        <w:rPr>
          <w:b/>
          <w:color w:val="auto"/>
          <w:kern w:val="0"/>
          <w:szCs w:val="21"/>
          <w:highlight w:val="none"/>
        </w:rPr>
        <w:t>13.投标保证金</w:t>
      </w:r>
    </w:p>
    <w:p>
      <w:pPr>
        <w:spacing w:line="420" w:lineRule="exact"/>
        <w:ind w:firstLine="422" w:firstLineChars="200"/>
        <w:outlineLvl w:val="3"/>
        <w:rPr>
          <w:rFonts w:hint="default" w:hAnsi="宋体" w:eastAsia="宋体"/>
          <w:b/>
          <w:bCs/>
          <w:color w:val="auto"/>
          <w:szCs w:val="21"/>
          <w:highlight w:val="none"/>
          <w:lang w:val="en-US" w:eastAsia="zh-CN"/>
        </w:rPr>
      </w:pPr>
      <w:r>
        <w:rPr>
          <w:rFonts w:hint="eastAsia" w:hAnsi="宋体"/>
          <w:b/>
          <w:bCs/>
          <w:color w:val="auto"/>
          <w:szCs w:val="21"/>
          <w:highlight w:val="none"/>
        </w:rPr>
        <w:t>13.1投标人必须按照前附表第11项规定于投标文件提交截止时间前将投标保证金</w:t>
      </w:r>
      <w:r>
        <w:rPr>
          <w:rFonts w:hint="eastAsia" w:hAnsi="宋体"/>
          <w:b/>
          <w:bCs/>
          <w:color w:val="auto"/>
          <w:szCs w:val="21"/>
          <w:highlight w:val="none"/>
          <w:lang w:val="en-US" w:eastAsia="zh-CN"/>
        </w:rPr>
        <w:t>交于招标代理查验。</w:t>
      </w:r>
    </w:p>
    <w:p>
      <w:pPr>
        <w:spacing w:line="420" w:lineRule="exact"/>
        <w:ind w:firstLine="422" w:firstLineChars="200"/>
        <w:outlineLvl w:val="3"/>
        <w:rPr>
          <w:rFonts w:hAnsi="宋体"/>
          <w:b/>
          <w:bCs/>
          <w:color w:val="auto"/>
          <w:szCs w:val="21"/>
          <w:highlight w:val="none"/>
        </w:rPr>
      </w:pPr>
      <w:r>
        <w:rPr>
          <w:rFonts w:hAnsi="宋体"/>
          <w:b/>
          <w:bCs/>
          <w:color w:val="auto"/>
          <w:szCs w:val="21"/>
          <w:highlight w:val="none"/>
        </w:rPr>
        <w:t>14.投标保证金退还</w:t>
      </w:r>
    </w:p>
    <w:p>
      <w:pPr>
        <w:spacing w:line="420" w:lineRule="exact"/>
        <w:ind w:firstLine="422" w:firstLineChars="200"/>
        <w:outlineLvl w:val="3"/>
        <w:rPr>
          <w:rFonts w:hAnsi="宋体"/>
          <w:b/>
          <w:bCs/>
          <w:color w:val="auto"/>
          <w:szCs w:val="21"/>
          <w:highlight w:val="none"/>
        </w:rPr>
      </w:pPr>
      <w:r>
        <w:rPr>
          <w:rFonts w:hAnsi="宋体"/>
          <w:b/>
          <w:bCs/>
          <w:color w:val="auto"/>
          <w:szCs w:val="21"/>
          <w:highlight w:val="none"/>
        </w:rPr>
        <w:t>14.1 未中标单位的投标保证金在其定标后予以退还。</w:t>
      </w:r>
    </w:p>
    <w:p>
      <w:pPr>
        <w:spacing w:line="420" w:lineRule="exact"/>
        <w:ind w:firstLine="422" w:firstLineChars="200"/>
        <w:outlineLvl w:val="3"/>
        <w:rPr>
          <w:rFonts w:hAnsi="宋体"/>
          <w:b/>
          <w:bCs/>
          <w:color w:val="auto"/>
          <w:szCs w:val="21"/>
          <w:highlight w:val="none"/>
        </w:rPr>
      </w:pPr>
      <w:r>
        <w:rPr>
          <w:rFonts w:hAnsi="宋体"/>
          <w:b/>
          <w:bCs/>
          <w:color w:val="auto"/>
          <w:szCs w:val="21"/>
          <w:highlight w:val="none"/>
        </w:rPr>
        <w:t>14.2 中标单位的投标保证金在施工合同生效后</w:t>
      </w:r>
      <w:r>
        <w:rPr>
          <w:rFonts w:hint="eastAsia" w:hAnsi="宋体"/>
          <w:b/>
          <w:bCs/>
          <w:color w:val="auto"/>
          <w:szCs w:val="21"/>
          <w:highlight w:val="none"/>
        </w:rPr>
        <w:t>5日</w:t>
      </w:r>
      <w:r>
        <w:rPr>
          <w:rFonts w:hAnsi="宋体"/>
          <w:b/>
          <w:bCs/>
          <w:color w:val="auto"/>
          <w:szCs w:val="21"/>
          <w:highlight w:val="none"/>
        </w:rPr>
        <w:t>内予以退还。</w:t>
      </w:r>
    </w:p>
    <w:p>
      <w:pPr>
        <w:spacing w:line="420" w:lineRule="exact"/>
        <w:ind w:firstLine="422" w:firstLineChars="200"/>
        <w:outlineLvl w:val="3"/>
        <w:rPr>
          <w:rFonts w:hAnsi="宋体"/>
          <w:b/>
          <w:bCs/>
          <w:color w:val="auto"/>
          <w:szCs w:val="21"/>
          <w:highlight w:val="none"/>
        </w:rPr>
      </w:pPr>
      <w:r>
        <w:rPr>
          <w:rFonts w:hAnsi="宋体"/>
          <w:b/>
          <w:bCs/>
          <w:color w:val="auto"/>
          <w:szCs w:val="21"/>
          <w:highlight w:val="none"/>
        </w:rPr>
        <w:t>14.3 投标人出现下列情况，其投标保证金一律不予退还。</w:t>
      </w:r>
    </w:p>
    <w:p>
      <w:pPr>
        <w:spacing w:line="420" w:lineRule="exact"/>
        <w:ind w:firstLine="422" w:firstLineChars="200"/>
        <w:outlineLvl w:val="3"/>
        <w:rPr>
          <w:rFonts w:hAnsi="宋体"/>
          <w:b/>
          <w:bCs/>
          <w:color w:val="auto"/>
          <w:szCs w:val="21"/>
          <w:highlight w:val="none"/>
        </w:rPr>
      </w:pPr>
      <w:r>
        <w:rPr>
          <w:rFonts w:hAnsi="宋体"/>
          <w:b/>
          <w:bCs/>
          <w:color w:val="auto"/>
          <w:szCs w:val="21"/>
          <w:highlight w:val="none"/>
        </w:rPr>
        <w:t>14.3.1投标人在投标有效期内撤回其投标文件；</w:t>
      </w:r>
    </w:p>
    <w:p>
      <w:pPr>
        <w:spacing w:line="420" w:lineRule="exact"/>
        <w:ind w:firstLine="422" w:firstLineChars="200"/>
        <w:outlineLvl w:val="3"/>
        <w:rPr>
          <w:rFonts w:hAnsi="宋体"/>
          <w:b/>
          <w:bCs/>
          <w:color w:val="auto"/>
          <w:szCs w:val="21"/>
          <w:highlight w:val="none"/>
        </w:rPr>
      </w:pPr>
      <w:r>
        <w:rPr>
          <w:rFonts w:hAnsi="宋体"/>
          <w:b/>
          <w:bCs/>
          <w:color w:val="auto"/>
          <w:szCs w:val="21"/>
          <w:highlight w:val="none"/>
        </w:rPr>
        <w:t>14.3.2投标人存在《江苏省房屋建筑和市政基础设施工程招标投标中串通投标和弄虚作假行为认定处理办法（试行）》（苏建规字〔2014〕2号）第四条、第五条、第六条、第七条规定的串通投标、弄虚作假等行为的；</w:t>
      </w:r>
    </w:p>
    <w:p>
      <w:pPr>
        <w:spacing w:line="420" w:lineRule="exact"/>
        <w:ind w:firstLine="422" w:firstLineChars="200"/>
        <w:outlineLvl w:val="3"/>
        <w:rPr>
          <w:rFonts w:hAnsi="宋体"/>
          <w:b/>
          <w:bCs/>
          <w:color w:val="auto"/>
          <w:szCs w:val="21"/>
          <w:highlight w:val="none"/>
        </w:rPr>
      </w:pPr>
      <w:r>
        <w:rPr>
          <w:rFonts w:hAnsi="宋体"/>
          <w:b/>
          <w:bCs/>
          <w:color w:val="auto"/>
          <w:szCs w:val="21"/>
          <w:highlight w:val="none"/>
        </w:rPr>
        <w:t>14.3.3不同投标人的投标文件、已标价的工程量清单经清标软件分析，出现了评标委员会认为不应当雷同的情况（相同错误）的，且被评委认定为串标的。</w:t>
      </w:r>
    </w:p>
    <w:p>
      <w:pPr>
        <w:spacing w:line="420" w:lineRule="exact"/>
        <w:ind w:firstLine="422" w:firstLineChars="200"/>
        <w:outlineLvl w:val="3"/>
        <w:rPr>
          <w:rFonts w:hAnsi="宋体"/>
          <w:b/>
          <w:bCs/>
          <w:color w:val="auto"/>
          <w:szCs w:val="21"/>
          <w:highlight w:val="none"/>
        </w:rPr>
      </w:pPr>
      <w:r>
        <w:rPr>
          <w:rFonts w:hAnsi="宋体"/>
          <w:b/>
          <w:bCs/>
          <w:color w:val="auto"/>
          <w:szCs w:val="21"/>
          <w:highlight w:val="none"/>
        </w:rPr>
        <w:t>14.3.4投标人已签订《诚信承诺书》（详见招标文件标准格式）的，自投标之日起，中标公示结束之日止，经举报或区招标监管机构（评标委员会）复核，有悖于《诚信承诺书》相关承诺的，且查证属实的。</w:t>
      </w:r>
    </w:p>
    <w:p>
      <w:pPr>
        <w:spacing w:line="420" w:lineRule="exact"/>
        <w:ind w:firstLine="422" w:firstLineChars="200"/>
        <w:outlineLvl w:val="3"/>
        <w:rPr>
          <w:rFonts w:hAnsi="宋体"/>
          <w:b/>
          <w:bCs/>
          <w:color w:val="auto"/>
          <w:szCs w:val="21"/>
          <w:highlight w:val="none"/>
        </w:rPr>
      </w:pPr>
      <w:r>
        <w:rPr>
          <w:rFonts w:hAnsi="宋体"/>
          <w:b/>
          <w:bCs/>
          <w:color w:val="auto"/>
          <w:szCs w:val="21"/>
          <w:highlight w:val="none"/>
        </w:rPr>
        <w:t>14.4中标通知书发出后，除不可抗力情况外，中标人出现下列情形之一的，招标人必须取消其中标资格，并不予退还其投标保证金：</w:t>
      </w:r>
    </w:p>
    <w:p>
      <w:pPr>
        <w:spacing w:line="420" w:lineRule="exact"/>
        <w:ind w:firstLine="422" w:firstLineChars="200"/>
        <w:outlineLvl w:val="3"/>
        <w:rPr>
          <w:rFonts w:hAnsi="宋体"/>
          <w:b/>
          <w:bCs/>
          <w:color w:val="auto"/>
          <w:szCs w:val="21"/>
          <w:highlight w:val="none"/>
        </w:rPr>
      </w:pPr>
      <w:r>
        <w:rPr>
          <w:rFonts w:hAnsi="宋体"/>
          <w:b/>
          <w:bCs/>
          <w:color w:val="auto"/>
          <w:szCs w:val="21"/>
          <w:highlight w:val="none"/>
        </w:rPr>
        <w:t>14.4.1放弃中标项目的；</w:t>
      </w:r>
    </w:p>
    <w:p>
      <w:pPr>
        <w:spacing w:line="420" w:lineRule="exact"/>
        <w:ind w:firstLine="422" w:firstLineChars="200"/>
        <w:outlineLvl w:val="3"/>
        <w:rPr>
          <w:rFonts w:hAnsi="宋体"/>
          <w:b/>
          <w:bCs/>
          <w:color w:val="auto"/>
          <w:szCs w:val="21"/>
          <w:highlight w:val="none"/>
        </w:rPr>
      </w:pPr>
      <w:r>
        <w:rPr>
          <w:rFonts w:hAnsi="宋体"/>
          <w:b/>
          <w:bCs/>
          <w:color w:val="auto"/>
          <w:szCs w:val="21"/>
          <w:highlight w:val="none"/>
        </w:rPr>
        <w:t>14.4.2拒不按照招标文件的要求提交履约保证金的；</w:t>
      </w:r>
    </w:p>
    <w:p>
      <w:pPr>
        <w:spacing w:line="420" w:lineRule="exact"/>
        <w:ind w:firstLine="422" w:firstLineChars="200"/>
        <w:outlineLvl w:val="3"/>
        <w:rPr>
          <w:rFonts w:hAnsi="宋体"/>
          <w:b/>
          <w:bCs/>
          <w:color w:val="auto"/>
          <w:szCs w:val="21"/>
          <w:highlight w:val="none"/>
        </w:rPr>
      </w:pPr>
      <w:r>
        <w:rPr>
          <w:rFonts w:hAnsi="宋体"/>
          <w:b/>
          <w:bCs/>
          <w:color w:val="auto"/>
          <w:szCs w:val="21"/>
          <w:highlight w:val="none"/>
        </w:rPr>
        <w:t>14.4.3除不可抗力情况外不执行本招标文件第一章第34条款、35条款的</w:t>
      </w:r>
    </w:p>
    <w:p>
      <w:pPr>
        <w:spacing w:line="420" w:lineRule="exact"/>
        <w:ind w:firstLine="422" w:firstLineChars="200"/>
        <w:outlineLvl w:val="3"/>
        <w:rPr>
          <w:rFonts w:hAnsi="宋体"/>
          <w:b/>
          <w:bCs/>
          <w:color w:val="auto"/>
          <w:szCs w:val="21"/>
          <w:highlight w:val="none"/>
        </w:rPr>
      </w:pPr>
      <w:r>
        <w:rPr>
          <w:rFonts w:hAnsi="宋体"/>
          <w:b/>
          <w:bCs/>
          <w:color w:val="auto"/>
          <w:szCs w:val="21"/>
          <w:highlight w:val="none"/>
        </w:rPr>
        <w:t>14.4.4不与招标人签订合同的，或者在签订合同时向招标人提出附加条件或者更改合同实质性内容的。</w:t>
      </w:r>
    </w:p>
    <w:p>
      <w:pPr>
        <w:spacing w:line="420" w:lineRule="exact"/>
        <w:rPr>
          <w:color w:val="auto"/>
          <w:sz w:val="24"/>
          <w:highlight w:val="none"/>
        </w:rPr>
      </w:pPr>
    </w:p>
    <w:p>
      <w:pPr>
        <w:pStyle w:val="77"/>
        <w:spacing w:line="420" w:lineRule="exact"/>
        <w:outlineLvl w:val="1"/>
        <w:rPr>
          <w:b/>
          <w:color w:val="auto"/>
          <w:szCs w:val="24"/>
          <w:highlight w:val="none"/>
        </w:rPr>
      </w:pPr>
      <w:r>
        <w:rPr>
          <w:rFonts w:hAnsi="宋体"/>
          <w:b/>
          <w:color w:val="auto"/>
          <w:szCs w:val="24"/>
          <w:highlight w:val="none"/>
        </w:rPr>
        <w:t>（四）投标报价</w:t>
      </w:r>
      <w:bookmarkEnd w:id="24"/>
    </w:p>
    <w:p>
      <w:pPr>
        <w:spacing w:line="420" w:lineRule="exact"/>
        <w:ind w:firstLine="422" w:firstLineChars="200"/>
        <w:rPr>
          <w:color w:val="auto"/>
          <w:szCs w:val="21"/>
          <w:highlight w:val="none"/>
        </w:rPr>
      </w:pPr>
      <w:r>
        <w:rPr>
          <w:b/>
          <w:color w:val="auto"/>
          <w:kern w:val="0"/>
          <w:szCs w:val="21"/>
          <w:highlight w:val="none"/>
        </w:rPr>
        <w:t>15</w:t>
      </w:r>
      <w:r>
        <w:rPr>
          <w:rFonts w:hAnsi="宋体"/>
          <w:b/>
          <w:color w:val="auto"/>
          <w:kern w:val="0"/>
          <w:szCs w:val="21"/>
          <w:highlight w:val="none"/>
        </w:rPr>
        <w:t>、</w:t>
      </w:r>
      <w:r>
        <w:rPr>
          <w:rFonts w:hAnsi="宋体"/>
          <w:color w:val="auto"/>
          <w:spacing w:val="-2"/>
          <w:szCs w:val="21"/>
          <w:highlight w:val="none"/>
        </w:rPr>
        <w:t>投标报价应包括招标文件所确定的招标范围内相应工程量清单及相关资料及规范、规定等全部内容，以及为完成上述内容所必须的附属工程、临时工程、材料、劳务、机械、成品保护、垂直运输、脚手架搭设使用、与各工种间的协调配合工作、清洗、养护、验收、创优、安全措施、技术措施，作为一名有经验的投标人所应考虑到的各种因素、风险及所需的全部费用</w:t>
      </w:r>
      <w:r>
        <w:rPr>
          <w:rFonts w:hAnsi="宋体"/>
          <w:color w:val="auto"/>
          <w:szCs w:val="21"/>
          <w:highlight w:val="none"/>
        </w:rPr>
        <w:t>。</w:t>
      </w:r>
    </w:p>
    <w:p>
      <w:pPr>
        <w:spacing w:line="420" w:lineRule="exact"/>
        <w:ind w:firstLine="420" w:firstLineChars="200"/>
        <w:rPr>
          <w:color w:val="auto"/>
          <w:szCs w:val="21"/>
          <w:highlight w:val="none"/>
        </w:rPr>
      </w:pPr>
      <w:r>
        <w:rPr>
          <w:rFonts w:hAnsi="宋体"/>
          <w:color w:val="auto"/>
          <w:szCs w:val="21"/>
          <w:highlight w:val="none"/>
        </w:rPr>
        <w:t>招标文件后附的工程量清单标明的工程量清单表是投标人投标报价的共同基础。招标人提供的工程量清单，投标人应结合投标须知、投标须知前附表、合同条款、技术标准和要求与图纸一起阅读理解。</w:t>
      </w:r>
    </w:p>
    <w:p>
      <w:pPr>
        <w:spacing w:line="420" w:lineRule="exact"/>
        <w:ind w:firstLine="422" w:firstLineChars="200"/>
        <w:rPr>
          <w:b/>
          <w:color w:val="auto"/>
          <w:kern w:val="0"/>
          <w:szCs w:val="21"/>
          <w:highlight w:val="none"/>
        </w:rPr>
      </w:pPr>
      <w:r>
        <w:rPr>
          <w:b/>
          <w:color w:val="auto"/>
          <w:kern w:val="0"/>
          <w:szCs w:val="21"/>
          <w:highlight w:val="none"/>
        </w:rPr>
        <w:t>16</w:t>
      </w:r>
      <w:r>
        <w:rPr>
          <w:rFonts w:hAnsi="宋体"/>
          <w:b/>
          <w:color w:val="auto"/>
          <w:kern w:val="0"/>
          <w:szCs w:val="21"/>
          <w:highlight w:val="none"/>
        </w:rPr>
        <w:t>、投标报价方式：</w:t>
      </w:r>
    </w:p>
    <w:p>
      <w:pPr>
        <w:spacing w:line="480" w:lineRule="exact"/>
        <w:ind w:firstLine="420" w:firstLineChars="200"/>
        <w:rPr>
          <w:color w:val="auto"/>
          <w:szCs w:val="21"/>
          <w:highlight w:val="none"/>
        </w:rPr>
      </w:pPr>
      <w:r>
        <w:rPr>
          <w:color w:val="auto"/>
          <w:szCs w:val="21"/>
          <w:highlight w:val="none"/>
        </w:rPr>
        <w:t>16.1</w:t>
      </w:r>
      <w:r>
        <w:rPr>
          <w:rFonts w:hAnsi="宋体"/>
          <w:color w:val="auto"/>
          <w:szCs w:val="21"/>
          <w:highlight w:val="none"/>
        </w:rPr>
        <w:t>本工程项目采用</w:t>
      </w:r>
      <w:r>
        <w:rPr>
          <w:rFonts w:hAnsi="宋体"/>
          <w:b/>
          <w:color w:val="auto"/>
          <w:szCs w:val="21"/>
          <w:highlight w:val="none"/>
          <w:u w:val="single"/>
        </w:rPr>
        <w:t>固定综合单价报价</w:t>
      </w:r>
      <w:r>
        <w:rPr>
          <w:rFonts w:hAnsi="宋体"/>
          <w:color w:val="auto"/>
          <w:szCs w:val="21"/>
          <w:highlight w:val="none"/>
        </w:rPr>
        <w:t>方式。投标人报价时应充分考虑施工期间各类建材的市场风险。工程量的风险由发包人承担，价格风险在约定风险范围内的，由承包人承担，风险范围以外的按合同约定承担。竣工结算的工程量按发承包双方在合同中约定应予计量且实际完成的工程量确定，完成发包人要求的合同以外的零星工作或发生非承包人责任事件的工程量按现场签证确定。</w:t>
      </w:r>
    </w:p>
    <w:p>
      <w:pPr>
        <w:spacing w:line="480" w:lineRule="exact"/>
        <w:ind w:firstLine="420" w:firstLineChars="200"/>
        <w:rPr>
          <w:color w:val="auto"/>
          <w:szCs w:val="21"/>
          <w:highlight w:val="none"/>
        </w:rPr>
      </w:pPr>
      <w:r>
        <w:rPr>
          <w:color w:val="auto"/>
          <w:szCs w:val="21"/>
          <w:highlight w:val="none"/>
        </w:rPr>
        <w:t>16.2</w:t>
      </w:r>
      <w:r>
        <w:rPr>
          <w:rFonts w:hAnsi="宋体"/>
          <w:color w:val="auto"/>
          <w:szCs w:val="21"/>
          <w:highlight w:val="none"/>
        </w:rPr>
        <w:t>除下列条款中风险范围的内容可调整外，其余不可调整。</w:t>
      </w:r>
    </w:p>
    <w:p>
      <w:pPr>
        <w:adjustRightInd w:val="0"/>
        <w:snapToGrid w:val="0"/>
        <w:spacing w:line="480" w:lineRule="exact"/>
        <w:ind w:firstLine="420" w:firstLineChars="200"/>
        <w:rPr>
          <w:color w:val="auto"/>
          <w:szCs w:val="21"/>
          <w:highlight w:val="none"/>
        </w:rPr>
      </w:pPr>
      <w:r>
        <w:rPr>
          <w:rFonts w:hAnsi="宋体"/>
          <w:color w:val="auto"/>
          <w:szCs w:val="21"/>
          <w:highlight w:val="none"/>
        </w:rPr>
        <w:t>（</w:t>
      </w:r>
      <w:r>
        <w:rPr>
          <w:color w:val="auto"/>
          <w:szCs w:val="21"/>
          <w:highlight w:val="none"/>
        </w:rPr>
        <w:t>1</w:t>
      </w:r>
      <w:r>
        <w:rPr>
          <w:rFonts w:hAnsi="宋体"/>
          <w:color w:val="auto"/>
          <w:szCs w:val="21"/>
          <w:highlight w:val="none"/>
        </w:rPr>
        <w:t>）工程量；</w:t>
      </w:r>
    </w:p>
    <w:p>
      <w:pPr>
        <w:adjustRightInd w:val="0"/>
        <w:snapToGrid w:val="0"/>
        <w:spacing w:line="480" w:lineRule="exact"/>
        <w:ind w:firstLine="420" w:firstLineChars="200"/>
        <w:rPr>
          <w:color w:val="auto"/>
          <w:szCs w:val="21"/>
          <w:highlight w:val="none"/>
        </w:rPr>
      </w:pPr>
      <w:r>
        <w:rPr>
          <w:rFonts w:hAnsi="宋体"/>
          <w:color w:val="auto"/>
          <w:szCs w:val="21"/>
          <w:highlight w:val="none"/>
        </w:rPr>
        <w:t>（</w:t>
      </w:r>
      <w:r>
        <w:rPr>
          <w:color w:val="auto"/>
          <w:szCs w:val="21"/>
          <w:highlight w:val="none"/>
        </w:rPr>
        <w:t>2</w:t>
      </w:r>
      <w:r>
        <w:rPr>
          <w:rFonts w:hAnsi="宋体"/>
          <w:color w:val="auto"/>
          <w:szCs w:val="21"/>
          <w:highlight w:val="none"/>
        </w:rPr>
        <w:t>）设计变更引起的工程量变化或直接造成的费用增加；</w:t>
      </w:r>
    </w:p>
    <w:p>
      <w:pPr>
        <w:adjustRightInd w:val="0"/>
        <w:snapToGrid w:val="0"/>
        <w:spacing w:line="480" w:lineRule="exact"/>
        <w:ind w:firstLine="420" w:firstLineChars="200"/>
        <w:rPr>
          <w:color w:val="auto"/>
          <w:szCs w:val="21"/>
          <w:highlight w:val="none"/>
        </w:rPr>
      </w:pPr>
      <w:r>
        <w:rPr>
          <w:rFonts w:hAnsi="宋体"/>
          <w:color w:val="auto"/>
          <w:szCs w:val="21"/>
          <w:highlight w:val="none"/>
        </w:rPr>
        <w:t>（</w:t>
      </w:r>
      <w:r>
        <w:rPr>
          <w:color w:val="auto"/>
          <w:szCs w:val="21"/>
          <w:highlight w:val="none"/>
        </w:rPr>
        <w:t>3</w:t>
      </w:r>
      <w:r>
        <w:rPr>
          <w:rFonts w:hAnsi="宋体"/>
          <w:color w:val="auto"/>
          <w:szCs w:val="21"/>
          <w:highlight w:val="none"/>
        </w:rPr>
        <w:t>）发包人要求的承包范围以外的附加工程量；</w:t>
      </w:r>
    </w:p>
    <w:p>
      <w:pPr>
        <w:adjustRightInd w:val="0"/>
        <w:snapToGrid w:val="0"/>
        <w:spacing w:line="480" w:lineRule="exact"/>
        <w:ind w:firstLine="420" w:firstLineChars="200"/>
        <w:rPr>
          <w:color w:val="auto"/>
          <w:szCs w:val="21"/>
          <w:highlight w:val="none"/>
        </w:rPr>
      </w:pPr>
      <w:r>
        <w:rPr>
          <w:rFonts w:hAnsi="宋体"/>
          <w:color w:val="auto"/>
          <w:szCs w:val="21"/>
          <w:highlight w:val="none"/>
        </w:rPr>
        <w:t>（</w:t>
      </w:r>
      <w:r>
        <w:rPr>
          <w:color w:val="auto"/>
          <w:szCs w:val="21"/>
          <w:highlight w:val="none"/>
        </w:rPr>
        <w:t>4</w:t>
      </w:r>
      <w:r>
        <w:rPr>
          <w:rFonts w:hAnsi="宋体"/>
          <w:color w:val="auto"/>
          <w:szCs w:val="21"/>
          <w:highlight w:val="none"/>
        </w:rPr>
        <w:t>）暂列金额及暂估价；</w:t>
      </w:r>
    </w:p>
    <w:p>
      <w:pPr>
        <w:widowControl/>
        <w:snapToGrid w:val="0"/>
        <w:spacing w:line="480" w:lineRule="exact"/>
        <w:ind w:firstLine="420" w:firstLineChars="200"/>
        <w:jc w:val="left"/>
        <w:rPr>
          <w:color w:val="auto"/>
          <w:szCs w:val="21"/>
          <w:highlight w:val="none"/>
        </w:rPr>
      </w:pPr>
      <w:r>
        <w:rPr>
          <w:rFonts w:hAnsi="宋体"/>
          <w:color w:val="auto"/>
          <w:szCs w:val="21"/>
          <w:highlight w:val="none"/>
        </w:rPr>
        <w:t>（</w:t>
      </w:r>
      <w:r>
        <w:rPr>
          <w:color w:val="auto"/>
          <w:szCs w:val="21"/>
          <w:highlight w:val="none"/>
        </w:rPr>
        <w:t>5</w:t>
      </w:r>
      <w:r>
        <w:rPr>
          <w:rFonts w:hAnsi="宋体"/>
          <w:color w:val="auto"/>
          <w:szCs w:val="21"/>
          <w:highlight w:val="none"/>
        </w:rPr>
        <w:t>）发包人确认的其它费用。</w:t>
      </w:r>
    </w:p>
    <w:p>
      <w:pPr>
        <w:widowControl/>
        <w:snapToGrid w:val="0"/>
        <w:spacing w:line="480" w:lineRule="exact"/>
        <w:ind w:firstLine="420" w:firstLineChars="200"/>
        <w:jc w:val="left"/>
        <w:rPr>
          <w:color w:val="auto"/>
          <w:szCs w:val="21"/>
          <w:highlight w:val="none"/>
        </w:rPr>
      </w:pPr>
      <w:r>
        <w:rPr>
          <w:color w:val="auto"/>
          <w:szCs w:val="21"/>
          <w:highlight w:val="none"/>
        </w:rPr>
        <w:t>16.3</w:t>
      </w:r>
      <w:r>
        <w:rPr>
          <w:rFonts w:hAnsi="宋体"/>
          <w:color w:val="auto"/>
          <w:szCs w:val="21"/>
          <w:highlight w:val="none"/>
        </w:rPr>
        <w:t>工程价款调整</w:t>
      </w:r>
    </w:p>
    <w:p>
      <w:pPr>
        <w:spacing w:line="420" w:lineRule="exact"/>
        <w:ind w:firstLine="420" w:firstLineChars="200"/>
        <w:rPr>
          <w:color w:val="auto"/>
          <w:szCs w:val="21"/>
          <w:highlight w:val="none"/>
        </w:rPr>
      </w:pPr>
      <w:r>
        <w:rPr>
          <w:rFonts w:hint="eastAsia"/>
          <w:color w:val="auto"/>
          <w:szCs w:val="21"/>
          <w:highlight w:val="none"/>
        </w:rPr>
        <w:t>详见招标文件第三章合同条款专用合同条款第12条。</w:t>
      </w:r>
    </w:p>
    <w:p>
      <w:pPr>
        <w:spacing w:line="420" w:lineRule="exact"/>
        <w:ind w:firstLine="422" w:firstLineChars="200"/>
        <w:rPr>
          <w:b/>
          <w:color w:val="auto"/>
          <w:kern w:val="0"/>
          <w:szCs w:val="21"/>
          <w:highlight w:val="none"/>
        </w:rPr>
      </w:pPr>
      <w:r>
        <w:rPr>
          <w:b/>
          <w:color w:val="auto"/>
          <w:kern w:val="0"/>
          <w:szCs w:val="21"/>
          <w:highlight w:val="none"/>
        </w:rPr>
        <w:t>17、投标报价的计价方法</w:t>
      </w:r>
    </w:p>
    <w:p>
      <w:pPr>
        <w:widowControl/>
        <w:snapToGrid w:val="0"/>
        <w:spacing w:line="480" w:lineRule="exact"/>
        <w:ind w:firstLine="420" w:firstLineChars="200"/>
        <w:jc w:val="left"/>
        <w:rPr>
          <w:rFonts w:hAnsi="宋体"/>
          <w:color w:val="auto"/>
          <w:szCs w:val="21"/>
          <w:highlight w:val="none"/>
        </w:rPr>
      </w:pPr>
      <w:r>
        <w:rPr>
          <w:rFonts w:hAnsi="宋体"/>
          <w:color w:val="auto"/>
          <w:szCs w:val="21"/>
          <w:highlight w:val="none"/>
        </w:rPr>
        <w:t>按照“省住房和城乡建设厅关于建筑业实施营改增后江苏省建设工程计价依据调整的通知”苏建价（2016）154号文、《建设工程工程量清单计价规范》（GB50500-2013）、</w:t>
      </w:r>
      <w:r>
        <w:rPr>
          <w:rFonts w:hint="eastAsia" w:hAnsi="宋体"/>
          <w:color w:val="auto"/>
          <w:szCs w:val="21"/>
          <w:highlight w:val="none"/>
        </w:rPr>
        <w:t>《通用安装工程工程量计算规范》（GB50856-2013）、</w:t>
      </w:r>
      <w:r>
        <w:rPr>
          <w:rFonts w:hAnsi="宋体"/>
          <w:color w:val="auto"/>
          <w:szCs w:val="21"/>
          <w:highlight w:val="none"/>
        </w:rPr>
        <w:t>《江苏省建设工程费用定额》2014年版</w:t>
      </w:r>
      <w:r>
        <w:rPr>
          <w:rFonts w:hint="eastAsia" w:hAnsi="宋体"/>
          <w:color w:val="auto"/>
          <w:szCs w:val="21"/>
          <w:highlight w:val="none"/>
        </w:rPr>
        <w:t>、《江苏省安装工程计价定额》（2014年）</w:t>
      </w:r>
      <w:r>
        <w:rPr>
          <w:rFonts w:hAnsi="宋体"/>
          <w:color w:val="auto"/>
          <w:szCs w:val="21"/>
          <w:highlight w:val="none"/>
        </w:rPr>
        <w:t>以及相应补充规定和现行省、市有关规定。由招标人(发包人)提供工程量数量，投标人(承包人)自主报价确定工程造价的计价方式。</w:t>
      </w:r>
    </w:p>
    <w:p>
      <w:pPr>
        <w:spacing w:line="420" w:lineRule="exact"/>
        <w:ind w:firstLine="422" w:firstLineChars="200"/>
        <w:rPr>
          <w:b/>
          <w:color w:val="auto"/>
          <w:kern w:val="0"/>
          <w:szCs w:val="21"/>
          <w:highlight w:val="none"/>
        </w:rPr>
      </w:pPr>
      <w:r>
        <w:rPr>
          <w:b/>
          <w:color w:val="auto"/>
          <w:kern w:val="0"/>
          <w:szCs w:val="21"/>
          <w:highlight w:val="none"/>
        </w:rPr>
        <w:t>18．招标控制价</w:t>
      </w:r>
    </w:p>
    <w:p>
      <w:pPr>
        <w:spacing w:line="420" w:lineRule="exact"/>
        <w:ind w:firstLine="420" w:firstLineChars="200"/>
        <w:rPr>
          <w:rFonts w:hAnsi="宋体"/>
          <w:color w:val="auto"/>
          <w:szCs w:val="21"/>
          <w:highlight w:val="none"/>
        </w:rPr>
      </w:pPr>
      <w:r>
        <w:rPr>
          <w:rFonts w:hAnsi="宋体"/>
          <w:color w:val="auto"/>
          <w:szCs w:val="21"/>
          <w:highlight w:val="none"/>
        </w:rPr>
        <w:t>18.1本工程全部使用国有资金，实行工程量清单招标，招标人委托编制招标控制价。投标人的投标报价高于招标控制价的，招标人将作废标处理。</w:t>
      </w:r>
    </w:p>
    <w:p>
      <w:pPr>
        <w:widowControl/>
        <w:snapToGrid w:val="0"/>
        <w:spacing w:line="480" w:lineRule="exact"/>
        <w:ind w:firstLine="420" w:firstLineChars="200"/>
        <w:jc w:val="left"/>
        <w:rPr>
          <w:rFonts w:hAnsi="宋体"/>
          <w:color w:val="auto"/>
          <w:szCs w:val="21"/>
          <w:highlight w:val="none"/>
        </w:rPr>
      </w:pPr>
      <w:r>
        <w:rPr>
          <w:rFonts w:hAnsi="宋体"/>
          <w:color w:val="auto"/>
          <w:szCs w:val="21"/>
          <w:highlight w:val="none"/>
        </w:rPr>
        <w:t>18.2招标控制价编制依据</w:t>
      </w:r>
      <w:r>
        <w:rPr>
          <w:rFonts w:hint="eastAsia" w:hAnsi="宋体"/>
          <w:color w:val="auto"/>
          <w:szCs w:val="21"/>
          <w:highlight w:val="none"/>
        </w:rPr>
        <w:t>：</w:t>
      </w:r>
    </w:p>
    <w:p>
      <w:pPr>
        <w:spacing w:line="420" w:lineRule="exact"/>
        <w:ind w:firstLine="420" w:firstLineChars="200"/>
        <w:rPr>
          <w:rFonts w:hAnsi="宋体"/>
          <w:color w:val="auto"/>
          <w:szCs w:val="21"/>
          <w:highlight w:val="none"/>
        </w:rPr>
      </w:pPr>
      <w:r>
        <w:rPr>
          <w:rFonts w:hAnsi="宋体"/>
          <w:color w:val="auto"/>
          <w:szCs w:val="21"/>
          <w:highlight w:val="none"/>
        </w:rPr>
        <w:t>18.2.1本工程施工图及其工程量清单。</w:t>
      </w:r>
    </w:p>
    <w:p>
      <w:pPr>
        <w:spacing w:line="420" w:lineRule="exact"/>
        <w:ind w:firstLine="420" w:firstLineChars="200"/>
        <w:rPr>
          <w:rFonts w:hAnsi="宋体"/>
          <w:color w:val="auto"/>
          <w:szCs w:val="21"/>
          <w:highlight w:val="none"/>
        </w:rPr>
      </w:pPr>
      <w:r>
        <w:rPr>
          <w:rFonts w:hAnsi="宋体"/>
          <w:color w:val="auto"/>
          <w:szCs w:val="21"/>
          <w:highlight w:val="none"/>
        </w:rPr>
        <w:t>18.2.2 《建设工程工程量清单计价规范》（GB50500-2013）、</w:t>
      </w:r>
      <w:r>
        <w:rPr>
          <w:rFonts w:hint="eastAsia" w:hAnsi="宋体"/>
          <w:color w:val="auto"/>
          <w:szCs w:val="21"/>
          <w:highlight w:val="none"/>
        </w:rPr>
        <w:t>《通用安装工程工程量计算规范》（GB50856-2013）、</w:t>
      </w:r>
      <w:r>
        <w:rPr>
          <w:rFonts w:hAnsi="宋体"/>
          <w:color w:val="auto"/>
          <w:szCs w:val="21"/>
          <w:highlight w:val="none"/>
        </w:rPr>
        <w:t>《江苏省建设工程费用定额》2014年版</w:t>
      </w:r>
      <w:r>
        <w:rPr>
          <w:rFonts w:hint="eastAsia" w:hAnsi="宋体"/>
          <w:color w:val="auto"/>
          <w:szCs w:val="21"/>
          <w:highlight w:val="none"/>
        </w:rPr>
        <w:t>、《江苏省安装工程计价定额》（2014年）</w:t>
      </w:r>
      <w:r>
        <w:rPr>
          <w:rFonts w:hAnsi="宋体"/>
          <w:color w:val="auto"/>
          <w:szCs w:val="21"/>
          <w:highlight w:val="none"/>
        </w:rPr>
        <w:t>等国家或省级、行业建设主管部门颁发的计价办法；企业定额，国家或省级、行业建设主管部门颁发的计价定额。</w:t>
      </w:r>
    </w:p>
    <w:p>
      <w:pPr>
        <w:spacing w:line="420" w:lineRule="exact"/>
        <w:ind w:firstLine="420" w:firstLineChars="200"/>
        <w:rPr>
          <w:rFonts w:hAnsi="宋体"/>
          <w:color w:val="auto"/>
          <w:szCs w:val="21"/>
          <w:highlight w:val="none"/>
        </w:rPr>
      </w:pPr>
      <w:r>
        <w:rPr>
          <w:rFonts w:hAnsi="宋体"/>
          <w:color w:val="auto"/>
          <w:szCs w:val="21"/>
          <w:highlight w:val="none"/>
        </w:rPr>
        <w:t>18.2.3人工工资执行《省住房城乡建设厅关于发布建设工程人工工资指导价的通知》（</w:t>
      </w:r>
      <w:r>
        <w:rPr>
          <w:rFonts w:hint="eastAsia" w:hAnsi="宋体"/>
          <w:color w:val="auto"/>
          <w:szCs w:val="21"/>
          <w:highlight w:val="none"/>
        </w:rPr>
        <w:t>苏建函价</w:t>
      </w:r>
      <w:r>
        <w:rPr>
          <w:rFonts w:hint="eastAsia"/>
          <w:color w:val="auto"/>
          <w:szCs w:val="21"/>
          <w:highlight w:val="none"/>
        </w:rPr>
        <w:t>[</w:t>
      </w:r>
      <w:r>
        <w:rPr>
          <w:rFonts w:hint="eastAsia"/>
          <w:color w:val="auto"/>
          <w:szCs w:val="21"/>
          <w:highlight w:val="none"/>
          <w:lang w:val="en-US" w:eastAsia="zh-CN"/>
        </w:rPr>
        <w:t>2023</w:t>
      </w:r>
      <w:r>
        <w:rPr>
          <w:rFonts w:hint="eastAsia"/>
          <w:color w:val="auto"/>
          <w:szCs w:val="21"/>
          <w:highlight w:val="none"/>
        </w:rPr>
        <w:t>]</w:t>
      </w:r>
      <w:r>
        <w:rPr>
          <w:rFonts w:hint="eastAsia"/>
          <w:color w:val="auto"/>
          <w:szCs w:val="21"/>
          <w:highlight w:val="none"/>
          <w:lang w:val="en-US" w:eastAsia="zh-CN"/>
        </w:rPr>
        <w:t>391</w:t>
      </w:r>
      <w:r>
        <w:rPr>
          <w:rFonts w:hint="eastAsia" w:hAnsi="宋体"/>
          <w:color w:val="auto"/>
          <w:szCs w:val="21"/>
          <w:highlight w:val="none"/>
        </w:rPr>
        <w:t>号</w:t>
      </w:r>
      <w:r>
        <w:rPr>
          <w:rFonts w:hAnsi="宋体"/>
          <w:color w:val="auto"/>
          <w:szCs w:val="21"/>
          <w:highlight w:val="none"/>
        </w:rPr>
        <w:t>），</w:t>
      </w:r>
      <w:r>
        <w:rPr>
          <w:rFonts w:hint="eastAsia" w:hAnsi="宋体"/>
          <w:color w:val="auto"/>
          <w:szCs w:val="21"/>
          <w:highlight w:val="none"/>
        </w:rPr>
        <w:t>结算不作调整，</w:t>
      </w:r>
      <w:r>
        <w:rPr>
          <w:rFonts w:hAnsi="宋体"/>
          <w:color w:val="auto"/>
          <w:szCs w:val="21"/>
          <w:highlight w:val="none"/>
        </w:rPr>
        <w:t>材料价格参照</w:t>
      </w:r>
      <w:r>
        <w:rPr>
          <w:rFonts w:hint="eastAsia" w:hAnsi="宋体"/>
          <w:color w:val="auto"/>
          <w:szCs w:val="21"/>
          <w:highlight w:val="none"/>
        </w:rPr>
        <w:t>2023年第</w:t>
      </w:r>
      <w:r>
        <w:rPr>
          <w:rFonts w:hint="eastAsia" w:hAnsi="宋体"/>
          <w:color w:val="auto"/>
          <w:szCs w:val="21"/>
          <w:highlight w:val="none"/>
          <w:lang w:val="en-US" w:eastAsia="zh-CN"/>
        </w:rPr>
        <w:t>9</w:t>
      </w:r>
      <w:r>
        <w:rPr>
          <w:rFonts w:hint="eastAsia" w:hAnsi="宋体"/>
          <w:color w:val="auto"/>
          <w:szCs w:val="21"/>
          <w:highlight w:val="none"/>
        </w:rPr>
        <w:t>期</w:t>
      </w:r>
      <w:r>
        <w:rPr>
          <w:rFonts w:hAnsi="宋体"/>
          <w:color w:val="auto"/>
          <w:szCs w:val="21"/>
          <w:highlight w:val="none"/>
        </w:rPr>
        <w:t>《南通建设工程造价信息》中的指导价及市场价。若《南通建设工程造价信息》无指导价的材料的价格，则按市场价执行。</w:t>
      </w:r>
    </w:p>
    <w:p>
      <w:pPr>
        <w:spacing w:line="420" w:lineRule="exact"/>
        <w:ind w:firstLine="420" w:firstLineChars="200"/>
        <w:rPr>
          <w:rFonts w:hAnsi="宋体"/>
          <w:color w:val="auto"/>
          <w:szCs w:val="21"/>
          <w:highlight w:val="none"/>
        </w:rPr>
      </w:pPr>
      <w:r>
        <w:rPr>
          <w:rFonts w:hAnsi="宋体"/>
          <w:color w:val="auto"/>
          <w:szCs w:val="21"/>
          <w:highlight w:val="none"/>
        </w:rPr>
        <w:t>18.2.4本工程采用一般计税方法，具体按“省住房和城乡建设厅关于建筑业实施营改增后江苏省建设工程计价依据调整的通知”苏建价（2016）154号文相关要求执行</w:t>
      </w:r>
      <w:r>
        <w:rPr>
          <w:rFonts w:hint="eastAsia" w:hAnsi="宋体"/>
          <w:color w:val="auto"/>
          <w:szCs w:val="21"/>
          <w:highlight w:val="none"/>
        </w:rPr>
        <w:t>、税率按</w:t>
      </w:r>
      <w:r>
        <w:rPr>
          <w:rFonts w:hAnsi="宋体"/>
          <w:color w:val="auto"/>
          <w:szCs w:val="21"/>
          <w:highlight w:val="none"/>
        </w:rPr>
        <w:t>省住房城乡建设厅关于建筑业增值税计价政策调整的通知</w:t>
      </w:r>
      <w:r>
        <w:rPr>
          <w:rFonts w:hint="eastAsia" w:hAnsi="宋体"/>
          <w:color w:val="auto"/>
          <w:szCs w:val="21"/>
          <w:highlight w:val="none"/>
        </w:rPr>
        <w:t>（苏建函价〔</w:t>
      </w:r>
      <w:r>
        <w:rPr>
          <w:rFonts w:hAnsi="宋体"/>
          <w:color w:val="auto"/>
          <w:szCs w:val="21"/>
          <w:highlight w:val="none"/>
        </w:rPr>
        <w:t>20</w:t>
      </w:r>
      <w:r>
        <w:rPr>
          <w:rFonts w:hint="eastAsia" w:hAnsi="宋体"/>
          <w:color w:val="auto"/>
          <w:szCs w:val="21"/>
          <w:highlight w:val="none"/>
        </w:rPr>
        <w:t>19〕178号）</w:t>
      </w:r>
      <w:r>
        <w:rPr>
          <w:rFonts w:hAnsi="宋体"/>
          <w:color w:val="auto"/>
          <w:szCs w:val="21"/>
          <w:highlight w:val="none"/>
        </w:rPr>
        <w:t>。</w:t>
      </w:r>
    </w:p>
    <w:p>
      <w:pPr>
        <w:spacing w:line="420" w:lineRule="exact"/>
        <w:ind w:firstLine="420" w:firstLineChars="200"/>
        <w:rPr>
          <w:rFonts w:hAnsi="宋体"/>
          <w:color w:val="auto"/>
          <w:szCs w:val="21"/>
          <w:highlight w:val="none"/>
        </w:rPr>
      </w:pPr>
      <w:r>
        <w:rPr>
          <w:rFonts w:hAnsi="宋体"/>
          <w:color w:val="auto"/>
          <w:szCs w:val="21"/>
          <w:highlight w:val="none"/>
        </w:rPr>
        <w:t>18.2.5本工程不可竞争费用项目及其费率见下表：</w:t>
      </w:r>
    </w:p>
    <w:tbl>
      <w:tblPr>
        <w:tblStyle w:val="57"/>
        <w:tblW w:w="92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0"/>
        <w:gridCol w:w="1785"/>
        <w:gridCol w:w="2546"/>
        <w:gridCol w:w="1624"/>
        <w:gridCol w:w="1304"/>
        <w:gridCol w:w="1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710" w:type="dxa"/>
            <w:vAlign w:val="center"/>
          </w:tcPr>
          <w:p>
            <w:pPr>
              <w:jc w:val="center"/>
              <w:rPr>
                <w:rFonts w:ascii="宋体" w:hAnsi="宋体"/>
                <w:color w:val="auto"/>
                <w:szCs w:val="21"/>
                <w:highlight w:val="none"/>
              </w:rPr>
            </w:pPr>
            <w:r>
              <w:rPr>
                <w:rFonts w:ascii="宋体" w:hAnsi="宋体"/>
                <w:color w:val="auto"/>
                <w:szCs w:val="21"/>
                <w:highlight w:val="none"/>
              </w:rPr>
              <w:t>序号</w:t>
            </w:r>
          </w:p>
        </w:tc>
        <w:tc>
          <w:tcPr>
            <w:tcW w:w="1785" w:type="dxa"/>
            <w:vAlign w:val="center"/>
          </w:tcPr>
          <w:p>
            <w:pPr>
              <w:jc w:val="center"/>
              <w:rPr>
                <w:rFonts w:ascii="宋体" w:hAnsi="宋体"/>
                <w:color w:val="auto"/>
                <w:szCs w:val="21"/>
                <w:highlight w:val="none"/>
              </w:rPr>
            </w:pPr>
            <w:r>
              <w:rPr>
                <w:rFonts w:ascii="宋体" w:hAnsi="宋体"/>
                <w:color w:val="auto"/>
                <w:szCs w:val="21"/>
                <w:highlight w:val="none"/>
              </w:rPr>
              <w:t>费用类别</w:t>
            </w:r>
          </w:p>
        </w:tc>
        <w:tc>
          <w:tcPr>
            <w:tcW w:w="2546" w:type="dxa"/>
            <w:vAlign w:val="center"/>
          </w:tcPr>
          <w:p>
            <w:pPr>
              <w:ind w:firstLine="105" w:firstLineChars="50"/>
              <w:jc w:val="center"/>
              <w:rPr>
                <w:rFonts w:ascii="宋体" w:hAnsi="宋体"/>
                <w:color w:val="auto"/>
                <w:szCs w:val="21"/>
                <w:highlight w:val="none"/>
              </w:rPr>
            </w:pPr>
            <w:r>
              <w:rPr>
                <w:rFonts w:ascii="宋体" w:hAnsi="宋体"/>
                <w:color w:val="auto"/>
                <w:szCs w:val="21"/>
                <w:highlight w:val="none"/>
              </w:rPr>
              <w:t>费用名称</w:t>
            </w:r>
          </w:p>
        </w:tc>
        <w:tc>
          <w:tcPr>
            <w:tcW w:w="1624" w:type="dxa"/>
            <w:vAlign w:val="center"/>
          </w:tcPr>
          <w:p>
            <w:pPr>
              <w:jc w:val="center"/>
              <w:rPr>
                <w:rFonts w:ascii="宋体" w:hAnsi="宋体"/>
                <w:color w:val="auto"/>
                <w:szCs w:val="21"/>
                <w:highlight w:val="none"/>
              </w:rPr>
            </w:pPr>
            <w:r>
              <w:rPr>
                <w:rFonts w:ascii="宋体" w:hAnsi="宋体"/>
                <w:color w:val="auto"/>
                <w:szCs w:val="21"/>
                <w:highlight w:val="none"/>
              </w:rPr>
              <w:t>计费基数</w:t>
            </w:r>
          </w:p>
        </w:tc>
        <w:tc>
          <w:tcPr>
            <w:tcW w:w="1304" w:type="dxa"/>
            <w:vAlign w:val="center"/>
          </w:tcPr>
          <w:p>
            <w:pPr>
              <w:jc w:val="center"/>
              <w:rPr>
                <w:rFonts w:ascii="宋体" w:hAnsi="宋体"/>
                <w:color w:val="auto"/>
                <w:szCs w:val="21"/>
                <w:highlight w:val="none"/>
              </w:rPr>
            </w:pPr>
            <w:r>
              <w:rPr>
                <w:rFonts w:hint="eastAsia" w:ascii="宋体" w:hAnsi="宋体"/>
                <w:color w:val="auto"/>
                <w:szCs w:val="21"/>
                <w:highlight w:val="none"/>
                <w:lang w:val="en-US" w:eastAsia="zh-CN"/>
              </w:rPr>
              <w:t>土建</w:t>
            </w:r>
            <w:r>
              <w:rPr>
                <w:rFonts w:hint="eastAsia" w:ascii="宋体" w:hAnsi="宋体"/>
                <w:color w:val="auto"/>
                <w:szCs w:val="21"/>
                <w:highlight w:val="none"/>
              </w:rPr>
              <w:t>（%）</w:t>
            </w:r>
          </w:p>
        </w:tc>
        <w:tc>
          <w:tcPr>
            <w:tcW w:w="1304" w:type="dxa"/>
            <w:vAlign w:val="center"/>
          </w:tcPr>
          <w:p>
            <w:pPr>
              <w:jc w:val="center"/>
              <w:rPr>
                <w:rFonts w:hint="default" w:ascii="宋体" w:hAnsi="宋体"/>
                <w:color w:val="auto"/>
                <w:szCs w:val="21"/>
                <w:highlight w:val="none"/>
                <w:lang w:val="en-US" w:eastAsia="zh-CN"/>
              </w:rPr>
            </w:pPr>
            <w:r>
              <w:rPr>
                <w:rFonts w:hint="eastAsia" w:ascii="宋体" w:hAnsi="宋体"/>
                <w:color w:val="auto"/>
                <w:szCs w:val="21"/>
                <w:highlight w:val="none"/>
                <w:lang w:val="en-US" w:eastAsia="zh-CN"/>
              </w:rPr>
              <w:t>安装</w:t>
            </w:r>
            <w:r>
              <w:rPr>
                <w:rFonts w:hint="eastAsia" w:ascii="宋体" w:hAnsi="宋体"/>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10" w:type="dxa"/>
            <w:vAlign w:val="center"/>
          </w:tcPr>
          <w:p>
            <w:pPr>
              <w:jc w:val="center"/>
              <w:rPr>
                <w:rFonts w:ascii="宋体" w:hAnsi="宋体"/>
                <w:color w:val="auto"/>
                <w:szCs w:val="21"/>
                <w:highlight w:val="none"/>
              </w:rPr>
            </w:pPr>
            <w:r>
              <w:rPr>
                <w:rFonts w:ascii="宋体" w:hAnsi="宋体"/>
                <w:color w:val="auto"/>
                <w:szCs w:val="21"/>
                <w:highlight w:val="none"/>
              </w:rPr>
              <w:t>1</w:t>
            </w:r>
          </w:p>
        </w:tc>
        <w:tc>
          <w:tcPr>
            <w:tcW w:w="1785" w:type="dxa"/>
            <w:vMerge w:val="restart"/>
            <w:vAlign w:val="center"/>
          </w:tcPr>
          <w:p>
            <w:pPr>
              <w:jc w:val="center"/>
              <w:rPr>
                <w:rFonts w:ascii="宋体" w:hAnsi="宋体"/>
                <w:color w:val="auto"/>
                <w:szCs w:val="21"/>
                <w:highlight w:val="none"/>
              </w:rPr>
            </w:pPr>
            <w:r>
              <w:rPr>
                <w:rFonts w:ascii="宋体" w:hAnsi="宋体"/>
                <w:color w:val="auto"/>
                <w:szCs w:val="21"/>
                <w:highlight w:val="none"/>
              </w:rPr>
              <w:t>规 费</w:t>
            </w:r>
          </w:p>
        </w:tc>
        <w:tc>
          <w:tcPr>
            <w:tcW w:w="2546" w:type="dxa"/>
            <w:vAlign w:val="center"/>
          </w:tcPr>
          <w:p>
            <w:pPr>
              <w:jc w:val="center"/>
              <w:rPr>
                <w:rFonts w:ascii="宋体" w:hAnsi="宋体"/>
                <w:color w:val="auto"/>
                <w:szCs w:val="21"/>
                <w:highlight w:val="none"/>
              </w:rPr>
            </w:pPr>
            <w:r>
              <w:rPr>
                <w:rFonts w:ascii="宋体" w:hAnsi="宋体"/>
                <w:color w:val="auto"/>
                <w:szCs w:val="21"/>
                <w:highlight w:val="none"/>
              </w:rPr>
              <w:t>环境保护税</w:t>
            </w:r>
          </w:p>
        </w:tc>
        <w:tc>
          <w:tcPr>
            <w:tcW w:w="1624" w:type="dxa"/>
            <w:vAlign w:val="center"/>
          </w:tcPr>
          <w:p>
            <w:pPr>
              <w:jc w:val="center"/>
              <w:rPr>
                <w:rFonts w:ascii="宋体" w:hAnsi="宋体"/>
                <w:color w:val="auto"/>
                <w:szCs w:val="21"/>
                <w:highlight w:val="none"/>
              </w:rPr>
            </w:pPr>
            <w:r>
              <w:rPr>
                <w:rFonts w:ascii="宋体" w:hAnsi="宋体"/>
                <w:color w:val="auto"/>
                <w:szCs w:val="21"/>
                <w:highlight w:val="none"/>
              </w:rPr>
              <w:t>A+B+C-D</w:t>
            </w:r>
          </w:p>
        </w:tc>
        <w:tc>
          <w:tcPr>
            <w:tcW w:w="1304" w:type="dxa"/>
            <w:vAlign w:val="center"/>
          </w:tcPr>
          <w:p>
            <w:pPr>
              <w:jc w:val="center"/>
              <w:rPr>
                <w:rFonts w:hint="eastAsia" w:ascii="宋体" w:hAnsi="宋体" w:eastAsia="宋体"/>
                <w:color w:val="auto"/>
                <w:kern w:val="0"/>
                <w:szCs w:val="21"/>
                <w:highlight w:val="none"/>
                <w:lang w:val="en-US" w:eastAsia="zh-CN"/>
              </w:rPr>
            </w:pPr>
            <w:r>
              <w:rPr>
                <w:rFonts w:hint="eastAsia" w:ascii="宋体" w:hAnsi="宋体"/>
                <w:color w:val="auto"/>
                <w:kern w:val="0"/>
                <w:szCs w:val="21"/>
                <w:highlight w:val="none"/>
                <w:lang w:val="en-US" w:eastAsia="zh-CN"/>
              </w:rPr>
              <w:t>/</w:t>
            </w:r>
          </w:p>
        </w:tc>
        <w:tc>
          <w:tcPr>
            <w:tcW w:w="1304" w:type="dxa"/>
            <w:vAlign w:val="center"/>
          </w:tcPr>
          <w:p>
            <w:pPr>
              <w:jc w:val="center"/>
              <w:rPr>
                <w:rFonts w:hint="default" w:ascii="宋体" w:hAnsi="宋体"/>
                <w:color w:val="auto"/>
                <w:kern w:val="0"/>
                <w:szCs w:val="21"/>
                <w:highlight w:val="none"/>
                <w:lang w:val="en-US" w:eastAsia="zh-CN"/>
              </w:rPr>
            </w:pPr>
            <w:r>
              <w:rPr>
                <w:rFonts w:hint="eastAsia" w:ascii="宋体" w:hAnsi="宋体"/>
                <w:color w:val="auto"/>
                <w:kern w:val="0"/>
                <w:szCs w:val="21"/>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10" w:type="dxa"/>
            <w:vAlign w:val="center"/>
          </w:tcPr>
          <w:p>
            <w:pPr>
              <w:jc w:val="center"/>
              <w:rPr>
                <w:rFonts w:ascii="宋体" w:hAnsi="宋体"/>
                <w:color w:val="auto"/>
                <w:szCs w:val="21"/>
                <w:highlight w:val="none"/>
              </w:rPr>
            </w:pPr>
            <w:r>
              <w:rPr>
                <w:rFonts w:ascii="宋体" w:hAnsi="宋体"/>
                <w:color w:val="auto"/>
                <w:szCs w:val="21"/>
                <w:highlight w:val="none"/>
              </w:rPr>
              <w:t>2</w:t>
            </w:r>
          </w:p>
        </w:tc>
        <w:tc>
          <w:tcPr>
            <w:tcW w:w="1785" w:type="dxa"/>
            <w:vMerge w:val="continue"/>
            <w:vAlign w:val="center"/>
          </w:tcPr>
          <w:p>
            <w:pPr>
              <w:ind w:firstLine="480"/>
              <w:jc w:val="center"/>
              <w:rPr>
                <w:rFonts w:ascii="宋体" w:hAnsi="宋体"/>
                <w:color w:val="auto"/>
                <w:szCs w:val="21"/>
                <w:highlight w:val="none"/>
              </w:rPr>
            </w:pPr>
          </w:p>
        </w:tc>
        <w:tc>
          <w:tcPr>
            <w:tcW w:w="2546" w:type="dxa"/>
            <w:vAlign w:val="center"/>
          </w:tcPr>
          <w:p>
            <w:pPr>
              <w:jc w:val="center"/>
              <w:rPr>
                <w:rFonts w:ascii="宋体" w:hAnsi="宋体"/>
                <w:color w:val="auto"/>
                <w:szCs w:val="21"/>
                <w:highlight w:val="none"/>
              </w:rPr>
            </w:pPr>
            <w:r>
              <w:rPr>
                <w:rFonts w:ascii="宋体" w:hAnsi="宋体"/>
                <w:color w:val="auto"/>
                <w:szCs w:val="21"/>
                <w:highlight w:val="none"/>
              </w:rPr>
              <w:t>社会保障费</w:t>
            </w:r>
          </w:p>
        </w:tc>
        <w:tc>
          <w:tcPr>
            <w:tcW w:w="1624" w:type="dxa"/>
            <w:vAlign w:val="center"/>
          </w:tcPr>
          <w:p>
            <w:pPr>
              <w:jc w:val="center"/>
              <w:rPr>
                <w:rFonts w:ascii="宋体" w:hAnsi="宋体"/>
                <w:color w:val="auto"/>
                <w:szCs w:val="21"/>
                <w:highlight w:val="none"/>
              </w:rPr>
            </w:pPr>
            <w:r>
              <w:rPr>
                <w:rFonts w:ascii="宋体" w:hAnsi="宋体"/>
                <w:color w:val="auto"/>
                <w:szCs w:val="21"/>
                <w:highlight w:val="none"/>
              </w:rPr>
              <w:t>A+B+C-D</w:t>
            </w:r>
          </w:p>
        </w:tc>
        <w:tc>
          <w:tcPr>
            <w:tcW w:w="1304" w:type="dxa"/>
            <w:vAlign w:val="center"/>
          </w:tcPr>
          <w:p>
            <w:pPr>
              <w:spacing w:line="360" w:lineRule="auto"/>
              <w:jc w:val="center"/>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3.2</w:t>
            </w:r>
          </w:p>
        </w:tc>
        <w:tc>
          <w:tcPr>
            <w:tcW w:w="1304" w:type="dxa"/>
            <w:vAlign w:val="center"/>
          </w:tcPr>
          <w:p>
            <w:pPr>
              <w:spacing w:line="360" w:lineRule="auto"/>
              <w:jc w:val="center"/>
              <w:rPr>
                <w:rFonts w:hint="default" w:ascii="宋体" w:hAnsi="宋体"/>
                <w:color w:val="auto"/>
                <w:szCs w:val="21"/>
                <w:highlight w:val="none"/>
                <w:lang w:val="en-US" w:eastAsia="zh-CN"/>
              </w:rPr>
            </w:pPr>
            <w:r>
              <w:rPr>
                <w:rFonts w:hint="eastAsia" w:ascii="宋体" w:hAnsi="宋体"/>
                <w:color w:val="auto"/>
                <w:szCs w:val="21"/>
                <w:highlight w:val="none"/>
                <w:lang w:val="en-US" w:eastAsia="zh-CN"/>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10" w:type="dxa"/>
            <w:vAlign w:val="center"/>
          </w:tcPr>
          <w:p>
            <w:pPr>
              <w:jc w:val="center"/>
              <w:rPr>
                <w:rFonts w:ascii="宋体" w:hAnsi="宋体"/>
                <w:color w:val="auto"/>
                <w:szCs w:val="21"/>
                <w:highlight w:val="none"/>
              </w:rPr>
            </w:pPr>
            <w:r>
              <w:rPr>
                <w:rFonts w:ascii="宋体" w:hAnsi="宋体"/>
                <w:color w:val="auto"/>
                <w:szCs w:val="21"/>
                <w:highlight w:val="none"/>
              </w:rPr>
              <w:t>3</w:t>
            </w:r>
          </w:p>
        </w:tc>
        <w:tc>
          <w:tcPr>
            <w:tcW w:w="1785" w:type="dxa"/>
            <w:vMerge w:val="continue"/>
            <w:vAlign w:val="center"/>
          </w:tcPr>
          <w:p>
            <w:pPr>
              <w:ind w:firstLine="480"/>
              <w:jc w:val="center"/>
              <w:rPr>
                <w:rFonts w:ascii="宋体" w:hAnsi="宋体"/>
                <w:color w:val="auto"/>
                <w:szCs w:val="21"/>
                <w:highlight w:val="none"/>
              </w:rPr>
            </w:pPr>
          </w:p>
        </w:tc>
        <w:tc>
          <w:tcPr>
            <w:tcW w:w="2546" w:type="dxa"/>
            <w:vAlign w:val="center"/>
          </w:tcPr>
          <w:p>
            <w:pPr>
              <w:jc w:val="center"/>
              <w:rPr>
                <w:rFonts w:ascii="宋体" w:hAnsi="宋体"/>
                <w:color w:val="auto"/>
                <w:szCs w:val="21"/>
                <w:highlight w:val="none"/>
              </w:rPr>
            </w:pPr>
            <w:r>
              <w:rPr>
                <w:rFonts w:ascii="宋体" w:hAnsi="宋体"/>
                <w:color w:val="auto"/>
                <w:szCs w:val="21"/>
                <w:highlight w:val="none"/>
              </w:rPr>
              <w:t>住房公积金</w:t>
            </w:r>
          </w:p>
        </w:tc>
        <w:tc>
          <w:tcPr>
            <w:tcW w:w="1624" w:type="dxa"/>
            <w:vAlign w:val="center"/>
          </w:tcPr>
          <w:p>
            <w:pPr>
              <w:jc w:val="center"/>
              <w:rPr>
                <w:rFonts w:ascii="宋体" w:hAnsi="宋体"/>
                <w:color w:val="auto"/>
                <w:szCs w:val="21"/>
                <w:highlight w:val="none"/>
              </w:rPr>
            </w:pPr>
            <w:r>
              <w:rPr>
                <w:rFonts w:ascii="宋体" w:hAnsi="宋体"/>
                <w:color w:val="auto"/>
                <w:szCs w:val="21"/>
                <w:highlight w:val="none"/>
              </w:rPr>
              <w:t>A+B+C-D</w:t>
            </w:r>
          </w:p>
        </w:tc>
        <w:tc>
          <w:tcPr>
            <w:tcW w:w="1304" w:type="dxa"/>
            <w:vAlign w:val="center"/>
          </w:tcPr>
          <w:p>
            <w:pPr>
              <w:spacing w:line="360" w:lineRule="auto"/>
              <w:jc w:val="center"/>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0.53</w:t>
            </w:r>
          </w:p>
        </w:tc>
        <w:tc>
          <w:tcPr>
            <w:tcW w:w="1304" w:type="dxa"/>
            <w:vAlign w:val="center"/>
          </w:tcPr>
          <w:p>
            <w:pPr>
              <w:spacing w:line="360" w:lineRule="auto"/>
              <w:jc w:val="center"/>
              <w:rPr>
                <w:rFonts w:hint="default" w:ascii="宋体" w:hAnsi="宋体"/>
                <w:color w:val="auto"/>
                <w:szCs w:val="21"/>
                <w:highlight w:val="none"/>
                <w:lang w:val="en-US" w:eastAsia="zh-CN"/>
              </w:rPr>
            </w:pPr>
            <w:r>
              <w:rPr>
                <w:rFonts w:hint="eastAsia" w:ascii="宋体" w:hAnsi="宋体"/>
                <w:color w:val="auto"/>
                <w:szCs w:val="21"/>
                <w:highlight w:val="none"/>
                <w:lang w:val="en-US" w:eastAsia="zh-CN"/>
              </w:rPr>
              <w:t>0.42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10" w:type="dxa"/>
            <w:vAlign w:val="center"/>
          </w:tcPr>
          <w:p>
            <w:pPr>
              <w:jc w:val="center"/>
              <w:rPr>
                <w:rFonts w:ascii="宋体" w:hAnsi="宋体"/>
                <w:color w:val="auto"/>
                <w:szCs w:val="21"/>
                <w:highlight w:val="none"/>
              </w:rPr>
            </w:pPr>
            <w:r>
              <w:rPr>
                <w:rFonts w:ascii="宋体" w:hAnsi="宋体"/>
                <w:color w:val="auto"/>
                <w:szCs w:val="21"/>
                <w:highlight w:val="none"/>
              </w:rPr>
              <w:t>4</w:t>
            </w:r>
          </w:p>
        </w:tc>
        <w:tc>
          <w:tcPr>
            <w:tcW w:w="1785" w:type="dxa"/>
            <w:vMerge w:val="restart"/>
            <w:vAlign w:val="center"/>
          </w:tcPr>
          <w:p>
            <w:pPr>
              <w:jc w:val="center"/>
              <w:rPr>
                <w:rFonts w:ascii="宋体" w:hAnsi="宋体"/>
                <w:color w:val="auto"/>
                <w:szCs w:val="21"/>
                <w:highlight w:val="none"/>
              </w:rPr>
            </w:pPr>
            <w:r>
              <w:rPr>
                <w:rFonts w:ascii="宋体" w:hAnsi="宋体"/>
                <w:color w:val="auto"/>
                <w:szCs w:val="21"/>
                <w:highlight w:val="none"/>
              </w:rPr>
              <w:t>现场安全</w:t>
            </w:r>
          </w:p>
          <w:p>
            <w:pPr>
              <w:jc w:val="center"/>
              <w:rPr>
                <w:rFonts w:ascii="宋体" w:hAnsi="宋体"/>
                <w:color w:val="auto"/>
                <w:szCs w:val="21"/>
                <w:highlight w:val="none"/>
              </w:rPr>
            </w:pPr>
            <w:r>
              <w:rPr>
                <w:rFonts w:ascii="宋体" w:hAnsi="宋体"/>
                <w:color w:val="auto"/>
                <w:szCs w:val="21"/>
                <w:highlight w:val="none"/>
              </w:rPr>
              <w:t>文明施工</w:t>
            </w:r>
          </w:p>
          <w:p>
            <w:pPr>
              <w:jc w:val="center"/>
              <w:rPr>
                <w:rFonts w:ascii="宋体" w:hAnsi="宋体"/>
                <w:color w:val="auto"/>
                <w:szCs w:val="21"/>
                <w:highlight w:val="none"/>
              </w:rPr>
            </w:pPr>
            <w:r>
              <w:rPr>
                <w:rFonts w:ascii="宋体" w:hAnsi="宋体"/>
                <w:color w:val="auto"/>
                <w:szCs w:val="21"/>
                <w:highlight w:val="none"/>
              </w:rPr>
              <w:t>措施费</w:t>
            </w:r>
          </w:p>
        </w:tc>
        <w:tc>
          <w:tcPr>
            <w:tcW w:w="2546" w:type="dxa"/>
            <w:vAlign w:val="center"/>
          </w:tcPr>
          <w:p>
            <w:pPr>
              <w:jc w:val="center"/>
              <w:rPr>
                <w:rFonts w:ascii="宋体" w:hAnsi="宋体"/>
                <w:color w:val="auto"/>
                <w:szCs w:val="21"/>
                <w:highlight w:val="none"/>
              </w:rPr>
            </w:pPr>
            <w:r>
              <w:rPr>
                <w:rFonts w:ascii="宋体" w:hAnsi="宋体"/>
                <w:color w:val="auto"/>
                <w:szCs w:val="21"/>
                <w:highlight w:val="none"/>
              </w:rPr>
              <w:t>基本费</w:t>
            </w:r>
          </w:p>
        </w:tc>
        <w:tc>
          <w:tcPr>
            <w:tcW w:w="1624" w:type="dxa"/>
            <w:vAlign w:val="center"/>
          </w:tcPr>
          <w:p>
            <w:pPr>
              <w:jc w:val="center"/>
              <w:rPr>
                <w:rFonts w:ascii="宋体" w:hAnsi="宋体"/>
                <w:color w:val="auto"/>
                <w:szCs w:val="21"/>
                <w:highlight w:val="none"/>
              </w:rPr>
            </w:pPr>
            <w:r>
              <w:rPr>
                <w:rFonts w:ascii="宋体" w:hAnsi="宋体"/>
                <w:color w:val="auto"/>
                <w:szCs w:val="21"/>
                <w:highlight w:val="none"/>
              </w:rPr>
              <w:t>A+B1-D</w:t>
            </w:r>
          </w:p>
        </w:tc>
        <w:tc>
          <w:tcPr>
            <w:tcW w:w="1304" w:type="dxa"/>
            <w:vAlign w:val="center"/>
          </w:tcPr>
          <w:p>
            <w:pPr>
              <w:jc w:val="center"/>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3.1</w:t>
            </w:r>
          </w:p>
        </w:tc>
        <w:tc>
          <w:tcPr>
            <w:tcW w:w="1304" w:type="dxa"/>
            <w:vAlign w:val="center"/>
          </w:tcPr>
          <w:p>
            <w:pPr>
              <w:jc w:val="center"/>
              <w:rPr>
                <w:rFonts w:hint="default" w:ascii="宋体" w:hAnsi="宋体"/>
                <w:color w:val="auto"/>
                <w:szCs w:val="21"/>
                <w:highlight w:val="none"/>
                <w:lang w:val="en-US" w:eastAsia="zh-CN"/>
              </w:rPr>
            </w:pPr>
            <w:r>
              <w:rPr>
                <w:rFonts w:hint="eastAsia" w:ascii="宋体" w:hAnsi="宋体"/>
                <w:color w:val="auto"/>
                <w:szCs w:val="21"/>
                <w:highlight w:val="none"/>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710" w:type="dxa"/>
            <w:vAlign w:val="center"/>
          </w:tcPr>
          <w:p>
            <w:pPr>
              <w:jc w:val="center"/>
              <w:rPr>
                <w:rFonts w:ascii="宋体" w:hAnsi="宋体"/>
                <w:color w:val="auto"/>
                <w:szCs w:val="21"/>
                <w:highlight w:val="none"/>
              </w:rPr>
            </w:pPr>
            <w:r>
              <w:rPr>
                <w:rFonts w:ascii="宋体" w:hAnsi="宋体"/>
                <w:color w:val="auto"/>
                <w:szCs w:val="21"/>
                <w:highlight w:val="none"/>
              </w:rPr>
              <w:t>5</w:t>
            </w:r>
          </w:p>
        </w:tc>
        <w:tc>
          <w:tcPr>
            <w:tcW w:w="1785" w:type="dxa"/>
            <w:vMerge w:val="continue"/>
            <w:vAlign w:val="center"/>
          </w:tcPr>
          <w:p>
            <w:pPr>
              <w:ind w:firstLine="480"/>
              <w:jc w:val="center"/>
              <w:rPr>
                <w:rFonts w:ascii="宋体" w:hAnsi="宋体"/>
                <w:color w:val="auto"/>
                <w:szCs w:val="21"/>
                <w:highlight w:val="none"/>
              </w:rPr>
            </w:pPr>
          </w:p>
        </w:tc>
        <w:tc>
          <w:tcPr>
            <w:tcW w:w="2546" w:type="dxa"/>
            <w:vAlign w:val="center"/>
          </w:tcPr>
          <w:p>
            <w:pPr>
              <w:jc w:val="center"/>
              <w:rPr>
                <w:rFonts w:ascii="宋体" w:hAnsi="宋体"/>
                <w:color w:val="auto"/>
                <w:szCs w:val="21"/>
                <w:highlight w:val="none"/>
              </w:rPr>
            </w:pPr>
            <w:r>
              <w:rPr>
                <w:rFonts w:ascii="宋体" w:hAnsi="宋体"/>
                <w:color w:val="auto"/>
                <w:szCs w:val="21"/>
                <w:highlight w:val="none"/>
              </w:rPr>
              <w:t>扬尘污染防治增加费</w:t>
            </w:r>
          </w:p>
        </w:tc>
        <w:tc>
          <w:tcPr>
            <w:tcW w:w="1624" w:type="dxa"/>
            <w:vAlign w:val="center"/>
          </w:tcPr>
          <w:p>
            <w:pPr>
              <w:jc w:val="center"/>
              <w:rPr>
                <w:rFonts w:ascii="宋体" w:hAnsi="宋体"/>
                <w:color w:val="auto"/>
                <w:szCs w:val="21"/>
                <w:highlight w:val="none"/>
              </w:rPr>
            </w:pPr>
            <w:r>
              <w:rPr>
                <w:rFonts w:ascii="宋体" w:hAnsi="宋体"/>
                <w:color w:val="auto"/>
                <w:szCs w:val="21"/>
                <w:highlight w:val="none"/>
              </w:rPr>
              <w:t>A+B1-D</w:t>
            </w:r>
          </w:p>
        </w:tc>
        <w:tc>
          <w:tcPr>
            <w:tcW w:w="1304" w:type="dxa"/>
            <w:vAlign w:val="center"/>
          </w:tcPr>
          <w:p>
            <w:pPr>
              <w:jc w:val="center"/>
              <w:rPr>
                <w:rFonts w:hint="eastAsia" w:ascii="宋体" w:hAnsi="宋体" w:eastAsia="宋体"/>
                <w:color w:val="auto"/>
                <w:szCs w:val="21"/>
                <w:highlight w:val="none"/>
                <w:lang w:val="en-US" w:eastAsia="zh-CN"/>
              </w:rPr>
            </w:pPr>
            <w:r>
              <w:rPr>
                <w:rFonts w:hint="eastAsia" w:ascii="宋体" w:hAnsi="宋体"/>
                <w:color w:val="auto"/>
                <w:szCs w:val="21"/>
                <w:highlight w:val="none"/>
                <w:lang w:val="en-US" w:eastAsia="zh-CN"/>
              </w:rPr>
              <w:t>/</w:t>
            </w:r>
          </w:p>
        </w:tc>
        <w:tc>
          <w:tcPr>
            <w:tcW w:w="1304" w:type="dxa"/>
            <w:vAlign w:val="center"/>
          </w:tcPr>
          <w:p>
            <w:pPr>
              <w:jc w:val="center"/>
              <w:rPr>
                <w:rFonts w:hint="default" w:ascii="宋体" w:hAnsi="宋体"/>
                <w:color w:val="auto"/>
                <w:szCs w:val="21"/>
                <w:highlight w:val="none"/>
                <w:lang w:val="en-US" w:eastAsia="zh-CN"/>
              </w:rPr>
            </w:pPr>
            <w:r>
              <w:rPr>
                <w:rFonts w:hint="eastAsia" w:ascii="宋体" w:hAnsi="宋体"/>
                <w:color w:val="auto"/>
                <w:szCs w:val="21"/>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10" w:type="dxa"/>
            <w:vAlign w:val="center"/>
          </w:tcPr>
          <w:p>
            <w:pPr>
              <w:jc w:val="center"/>
              <w:rPr>
                <w:rFonts w:ascii="宋体" w:hAnsi="宋体"/>
                <w:color w:val="auto"/>
                <w:szCs w:val="21"/>
                <w:highlight w:val="none"/>
              </w:rPr>
            </w:pPr>
            <w:r>
              <w:rPr>
                <w:rFonts w:hint="eastAsia" w:ascii="宋体" w:hAnsi="宋体"/>
                <w:color w:val="auto"/>
                <w:szCs w:val="21"/>
                <w:highlight w:val="none"/>
              </w:rPr>
              <w:t>6</w:t>
            </w:r>
          </w:p>
        </w:tc>
        <w:tc>
          <w:tcPr>
            <w:tcW w:w="1785" w:type="dxa"/>
            <w:vMerge w:val="continue"/>
            <w:vAlign w:val="center"/>
          </w:tcPr>
          <w:p>
            <w:pPr>
              <w:ind w:firstLine="480"/>
              <w:jc w:val="center"/>
              <w:rPr>
                <w:rFonts w:ascii="宋体" w:hAnsi="宋体"/>
                <w:color w:val="auto"/>
                <w:szCs w:val="21"/>
                <w:highlight w:val="none"/>
              </w:rPr>
            </w:pPr>
          </w:p>
        </w:tc>
        <w:tc>
          <w:tcPr>
            <w:tcW w:w="2546" w:type="dxa"/>
            <w:vAlign w:val="center"/>
          </w:tcPr>
          <w:p>
            <w:pPr>
              <w:jc w:val="center"/>
              <w:rPr>
                <w:rFonts w:ascii="宋体" w:hAnsi="宋体"/>
                <w:color w:val="auto"/>
                <w:szCs w:val="21"/>
                <w:highlight w:val="none"/>
              </w:rPr>
            </w:pPr>
            <w:r>
              <w:rPr>
                <w:rFonts w:hint="eastAsia" w:ascii="宋体" w:hAnsi="宋体"/>
                <w:color w:val="auto"/>
                <w:szCs w:val="21"/>
                <w:highlight w:val="none"/>
              </w:rPr>
              <w:t>标准化增加费</w:t>
            </w:r>
          </w:p>
        </w:tc>
        <w:tc>
          <w:tcPr>
            <w:tcW w:w="1624" w:type="dxa"/>
            <w:vAlign w:val="center"/>
          </w:tcPr>
          <w:p>
            <w:pPr>
              <w:jc w:val="center"/>
              <w:rPr>
                <w:rFonts w:ascii="宋体" w:hAnsi="宋体"/>
                <w:color w:val="auto"/>
                <w:szCs w:val="21"/>
                <w:highlight w:val="none"/>
              </w:rPr>
            </w:pPr>
            <w:r>
              <w:rPr>
                <w:rFonts w:ascii="宋体" w:hAnsi="宋体"/>
                <w:color w:val="auto"/>
                <w:szCs w:val="21"/>
                <w:highlight w:val="none"/>
              </w:rPr>
              <w:t>A+B1-D</w:t>
            </w:r>
          </w:p>
        </w:tc>
        <w:tc>
          <w:tcPr>
            <w:tcW w:w="1304" w:type="dxa"/>
            <w:vAlign w:val="center"/>
          </w:tcPr>
          <w:p>
            <w:pPr>
              <w:jc w:val="center"/>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0.31</w:t>
            </w:r>
          </w:p>
        </w:tc>
        <w:tc>
          <w:tcPr>
            <w:tcW w:w="1304" w:type="dxa"/>
            <w:vAlign w:val="center"/>
          </w:tcPr>
          <w:p>
            <w:pPr>
              <w:jc w:val="center"/>
              <w:rPr>
                <w:rFonts w:hint="default" w:ascii="宋体" w:hAnsi="宋体"/>
                <w:color w:val="auto"/>
                <w:szCs w:val="21"/>
                <w:highlight w:val="none"/>
                <w:lang w:val="en-US" w:eastAsia="zh-CN"/>
              </w:rPr>
            </w:pPr>
            <w:r>
              <w:rPr>
                <w:rFonts w:hint="eastAsia" w:ascii="宋体" w:hAnsi="宋体"/>
                <w:color w:val="auto"/>
                <w:szCs w:val="21"/>
                <w:highlight w:val="none"/>
                <w:lang w:val="en-US" w:eastAsia="zh-CN"/>
              </w:rPr>
              <w:t>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10" w:type="dxa"/>
            <w:vAlign w:val="center"/>
          </w:tcPr>
          <w:p>
            <w:pPr>
              <w:jc w:val="center"/>
              <w:rPr>
                <w:rFonts w:ascii="宋体" w:hAnsi="宋体"/>
                <w:color w:val="auto"/>
                <w:szCs w:val="21"/>
                <w:highlight w:val="none"/>
              </w:rPr>
            </w:pPr>
            <w:r>
              <w:rPr>
                <w:rFonts w:hint="eastAsia" w:ascii="宋体" w:hAnsi="宋体"/>
                <w:color w:val="auto"/>
                <w:szCs w:val="21"/>
                <w:highlight w:val="none"/>
              </w:rPr>
              <w:t>8</w:t>
            </w:r>
          </w:p>
        </w:tc>
        <w:tc>
          <w:tcPr>
            <w:tcW w:w="1785" w:type="dxa"/>
            <w:vAlign w:val="center"/>
          </w:tcPr>
          <w:p>
            <w:pPr>
              <w:jc w:val="center"/>
              <w:rPr>
                <w:rFonts w:ascii="宋体" w:hAnsi="宋体"/>
                <w:color w:val="auto"/>
                <w:szCs w:val="21"/>
                <w:highlight w:val="none"/>
              </w:rPr>
            </w:pPr>
            <w:r>
              <w:rPr>
                <w:rFonts w:ascii="宋体" w:hAnsi="宋体"/>
                <w:color w:val="auto"/>
                <w:szCs w:val="21"/>
                <w:highlight w:val="none"/>
              </w:rPr>
              <w:t>税  金</w:t>
            </w:r>
          </w:p>
        </w:tc>
        <w:tc>
          <w:tcPr>
            <w:tcW w:w="2546" w:type="dxa"/>
            <w:vAlign w:val="center"/>
          </w:tcPr>
          <w:p>
            <w:pPr>
              <w:ind w:left="160" w:hanging="159" w:hangingChars="76"/>
              <w:jc w:val="center"/>
              <w:rPr>
                <w:rFonts w:ascii="宋体" w:hAnsi="宋体"/>
                <w:color w:val="auto"/>
                <w:szCs w:val="21"/>
                <w:highlight w:val="none"/>
              </w:rPr>
            </w:pPr>
            <w:r>
              <w:rPr>
                <w:rFonts w:ascii="宋体" w:hAnsi="宋体"/>
                <w:color w:val="auto"/>
                <w:szCs w:val="21"/>
                <w:highlight w:val="none"/>
              </w:rPr>
              <w:t>税   金</w:t>
            </w:r>
          </w:p>
        </w:tc>
        <w:tc>
          <w:tcPr>
            <w:tcW w:w="1624" w:type="dxa"/>
            <w:vAlign w:val="center"/>
          </w:tcPr>
          <w:p>
            <w:pPr>
              <w:jc w:val="center"/>
              <w:rPr>
                <w:rFonts w:ascii="宋体" w:hAnsi="宋体"/>
                <w:color w:val="auto"/>
                <w:szCs w:val="21"/>
                <w:highlight w:val="none"/>
              </w:rPr>
            </w:pPr>
            <w:r>
              <w:rPr>
                <w:rFonts w:ascii="宋体" w:hAnsi="宋体"/>
                <w:color w:val="auto"/>
                <w:szCs w:val="21"/>
                <w:highlight w:val="none"/>
              </w:rPr>
              <w:t>除税造价</w:t>
            </w:r>
          </w:p>
        </w:tc>
        <w:tc>
          <w:tcPr>
            <w:tcW w:w="1304" w:type="dxa"/>
            <w:vAlign w:val="center"/>
          </w:tcPr>
          <w:p>
            <w:pPr>
              <w:jc w:val="center"/>
              <w:rPr>
                <w:rFonts w:ascii="宋体" w:hAnsi="宋体"/>
                <w:color w:val="auto"/>
                <w:szCs w:val="21"/>
                <w:highlight w:val="none"/>
              </w:rPr>
            </w:pPr>
            <w:r>
              <w:rPr>
                <w:rFonts w:ascii="宋体" w:hAnsi="宋体"/>
                <w:color w:val="auto"/>
                <w:szCs w:val="21"/>
                <w:highlight w:val="none"/>
              </w:rPr>
              <w:t>9</w:t>
            </w:r>
          </w:p>
        </w:tc>
        <w:tc>
          <w:tcPr>
            <w:tcW w:w="1304" w:type="dxa"/>
            <w:vAlign w:val="center"/>
          </w:tcPr>
          <w:p>
            <w:pPr>
              <w:jc w:val="center"/>
              <w:rPr>
                <w:rFonts w:hint="eastAsia" w:ascii="宋体" w:hAnsi="宋体" w:eastAsia="宋体"/>
                <w:color w:val="auto"/>
                <w:szCs w:val="21"/>
                <w:highlight w:val="none"/>
                <w:lang w:val="en-US" w:eastAsia="zh-CN"/>
              </w:rPr>
            </w:pPr>
            <w:r>
              <w:rPr>
                <w:rFonts w:hint="eastAsia" w:ascii="宋体" w:hAnsi="宋体"/>
                <w:color w:val="auto"/>
                <w:szCs w:val="21"/>
                <w:highlight w:val="none"/>
                <w:lang w:val="en-US" w:eastAsia="zh-CN"/>
              </w:rPr>
              <w:t>9</w:t>
            </w:r>
          </w:p>
        </w:tc>
      </w:tr>
    </w:tbl>
    <w:p>
      <w:pPr>
        <w:adjustRightInd w:val="0"/>
        <w:snapToGrid w:val="0"/>
        <w:spacing w:line="360" w:lineRule="auto"/>
        <w:ind w:firstLine="420" w:firstLineChars="200"/>
        <w:rPr>
          <w:rFonts w:ascii="宋体" w:hAnsi="宋体"/>
          <w:color w:val="auto"/>
          <w:szCs w:val="21"/>
          <w:highlight w:val="none"/>
        </w:rPr>
      </w:pPr>
      <w:r>
        <w:rPr>
          <w:rFonts w:ascii="宋体" w:hAnsi="宋体"/>
          <w:color w:val="auto"/>
          <w:szCs w:val="21"/>
          <w:highlight w:val="none"/>
        </w:rPr>
        <w:t>注：</w:t>
      </w:r>
      <w:r>
        <w:rPr>
          <w:rFonts w:hint="eastAsia" w:ascii="宋体" w:hAnsi="宋体"/>
          <w:color w:val="auto"/>
          <w:szCs w:val="21"/>
          <w:highlight w:val="none"/>
        </w:rPr>
        <w:t>1、</w:t>
      </w:r>
      <w:r>
        <w:rPr>
          <w:rFonts w:ascii="宋体" w:hAnsi="宋体"/>
          <w:color w:val="auto"/>
          <w:szCs w:val="21"/>
          <w:highlight w:val="none"/>
        </w:rPr>
        <w:t>计算基础：A为分部分项工程费，B为措施项目清单费用，B1为单价措施项目费，C其它项目费，D为除税工程设备费。</w:t>
      </w:r>
    </w:p>
    <w:p>
      <w:pPr>
        <w:adjustRightInd w:val="0"/>
        <w:snapToGrid w:val="0"/>
        <w:spacing w:line="360" w:lineRule="auto"/>
        <w:ind w:firstLine="422" w:firstLineChars="200"/>
        <w:rPr>
          <w:rFonts w:hAnsi="宋体"/>
          <w:b/>
          <w:bCs/>
          <w:color w:val="auto"/>
          <w:szCs w:val="21"/>
          <w:highlight w:val="none"/>
        </w:rPr>
      </w:pPr>
      <w:r>
        <w:rPr>
          <w:rFonts w:hint="eastAsia" w:hAnsi="宋体"/>
          <w:b/>
          <w:bCs/>
          <w:color w:val="auto"/>
          <w:szCs w:val="21"/>
          <w:highlight w:val="none"/>
        </w:rPr>
        <w:t>本项目不可竞争费相关费率以网上发布的清单中费率为准。</w:t>
      </w:r>
    </w:p>
    <w:p>
      <w:pPr>
        <w:adjustRightInd w:val="0"/>
        <w:snapToGrid w:val="0"/>
        <w:spacing w:line="360" w:lineRule="auto"/>
        <w:ind w:firstLine="420" w:firstLineChars="200"/>
        <w:rPr>
          <w:rFonts w:hAnsi="宋体"/>
          <w:color w:val="auto"/>
          <w:szCs w:val="21"/>
          <w:highlight w:val="none"/>
        </w:rPr>
      </w:pPr>
      <w:r>
        <w:rPr>
          <w:rFonts w:hint="eastAsia" w:hAnsi="宋体"/>
          <w:color w:val="auto"/>
          <w:szCs w:val="21"/>
          <w:highlight w:val="none"/>
        </w:rPr>
        <w:t>18.2.6其他取费：详见工程量清单</w:t>
      </w:r>
    </w:p>
    <w:p>
      <w:pPr>
        <w:adjustRightInd w:val="0"/>
        <w:snapToGrid w:val="0"/>
        <w:spacing w:line="360" w:lineRule="auto"/>
        <w:ind w:firstLine="420" w:firstLineChars="200"/>
        <w:rPr>
          <w:rFonts w:hAnsi="宋体"/>
          <w:color w:val="auto"/>
          <w:szCs w:val="21"/>
          <w:highlight w:val="none"/>
        </w:rPr>
      </w:pPr>
      <w:r>
        <w:rPr>
          <w:rFonts w:hint="eastAsia" w:hAnsi="宋体"/>
          <w:color w:val="auto"/>
          <w:szCs w:val="21"/>
          <w:highlight w:val="none"/>
        </w:rPr>
        <w:t>18.2.7本工程执行《省住房城乡建设厅关于建筑工人实名制费用计取方法的公告》【2019】第19号。</w:t>
      </w:r>
    </w:p>
    <w:p>
      <w:pPr>
        <w:adjustRightInd w:val="0"/>
        <w:snapToGrid w:val="0"/>
        <w:spacing w:line="360" w:lineRule="auto"/>
        <w:ind w:firstLine="420" w:firstLineChars="200"/>
        <w:rPr>
          <w:rFonts w:hAnsi="宋体"/>
          <w:color w:val="auto"/>
          <w:szCs w:val="21"/>
          <w:highlight w:val="none"/>
        </w:rPr>
      </w:pPr>
      <w:r>
        <w:rPr>
          <w:rFonts w:hint="eastAsia" w:hAnsi="宋体"/>
          <w:color w:val="auto"/>
          <w:szCs w:val="21"/>
          <w:highlight w:val="none"/>
        </w:rPr>
        <w:t>18.3 招标控制价文件组成。</w:t>
      </w:r>
    </w:p>
    <w:p>
      <w:pPr>
        <w:spacing w:line="360" w:lineRule="auto"/>
        <w:ind w:firstLine="420" w:firstLineChars="200"/>
        <w:rPr>
          <w:rFonts w:hAnsi="宋体"/>
          <w:color w:val="auto"/>
          <w:szCs w:val="21"/>
          <w:highlight w:val="none"/>
        </w:rPr>
      </w:pPr>
      <w:r>
        <w:rPr>
          <w:rFonts w:hAnsi="宋体"/>
          <w:color w:val="auto"/>
          <w:szCs w:val="21"/>
          <w:highlight w:val="none"/>
        </w:rPr>
        <w:t>招标人公布的招标控制价应当包括单位工程招标控制价汇总表、分部分项工程和单价措施项目清单与计价表、相关说明以及招标价调整等系数的取值。</w:t>
      </w:r>
    </w:p>
    <w:p>
      <w:pPr>
        <w:adjustRightInd w:val="0"/>
        <w:snapToGrid w:val="0"/>
        <w:spacing w:line="360" w:lineRule="auto"/>
        <w:ind w:firstLine="420" w:firstLineChars="200"/>
        <w:rPr>
          <w:color w:val="auto"/>
          <w:szCs w:val="21"/>
          <w:highlight w:val="none"/>
        </w:rPr>
      </w:pPr>
      <w:r>
        <w:rPr>
          <w:color w:val="auto"/>
          <w:szCs w:val="21"/>
          <w:highlight w:val="none"/>
        </w:rPr>
        <w:t xml:space="preserve">18.4 </w:t>
      </w:r>
      <w:r>
        <w:rPr>
          <w:rFonts w:hAnsi="宋体"/>
          <w:color w:val="auto"/>
          <w:szCs w:val="21"/>
          <w:highlight w:val="none"/>
        </w:rPr>
        <w:t>公布招标控制价时间。</w:t>
      </w:r>
    </w:p>
    <w:p>
      <w:pPr>
        <w:spacing w:line="360" w:lineRule="auto"/>
        <w:ind w:left="105" w:leftChars="50" w:firstLine="315" w:firstLineChars="150"/>
        <w:rPr>
          <w:color w:val="auto"/>
          <w:szCs w:val="21"/>
          <w:highlight w:val="none"/>
        </w:rPr>
      </w:pPr>
      <w:r>
        <w:rPr>
          <w:rFonts w:hAnsi="宋体"/>
          <w:color w:val="auto"/>
          <w:szCs w:val="21"/>
          <w:highlight w:val="none"/>
        </w:rPr>
        <w:t>和招标文件同时在</w:t>
      </w:r>
      <w:r>
        <w:rPr>
          <w:rFonts w:hint="eastAsia" w:ascii="宋体" w:hAnsi="宋体"/>
          <w:color w:val="auto"/>
          <w:szCs w:val="21"/>
          <w:highlight w:val="none"/>
          <w:lang w:val="en-US" w:eastAsia="zh-CN"/>
        </w:rPr>
        <w:t>南通市保安服务有限公司官网</w:t>
      </w:r>
      <w:r>
        <w:rPr>
          <w:rFonts w:hAnsi="宋体"/>
          <w:color w:val="auto"/>
          <w:szCs w:val="21"/>
          <w:highlight w:val="none"/>
        </w:rPr>
        <w:t>上发布。</w:t>
      </w:r>
    </w:p>
    <w:p>
      <w:pPr>
        <w:spacing w:line="360" w:lineRule="auto"/>
        <w:ind w:firstLine="420" w:firstLineChars="200"/>
        <w:rPr>
          <w:color w:val="auto"/>
          <w:szCs w:val="21"/>
          <w:highlight w:val="none"/>
        </w:rPr>
      </w:pPr>
      <w:r>
        <w:rPr>
          <w:color w:val="auto"/>
          <w:szCs w:val="21"/>
          <w:highlight w:val="none"/>
        </w:rPr>
        <w:t xml:space="preserve">18.5 </w:t>
      </w:r>
      <w:r>
        <w:rPr>
          <w:rFonts w:hAnsi="宋体"/>
          <w:color w:val="auto"/>
          <w:szCs w:val="21"/>
          <w:highlight w:val="none"/>
        </w:rPr>
        <w:t>招标控制价异议处理：</w:t>
      </w:r>
    </w:p>
    <w:p>
      <w:pPr>
        <w:spacing w:line="360" w:lineRule="auto"/>
        <w:ind w:firstLine="420" w:firstLineChars="200"/>
        <w:rPr>
          <w:rFonts w:hint="eastAsia" w:hAnsi="宋体"/>
          <w:color w:val="auto"/>
          <w:szCs w:val="21"/>
          <w:highlight w:val="none"/>
          <w:lang w:eastAsia="zh-CN"/>
        </w:rPr>
      </w:pPr>
      <w:r>
        <w:rPr>
          <w:rFonts w:hAnsi="宋体"/>
          <w:color w:val="auto"/>
          <w:szCs w:val="21"/>
          <w:highlight w:val="none"/>
        </w:rPr>
        <w:t>投标人对招标控制价有异议的，应在控制价发布后</w:t>
      </w:r>
      <w:r>
        <w:rPr>
          <w:color w:val="auto"/>
          <w:szCs w:val="21"/>
          <w:highlight w:val="none"/>
        </w:rPr>
        <w:t>2</w:t>
      </w:r>
      <w:r>
        <w:rPr>
          <w:rFonts w:hAnsi="宋体"/>
          <w:color w:val="auto"/>
          <w:szCs w:val="21"/>
          <w:highlight w:val="none"/>
        </w:rPr>
        <w:t>日内向招标人书面提出</w:t>
      </w:r>
      <w:r>
        <w:rPr>
          <w:rFonts w:hint="eastAsia" w:hAnsi="宋体"/>
          <w:color w:val="auto"/>
          <w:szCs w:val="21"/>
          <w:highlight w:val="none"/>
          <w:lang w:eastAsia="zh-CN"/>
        </w:rPr>
        <w:t>。</w:t>
      </w:r>
    </w:p>
    <w:p>
      <w:pPr>
        <w:spacing w:line="360" w:lineRule="auto"/>
        <w:ind w:firstLine="420" w:firstLineChars="200"/>
        <w:rPr>
          <w:color w:val="auto"/>
          <w:szCs w:val="21"/>
          <w:highlight w:val="none"/>
        </w:rPr>
      </w:pPr>
      <w:r>
        <w:rPr>
          <w:rFonts w:hAnsi="宋体"/>
          <w:color w:val="auto"/>
          <w:szCs w:val="21"/>
          <w:highlight w:val="none"/>
        </w:rPr>
        <w:t>招标人根据招标控制价复查结论需要重新公布招标控制价的，其最终公布的时间至招标文件要求提交投标文件截止时间不足</w:t>
      </w:r>
      <w:r>
        <w:rPr>
          <w:rFonts w:hint="eastAsia"/>
          <w:color w:val="auto"/>
          <w:szCs w:val="21"/>
          <w:highlight w:val="none"/>
        </w:rPr>
        <w:t>3</w:t>
      </w:r>
      <w:r>
        <w:rPr>
          <w:rFonts w:hAnsi="宋体"/>
          <w:color w:val="auto"/>
          <w:szCs w:val="21"/>
          <w:highlight w:val="none"/>
        </w:rPr>
        <w:t>天的，将相应延长投标文件的截止时间。</w:t>
      </w:r>
    </w:p>
    <w:p>
      <w:pPr>
        <w:spacing w:line="360" w:lineRule="auto"/>
        <w:ind w:firstLine="422" w:firstLineChars="200"/>
        <w:rPr>
          <w:b/>
          <w:color w:val="auto"/>
          <w:szCs w:val="21"/>
          <w:highlight w:val="none"/>
        </w:rPr>
      </w:pPr>
      <w:r>
        <w:rPr>
          <w:b/>
          <w:color w:val="auto"/>
          <w:szCs w:val="21"/>
          <w:highlight w:val="none"/>
        </w:rPr>
        <w:t>19.</w:t>
      </w:r>
      <w:r>
        <w:rPr>
          <w:rFonts w:hAnsi="宋体"/>
          <w:b/>
          <w:color w:val="auto"/>
          <w:szCs w:val="21"/>
          <w:highlight w:val="none"/>
        </w:rPr>
        <w:t>投标报价编制要求</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19.1采用工程量清单计价方式，投标人不得采用总价让利或以总价百分比让利等办法进行投标报价。</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19.2除投标人自行补充的措施项目外，投标报价的项目编码、项目名称、计量单位、工程量必须与招标人提供的一致。</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 xml:space="preserve">19.3工程量清单中投标人没有填入单价或价格的子目，其费用视为已分摊在工程量清单中其他子目的单价或价格之中。 </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19.4投标报价应根据招标文件中的工程量清单和有关要求、施工现场实际情况及拟定的施工方案或施工组织设计，依据企业定额和市场价格信息，实行自主报价（已列入不可竞争的项目除外）。投标人所报设备价、材料价如低于同期的省、市、县的造价信息或低于同期的市场价格信息，视为对招标人的优惠。投标人标函中所报设备、材料其规格、尺寸、等级不得低于清单的要求。中标人应根据清单确定的标准、等级、规格组织施工。</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19.5 投标人不得擅自改动招标人提供的工程量清单上的内容。若对提供的工程量清单内容有疑义，请将书面疑问材料在规定的时间和方法向招标代理单位提出，其中清单内容的书面疑问材料经招标人组织核实确认后提供最终工程量清单，投标人在投标报价时，不得增减清单工程量。</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19.</w:t>
      </w:r>
      <w:r>
        <w:rPr>
          <w:rFonts w:hint="eastAsia" w:ascii="宋体" w:hAnsi="宋体"/>
          <w:color w:val="auto"/>
          <w:szCs w:val="21"/>
          <w:highlight w:val="none"/>
          <w:lang w:val="en-US" w:eastAsia="zh-CN"/>
        </w:rPr>
        <w:t>6</w:t>
      </w:r>
      <w:r>
        <w:rPr>
          <w:rFonts w:hint="eastAsia" w:ascii="宋体" w:hAnsi="宋体"/>
          <w:color w:val="auto"/>
          <w:szCs w:val="21"/>
          <w:highlight w:val="none"/>
        </w:rPr>
        <w:t>本工程施工期间涉及环保、消防、城市卫生、市政、居委会、派出所等相关部门收取的费用，以及夜间文明施工、保护周边地下管线和架空线的安全的费用等，投标人均应综合考虑在投标报价中，竣工结算时一律不作调整。</w:t>
      </w:r>
    </w:p>
    <w:p>
      <w:pPr>
        <w:spacing w:line="360" w:lineRule="auto"/>
        <w:ind w:firstLine="420" w:firstLineChars="200"/>
        <w:rPr>
          <w:rFonts w:ascii="宋体" w:hAnsi="宋体"/>
          <w:bCs/>
          <w:color w:val="auto"/>
          <w:szCs w:val="21"/>
          <w:highlight w:val="none"/>
        </w:rPr>
      </w:pPr>
      <w:r>
        <w:rPr>
          <w:rFonts w:hint="eastAsia" w:ascii="宋体" w:hAnsi="宋体"/>
          <w:color w:val="auto"/>
          <w:szCs w:val="21"/>
          <w:highlight w:val="none"/>
        </w:rPr>
        <w:t>19.</w:t>
      </w:r>
      <w:r>
        <w:rPr>
          <w:rFonts w:hint="eastAsia" w:ascii="宋体" w:hAnsi="宋体"/>
          <w:color w:val="auto"/>
          <w:szCs w:val="21"/>
          <w:highlight w:val="none"/>
          <w:lang w:val="en-US" w:eastAsia="zh-CN"/>
        </w:rPr>
        <w:t>7</w:t>
      </w:r>
      <w:r>
        <w:rPr>
          <w:rFonts w:hint="eastAsia" w:ascii="宋体" w:hAnsi="宋体"/>
          <w:color w:val="auto"/>
          <w:szCs w:val="21"/>
          <w:highlight w:val="none"/>
        </w:rPr>
        <w:t>本工程不可竞争费用项目及其费率：</w:t>
      </w:r>
      <w:r>
        <w:rPr>
          <w:rFonts w:hint="eastAsia" w:ascii="宋体" w:hAnsi="宋体"/>
          <w:b/>
          <w:bCs/>
          <w:color w:val="auto"/>
          <w:szCs w:val="21"/>
          <w:highlight w:val="none"/>
        </w:rPr>
        <w:t>详见本章</w:t>
      </w:r>
      <w:r>
        <w:rPr>
          <w:rFonts w:hAnsi="宋体"/>
          <w:b/>
          <w:bCs/>
          <w:color w:val="auto"/>
          <w:szCs w:val="21"/>
          <w:highlight w:val="none"/>
        </w:rPr>
        <w:t>18.2.5</w:t>
      </w:r>
      <w:r>
        <w:rPr>
          <w:rFonts w:hint="eastAsia" w:hAnsi="宋体"/>
          <w:b/>
          <w:bCs/>
          <w:color w:val="auto"/>
          <w:szCs w:val="21"/>
          <w:highlight w:val="none"/>
        </w:rPr>
        <w:t>，如与网上发布的清单中的不可竞争费费率不一致的，以网上发布的清单中费率为准，</w:t>
      </w:r>
      <w:r>
        <w:rPr>
          <w:rFonts w:hint="eastAsia" w:ascii="宋体" w:hAnsi="宋体"/>
          <w:b/>
          <w:bCs/>
          <w:color w:val="auto"/>
          <w:szCs w:val="21"/>
          <w:highlight w:val="none"/>
        </w:rPr>
        <w:t>现场安全文明施工措施费率为暂定、最终以南通市建设工程造价管理处核定为准，否则在总价中扣除。</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w:t>
      </w:r>
      <w:r>
        <w:rPr>
          <w:rFonts w:hint="eastAsia" w:ascii="宋体" w:hAnsi="宋体"/>
          <w:b/>
          <w:color w:val="auto"/>
          <w:szCs w:val="21"/>
          <w:highlight w:val="none"/>
          <w:lang w:val="en-US" w:eastAsia="zh-CN"/>
        </w:rPr>
        <w:t>8</w:t>
      </w:r>
      <w:r>
        <w:rPr>
          <w:rFonts w:hint="eastAsia" w:ascii="宋体" w:hAnsi="宋体"/>
          <w:b/>
          <w:color w:val="auto"/>
          <w:szCs w:val="21"/>
          <w:highlight w:val="none"/>
        </w:rPr>
        <w:t>投标报价应包括招标文件所确定的招标范围内相应设计图纸及相关资料的全部内容，以及为完成上述内容所必须的附属工程、临时工程、材料、劳务及所需的全部费用。其中应包括材料、设备、存贮、运输、劳务、安装、调试、测试、检测、成品保护、缺陷修补、维护、培训、售后服务、管理、利润、规费、措施费、税金、技术措施、施工方法、甲供材料的下车力资、设备档案、工程档案、合同履行过程中可能发生的风险及所需的全部费用。</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w:t>
      </w:r>
      <w:r>
        <w:rPr>
          <w:rFonts w:hint="eastAsia" w:ascii="宋体" w:hAnsi="宋体"/>
          <w:b/>
          <w:color w:val="auto"/>
          <w:szCs w:val="21"/>
          <w:highlight w:val="none"/>
          <w:lang w:val="en-US" w:eastAsia="zh-CN"/>
        </w:rPr>
        <w:t>9</w:t>
      </w:r>
      <w:r>
        <w:rPr>
          <w:rFonts w:hint="eastAsia" w:ascii="宋体" w:hAnsi="宋体"/>
          <w:b/>
          <w:color w:val="auto"/>
          <w:szCs w:val="21"/>
          <w:highlight w:val="none"/>
        </w:rPr>
        <w:t>各投标人必须认真仔细踏勘施工现场并根据现场情况及本工程特点，并在投标报价时综合考虑赶工费、按质论价费、二次搬运费、特殊条件下施工增加费、冬雨季施工增加费、夜间施工增加费、临时设施费、管道洞口的防火封堵</w:t>
      </w:r>
      <w:r>
        <w:rPr>
          <w:rFonts w:hint="eastAsia" w:ascii="宋体" w:hAnsi="宋体"/>
          <w:b/>
          <w:color w:val="auto"/>
          <w:szCs w:val="21"/>
          <w:highlight w:val="none"/>
          <w:lang w:val="en-US" w:eastAsia="zh-CN"/>
        </w:rPr>
        <w:t>费、</w:t>
      </w:r>
      <w:r>
        <w:rPr>
          <w:rFonts w:hint="eastAsia" w:ascii="宋体" w:hAnsi="宋体"/>
          <w:b/>
          <w:color w:val="auto"/>
          <w:szCs w:val="21"/>
          <w:highlight w:val="none"/>
        </w:rPr>
        <w:t>已完工程及设备保护费</w:t>
      </w:r>
      <w:r>
        <w:rPr>
          <w:rFonts w:hint="eastAsia" w:ascii="宋体" w:hAnsi="宋体"/>
          <w:b/>
          <w:color w:val="auto"/>
          <w:szCs w:val="21"/>
          <w:highlight w:val="none"/>
          <w:lang w:eastAsia="zh-CN"/>
        </w:rPr>
        <w:t>、</w:t>
      </w:r>
      <w:r>
        <w:rPr>
          <w:rFonts w:hint="eastAsia" w:ascii="宋体" w:hAnsi="宋体"/>
          <w:b/>
          <w:color w:val="auto"/>
          <w:szCs w:val="21"/>
          <w:highlight w:val="none"/>
          <w:lang w:val="en-US" w:eastAsia="zh-CN"/>
        </w:rPr>
        <w:t>垃圾清运费</w:t>
      </w:r>
      <w:r>
        <w:rPr>
          <w:rFonts w:hint="eastAsia" w:ascii="宋体" w:hAnsi="宋体"/>
          <w:b/>
          <w:color w:val="auto"/>
          <w:szCs w:val="21"/>
          <w:highlight w:val="none"/>
        </w:rPr>
        <w:t>等该类措施项目费由各投标人自行报价，一次性包定，结算时一律不作调整。如有已完工程及设备损坏，应按照不低于原设计标准恢复，费用列入报价。</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19.1</w:t>
      </w:r>
      <w:r>
        <w:rPr>
          <w:rFonts w:hint="eastAsia" w:ascii="宋体" w:hAnsi="宋体"/>
          <w:b/>
          <w:color w:val="auto"/>
          <w:szCs w:val="21"/>
          <w:highlight w:val="none"/>
          <w:lang w:val="en-US" w:eastAsia="zh-CN"/>
        </w:rPr>
        <w:t>0</w:t>
      </w:r>
      <w:r>
        <w:rPr>
          <w:rFonts w:hint="eastAsia" w:ascii="宋体" w:hAnsi="宋体"/>
          <w:b/>
          <w:color w:val="auto"/>
          <w:szCs w:val="21"/>
          <w:highlight w:val="none"/>
        </w:rPr>
        <w:t>投标单位根据施工现场情况及现行规定，自行根据可行的施工方案对措施费自行增加清单进行报价，结算时，除工程</w:t>
      </w:r>
      <w:r>
        <w:rPr>
          <w:rFonts w:hint="eastAsia" w:ascii="宋体" w:hAnsi="宋体"/>
          <w:b/>
          <w:color w:val="auto"/>
          <w:szCs w:val="21"/>
          <w:highlight w:val="none"/>
          <w:lang w:val="en-US" w:eastAsia="zh-CN"/>
        </w:rPr>
        <w:t>由招标方</w:t>
      </w:r>
      <w:r>
        <w:rPr>
          <w:rFonts w:hint="eastAsia" w:ascii="宋体" w:hAnsi="宋体"/>
          <w:b/>
          <w:color w:val="auto"/>
          <w:szCs w:val="21"/>
          <w:highlight w:val="none"/>
        </w:rPr>
        <w:t>变更引起施工方案改变外，分包人不得以招标工程措施项目缺项为由要求新增措施项目，结算时一律不作调整。</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19.1</w:t>
      </w:r>
      <w:r>
        <w:rPr>
          <w:rFonts w:hint="eastAsia" w:ascii="宋体" w:hAnsi="宋体"/>
          <w:b/>
          <w:color w:val="auto"/>
          <w:szCs w:val="21"/>
          <w:highlight w:val="none"/>
          <w:lang w:val="en-US" w:eastAsia="zh-CN"/>
        </w:rPr>
        <w:t>1</w:t>
      </w:r>
      <w:r>
        <w:rPr>
          <w:rFonts w:hint="eastAsia" w:ascii="宋体" w:hAnsi="宋体"/>
          <w:b/>
          <w:color w:val="auto"/>
          <w:szCs w:val="21"/>
          <w:highlight w:val="none"/>
        </w:rPr>
        <w:t>余土、施工范围内的渣土及运距由各投标人根据现场实际情况自行考虑，计入报价，竣工结算时不予调整。</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19.1</w:t>
      </w:r>
      <w:r>
        <w:rPr>
          <w:rFonts w:hint="eastAsia" w:ascii="宋体" w:hAnsi="宋体"/>
          <w:b/>
          <w:color w:val="auto"/>
          <w:szCs w:val="21"/>
          <w:highlight w:val="none"/>
          <w:lang w:val="en-US" w:eastAsia="zh-CN"/>
        </w:rPr>
        <w:t>2</w:t>
      </w:r>
      <w:r>
        <w:rPr>
          <w:rFonts w:hint="eastAsia" w:ascii="宋体" w:hAnsi="宋体"/>
          <w:b/>
          <w:color w:val="auto"/>
          <w:szCs w:val="21"/>
          <w:highlight w:val="none"/>
        </w:rPr>
        <w:t>本工程未提供推荐品牌的材料，中标人须使用国产中档以上且符合国家标准的合格产品，其规格、技术指标、质量等级必须满足相应技术规范或技术标准的要求。</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19.1</w:t>
      </w:r>
      <w:r>
        <w:rPr>
          <w:rFonts w:hint="eastAsia" w:ascii="宋体" w:hAnsi="宋体"/>
          <w:b/>
          <w:color w:val="auto"/>
          <w:szCs w:val="21"/>
          <w:highlight w:val="none"/>
          <w:lang w:val="en-US" w:eastAsia="zh-CN"/>
        </w:rPr>
        <w:t>3</w:t>
      </w:r>
      <w:r>
        <w:rPr>
          <w:rFonts w:hint="eastAsia" w:ascii="宋体" w:hAnsi="宋体" w:cs="宋体"/>
          <w:b/>
          <w:bCs/>
          <w:color w:val="auto"/>
          <w:kern w:val="0"/>
          <w:szCs w:val="21"/>
          <w:highlight w:val="none"/>
        </w:rPr>
        <w:t>与其他承包商间的协调、配合、通信关系，由中标人自行解决，确保各分项工程满足设计图纸、验收规范等要求，发生的费用由投标人自行承担，并相互做好成品保护工作，建设单位不再另行支付任何涉及工序交叉影响的费用。</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19.1</w:t>
      </w:r>
      <w:r>
        <w:rPr>
          <w:rFonts w:hint="eastAsia" w:ascii="宋体" w:hAnsi="宋体"/>
          <w:b/>
          <w:color w:val="auto"/>
          <w:szCs w:val="21"/>
          <w:highlight w:val="none"/>
          <w:lang w:val="en-US" w:eastAsia="zh-CN"/>
        </w:rPr>
        <w:t>4</w:t>
      </w:r>
      <w:r>
        <w:rPr>
          <w:rFonts w:hint="eastAsia" w:ascii="宋体" w:hAnsi="宋体" w:cs="宋体"/>
          <w:b/>
          <w:bCs/>
          <w:color w:val="auto"/>
          <w:kern w:val="0"/>
          <w:szCs w:val="21"/>
          <w:highlight w:val="none"/>
        </w:rPr>
        <w:t>投标人在施工期间应根据南通市人民政府办公室文件通政办法［2019］58 号文《关于开展南通市区施工扬尘专治整理的实施意见》中的相关要求，强化施工扬尘治理责任，严格根据工地扬尘防治标准执行，费用在投标报价时综合考虑。</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19.1</w:t>
      </w:r>
      <w:r>
        <w:rPr>
          <w:rFonts w:hint="eastAsia" w:ascii="宋体" w:hAnsi="宋体"/>
          <w:b/>
          <w:color w:val="auto"/>
          <w:szCs w:val="21"/>
          <w:highlight w:val="none"/>
          <w:lang w:val="en-US" w:eastAsia="zh-CN"/>
        </w:rPr>
        <w:t>5</w:t>
      </w:r>
      <w:r>
        <w:rPr>
          <w:rFonts w:hint="eastAsia" w:ascii="宋体" w:hAnsi="宋体" w:cs="宋体"/>
          <w:b/>
          <w:bCs/>
          <w:color w:val="auto"/>
          <w:kern w:val="0"/>
          <w:szCs w:val="21"/>
          <w:highlight w:val="none"/>
        </w:rPr>
        <w:t>投标单位在投标报价时应充分考虑施工过程中对原有建筑工程结构、饰面及绿化、铺装等造成破损及损坏部分进行修复，使其恢复原样等所包含的各项费用，并综合考虑在投标报价中，结算时不再另行支付其费用。</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19.1</w:t>
      </w:r>
      <w:r>
        <w:rPr>
          <w:rFonts w:hint="eastAsia" w:ascii="宋体" w:hAnsi="宋体"/>
          <w:b/>
          <w:color w:val="auto"/>
          <w:szCs w:val="21"/>
          <w:highlight w:val="none"/>
          <w:lang w:val="en-US" w:eastAsia="zh-CN"/>
        </w:rPr>
        <w:t>6</w:t>
      </w:r>
      <w:r>
        <w:rPr>
          <w:rFonts w:hint="eastAsia" w:ascii="宋体" w:hAnsi="宋体" w:cs="宋体"/>
          <w:b/>
          <w:bCs/>
          <w:color w:val="auto"/>
          <w:kern w:val="0"/>
          <w:szCs w:val="21"/>
          <w:highlight w:val="none"/>
        </w:rPr>
        <w:t>在实际施工中，发包人可以无条件要求施工单位更换不符合要求的产品，购进的材料设备与提供的样品不一致时，由承包人无条件退货，如因使用不符合国家标准及各项指标的材料，由此引起的相关费用由承包人承担，结算时一律不作调整。</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19.1</w:t>
      </w:r>
      <w:r>
        <w:rPr>
          <w:rFonts w:hint="eastAsia" w:ascii="宋体" w:hAnsi="宋体"/>
          <w:b/>
          <w:color w:val="auto"/>
          <w:szCs w:val="21"/>
          <w:highlight w:val="none"/>
          <w:lang w:val="en-US" w:eastAsia="zh-CN"/>
        </w:rPr>
        <w:t>7</w:t>
      </w:r>
      <w:r>
        <w:rPr>
          <w:rFonts w:hint="eastAsia" w:ascii="宋体" w:hAnsi="宋体" w:cs="宋体"/>
          <w:b/>
          <w:bCs/>
          <w:color w:val="auto"/>
          <w:kern w:val="0"/>
          <w:szCs w:val="21"/>
          <w:highlight w:val="none"/>
        </w:rPr>
        <w:t>报价书中的工程数量乘以综合单价必须等于合价。如有误差，在结算时以综合单价金额小的为计算依据。</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w:t>
      </w:r>
      <w:r>
        <w:rPr>
          <w:rFonts w:hint="eastAsia" w:ascii="宋体" w:hAnsi="宋体"/>
          <w:b/>
          <w:color w:val="auto"/>
          <w:szCs w:val="21"/>
          <w:highlight w:val="none"/>
          <w:lang w:val="en-US" w:eastAsia="zh-CN"/>
        </w:rPr>
        <w:t>18</w:t>
      </w:r>
      <w:r>
        <w:rPr>
          <w:rFonts w:hint="eastAsia" w:ascii="宋体" w:hAnsi="宋体" w:cs="宋体"/>
          <w:b/>
          <w:bCs/>
          <w:color w:val="auto"/>
          <w:kern w:val="0"/>
          <w:szCs w:val="21"/>
          <w:highlight w:val="none"/>
        </w:rPr>
        <w:t>本工程所有乙供材料均由承包人在确保质量的前提下自行采购，材料价格按照中档的质量自行市场询价进入报价。发包人对材料的质量有认定权（如发包人对承包人采购的材料认定为不合格的，承包人必须重新采购，直至合格为止），使用不符合标准、规格、质量和品牌要求（包括建设单位供应材料由于承包人验收把关不严）的工程材料承包人无条件更换和返工，并按照不合格材料购进总额的 30%向发包人支付违约金。 如购进的材料设备与提供的样品不一致时，由承包人无条件退货，造成的损失由承包人负责。</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w:t>
      </w:r>
      <w:r>
        <w:rPr>
          <w:rFonts w:hint="eastAsia" w:ascii="宋体" w:hAnsi="宋体"/>
          <w:b/>
          <w:color w:val="auto"/>
          <w:szCs w:val="21"/>
          <w:highlight w:val="none"/>
          <w:lang w:val="en-US" w:eastAsia="zh-CN"/>
        </w:rPr>
        <w:t>19</w:t>
      </w:r>
      <w:r>
        <w:rPr>
          <w:rFonts w:hint="eastAsia" w:ascii="宋体" w:hAnsi="宋体" w:cs="宋体"/>
          <w:b/>
          <w:bCs/>
          <w:color w:val="auto"/>
          <w:kern w:val="0"/>
          <w:szCs w:val="21"/>
          <w:highlight w:val="none"/>
        </w:rPr>
        <w:t>承包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竣工结算时不作调整。</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19.2</w:t>
      </w:r>
      <w:r>
        <w:rPr>
          <w:rFonts w:hint="eastAsia" w:ascii="宋体" w:hAnsi="宋体"/>
          <w:b/>
          <w:color w:val="auto"/>
          <w:szCs w:val="21"/>
          <w:highlight w:val="none"/>
          <w:lang w:val="en-US" w:eastAsia="zh-CN"/>
        </w:rPr>
        <w:t>0</w:t>
      </w:r>
      <w:r>
        <w:rPr>
          <w:rFonts w:hint="eastAsia" w:ascii="宋体" w:hAnsi="宋体" w:cs="宋体"/>
          <w:b/>
          <w:bCs/>
          <w:color w:val="auto"/>
          <w:kern w:val="0"/>
          <w:szCs w:val="21"/>
          <w:highlight w:val="none"/>
        </w:rPr>
        <w:t>本工程运出的建筑垃圾等必须运出崇川区范围之外，否则发现一车，招标人将向承包人收取 1-10 万元/车的违约金，并有权要求其重新清运出崇川区。渣土堆放地点(必须符合南通市崇川区建筑垃圾(渣土)管理中心要求，南通市崇川区建筑垃圾(渣土)管理中心收取的建筑垃圾处置费由投标人考虑在报价中。</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19.2</w:t>
      </w:r>
      <w:r>
        <w:rPr>
          <w:rFonts w:hint="eastAsia" w:ascii="宋体" w:hAnsi="宋体"/>
          <w:b/>
          <w:color w:val="auto"/>
          <w:szCs w:val="21"/>
          <w:highlight w:val="none"/>
          <w:lang w:val="en-US" w:eastAsia="zh-CN"/>
        </w:rPr>
        <w:t>1</w:t>
      </w:r>
      <w:r>
        <w:rPr>
          <w:rFonts w:hint="eastAsia" w:ascii="宋体" w:hAnsi="宋体"/>
          <w:b/>
          <w:color w:val="auto"/>
          <w:szCs w:val="21"/>
          <w:highlight w:val="none"/>
        </w:rPr>
        <w:t xml:space="preserve"> </w:t>
      </w:r>
      <w:r>
        <w:rPr>
          <w:rFonts w:hint="eastAsia" w:ascii="宋体" w:hAnsi="宋体" w:cs="宋体"/>
          <w:b/>
          <w:bCs/>
          <w:color w:val="auto"/>
          <w:kern w:val="0"/>
          <w:szCs w:val="21"/>
          <w:highlight w:val="none"/>
        </w:rPr>
        <w:t>本工程量清单的特征应与施工图、招标文件、技术要求、技术规范等文件结合起来阅读， 招标人在工程量清单中项目特征描述不全，但投标人为满足设计图纸中该清单项目的要求而必须完成的工作，投标人应计入工程量清单相应子目中，工程结算时招标人不为此类项目另外支付费用。</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19.2</w:t>
      </w:r>
      <w:r>
        <w:rPr>
          <w:rFonts w:hint="eastAsia" w:ascii="宋体" w:hAnsi="宋体"/>
          <w:b/>
          <w:color w:val="auto"/>
          <w:szCs w:val="21"/>
          <w:highlight w:val="none"/>
          <w:lang w:val="en-US" w:eastAsia="zh-CN"/>
        </w:rPr>
        <w:t>2</w:t>
      </w:r>
      <w:r>
        <w:rPr>
          <w:rFonts w:hint="eastAsia" w:ascii="宋体" w:hAnsi="宋体" w:cs="宋体"/>
          <w:b/>
          <w:bCs/>
          <w:color w:val="auto"/>
          <w:kern w:val="0"/>
          <w:szCs w:val="21"/>
          <w:highlight w:val="none"/>
        </w:rPr>
        <w:t>若投标单位在投标报价时擅自改变暂估价或暂列金额且评审时未被发现，报价低于暂估价或暂列金额结算时统一先按招标文件明确暂估价或暂列金额扣除，报价高于暂估价或暂列金额时统一先按报价扣除；若擅自改变招标文件及清单内容，且评标时未被发现的，实际施工时一律以招标文件及清单内容执行，结算价格不予调整。</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19.2</w:t>
      </w:r>
      <w:r>
        <w:rPr>
          <w:rFonts w:hint="eastAsia" w:ascii="宋体" w:hAnsi="宋体"/>
          <w:b/>
          <w:color w:val="auto"/>
          <w:szCs w:val="21"/>
          <w:highlight w:val="none"/>
          <w:lang w:val="en-US" w:eastAsia="zh-CN"/>
        </w:rPr>
        <w:t>3</w:t>
      </w:r>
      <w:r>
        <w:rPr>
          <w:rFonts w:hint="eastAsia" w:ascii="宋体" w:hAnsi="宋体" w:cs="宋体"/>
          <w:b/>
          <w:bCs/>
          <w:color w:val="auto"/>
          <w:kern w:val="0"/>
          <w:szCs w:val="21"/>
          <w:highlight w:val="none"/>
        </w:rPr>
        <w:t>投标人在投标报价时应考虑中标后需由总包单位代为缴纳的相关费用以及根据国家、 省、市、工程所在地政府及相关部门的规定缴纳有关费用，招标人不另行给付，费用缴纳的标准投标人可自行咨询。</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19.2</w:t>
      </w:r>
      <w:r>
        <w:rPr>
          <w:rFonts w:hint="eastAsia" w:ascii="宋体" w:hAnsi="宋体"/>
          <w:b/>
          <w:color w:val="auto"/>
          <w:szCs w:val="21"/>
          <w:highlight w:val="none"/>
          <w:lang w:val="en-US" w:eastAsia="zh-CN"/>
        </w:rPr>
        <w:t>4</w:t>
      </w:r>
      <w:r>
        <w:rPr>
          <w:rFonts w:hint="eastAsia" w:ascii="宋体" w:hAnsi="宋体" w:cs="宋体"/>
          <w:b/>
          <w:bCs/>
          <w:color w:val="auto"/>
          <w:kern w:val="0"/>
          <w:szCs w:val="21"/>
          <w:highlight w:val="none"/>
        </w:rPr>
        <w:t>投标单位应充分了解工地位置、环境、道路、储存空间、装卸条件及任何其他足以影响承包价的情况。任何忽视、猜测或误解工地情况而导致的成本增加或工期延长等申请一律不予认可。</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19.2</w:t>
      </w:r>
      <w:r>
        <w:rPr>
          <w:rFonts w:hint="eastAsia" w:ascii="宋体" w:hAnsi="宋体"/>
          <w:b/>
          <w:color w:val="auto"/>
          <w:szCs w:val="21"/>
          <w:highlight w:val="none"/>
          <w:lang w:val="en-US" w:eastAsia="zh-CN"/>
        </w:rPr>
        <w:t>5</w:t>
      </w:r>
      <w:r>
        <w:rPr>
          <w:rFonts w:hint="eastAsia" w:ascii="宋体" w:hAnsi="宋体" w:cs="宋体"/>
          <w:b/>
          <w:bCs/>
          <w:color w:val="auto"/>
          <w:kern w:val="0"/>
          <w:szCs w:val="21"/>
          <w:highlight w:val="none"/>
        </w:rPr>
        <w:t>投标人应充分考虑开工时间、季节、气候问题对投标报价时的影响，一旦中标，不得提出额外增加费用的要求。</w:t>
      </w:r>
    </w:p>
    <w:p>
      <w:pPr>
        <w:spacing w:line="360" w:lineRule="auto"/>
        <w:ind w:firstLine="422" w:firstLineChars="200"/>
        <w:rPr>
          <w:rFonts w:ascii="宋体" w:hAnsi="宋体"/>
          <w:b/>
          <w:color w:val="auto"/>
          <w:szCs w:val="21"/>
          <w:highlight w:val="none"/>
        </w:rPr>
      </w:pPr>
      <w:r>
        <w:rPr>
          <w:rFonts w:hint="eastAsia" w:ascii="宋体" w:hAnsi="宋体"/>
          <w:b/>
          <w:color w:val="auto"/>
          <w:szCs w:val="21"/>
          <w:highlight w:val="none"/>
        </w:rPr>
        <w:t>19.2</w:t>
      </w:r>
      <w:r>
        <w:rPr>
          <w:rFonts w:hint="eastAsia" w:ascii="宋体" w:hAnsi="宋体"/>
          <w:b/>
          <w:color w:val="auto"/>
          <w:szCs w:val="21"/>
          <w:highlight w:val="none"/>
          <w:lang w:val="en-US" w:eastAsia="zh-CN"/>
        </w:rPr>
        <w:t>6</w:t>
      </w:r>
      <w:r>
        <w:rPr>
          <w:rFonts w:hint="eastAsia" w:ascii="宋体" w:hAnsi="宋体" w:cs="宋体"/>
          <w:b/>
          <w:bCs/>
          <w:color w:val="auto"/>
          <w:kern w:val="0"/>
          <w:szCs w:val="21"/>
          <w:highlight w:val="none"/>
        </w:rPr>
        <w:t>投标人确定投标报价，同时应考虑合同中包含的风险、责任等各项费用。</w:t>
      </w:r>
    </w:p>
    <w:p>
      <w:pPr>
        <w:widowControl/>
        <w:spacing w:line="360" w:lineRule="auto"/>
        <w:ind w:firstLine="422" w:firstLineChars="200"/>
        <w:jc w:val="left"/>
        <w:rPr>
          <w:color w:val="auto"/>
          <w:highlight w:val="none"/>
        </w:rPr>
      </w:pPr>
      <w:r>
        <w:rPr>
          <w:rFonts w:hint="eastAsia" w:ascii="宋体" w:hAnsi="宋体" w:cs="宋体"/>
          <w:b/>
          <w:bCs/>
          <w:color w:val="auto"/>
          <w:kern w:val="0"/>
          <w:szCs w:val="21"/>
          <w:highlight w:val="none"/>
        </w:rPr>
        <w:t>19.2</w:t>
      </w:r>
      <w:r>
        <w:rPr>
          <w:rFonts w:hint="eastAsia" w:ascii="宋体" w:hAnsi="宋体" w:cs="宋体"/>
          <w:b/>
          <w:bCs/>
          <w:color w:val="auto"/>
          <w:kern w:val="0"/>
          <w:szCs w:val="21"/>
          <w:highlight w:val="none"/>
          <w:lang w:val="en-US" w:eastAsia="zh-CN"/>
        </w:rPr>
        <w:t>7</w:t>
      </w:r>
      <w:r>
        <w:rPr>
          <w:rFonts w:hint="eastAsia" w:ascii="宋体" w:hAnsi="宋体" w:cs="宋体"/>
          <w:b/>
          <w:bCs/>
          <w:color w:val="auto"/>
          <w:kern w:val="0"/>
          <w:szCs w:val="21"/>
          <w:highlight w:val="none"/>
        </w:rPr>
        <w:t xml:space="preserve">投标人应在投标报价中根据自身管理水平，材料采购及机械配备等因素，考虑实际可抵扣进项税，合理确定增值税应纳税额进行自主报价。 </w:t>
      </w:r>
    </w:p>
    <w:p>
      <w:pPr>
        <w:widowControl/>
        <w:spacing w:line="360" w:lineRule="auto"/>
        <w:ind w:firstLine="422" w:firstLineChars="200"/>
        <w:jc w:val="left"/>
        <w:rPr>
          <w:color w:val="auto"/>
          <w:highlight w:val="none"/>
        </w:rPr>
      </w:pPr>
      <w:r>
        <w:rPr>
          <w:rFonts w:hint="eastAsia" w:ascii="宋体" w:hAnsi="宋体" w:cs="宋体"/>
          <w:b/>
          <w:bCs/>
          <w:color w:val="auto"/>
          <w:kern w:val="0"/>
          <w:szCs w:val="21"/>
          <w:highlight w:val="none"/>
        </w:rPr>
        <w:t>19.</w:t>
      </w:r>
      <w:r>
        <w:rPr>
          <w:rFonts w:hint="eastAsia" w:ascii="宋体" w:hAnsi="宋体" w:cs="宋体"/>
          <w:b/>
          <w:bCs/>
          <w:color w:val="auto"/>
          <w:kern w:val="0"/>
          <w:szCs w:val="21"/>
          <w:highlight w:val="none"/>
          <w:lang w:val="en-US" w:eastAsia="zh-CN"/>
        </w:rPr>
        <w:t>28</w:t>
      </w:r>
      <w:r>
        <w:rPr>
          <w:rFonts w:hint="eastAsia" w:ascii="宋体" w:hAnsi="宋体" w:cs="宋体"/>
          <w:b/>
          <w:bCs/>
          <w:color w:val="auto"/>
          <w:kern w:val="0"/>
          <w:szCs w:val="21"/>
          <w:highlight w:val="none"/>
        </w:rPr>
        <w:t xml:space="preserve">承包人在施工过程中必须收集变更、签证及所有隐蔽项目的施工全过程影响视频资料以供后期审计使用，在送审结算资料中光盘或u盘必须一并提交。所有签证资料必须附有详细影像彩色照片，所摄照片必须有可参照性。如影像资料未能反映签证、掩蔽项目清单或招标文件等列明的工作内容则结算时该项内容不予认可。 </w:t>
      </w:r>
    </w:p>
    <w:p>
      <w:pPr>
        <w:widowControl/>
        <w:spacing w:line="360" w:lineRule="auto"/>
        <w:ind w:firstLine="422" w:firstLineChars="200"/>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19.</w:t>
      </w:r>
      <w:r>
        <w:rPr>
          <w:rFonts w:hint="eastAsia" w:ascii="宋体" w:hAnsi="宋体" w:cs="宋体"/>
          <w:b/>
          <w:bCs/>
          <w:color w:val="auto"/>
          <w:kern w:val="0"/>
          <w:szCs w:val="21"/>
          <w:highlight w:val="none"/>
          <w:lang w:val="en-US" w:eastAsia="zh-CN"/>
        </w:rPr>
        <w:t>29</w:t>
      </w:r>
      <w:r>
        <w:rPr>
          <w:rFonts w:hint="eastAsia" w:ascii="宋体" w:hAnsi="宋体" w:cs="宋体"/>
          <w:b/>
          <w:bCs/>
          <w:color w:val="auto"/>
          <w:kern w:val="0"/>
          <w:szCs w:val="21"/>
          <w:highlight w:val="none"/>
        </w:rPr>
        <w:t xml:space="preserve">本工程中标人不得拒绝完成发包人在施工地点范围内的变更或要求增减的工程内容。 </w:t>
      </w:r>
    </w:p>
    <w:p>
      <w:pPr>
        <w:widowControl/>
        <w:spacing w:line="360" w:lineRule="auto"/>
        <w:ind w:firstLine="422" w:firstLineChars="200"/>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19.</w:t>
      </w:r>
      <w:r>
        <w:rPr>
          <w:rFonts w:hint="eastAsia" w:ascii="宋体" w:hAnsi="宋体" w:cs="宋体"/>
          <w:b/>
          <w:bCs/>
          <w:color w:val="auto"/>
          <w:kern w:val="0"/>
          <w:szCs w:val="21"/>
          <w:highlight w:val="none"/>
          <w:lang w:val="en-US" w:eastAsia="zh-CN"/>
        </w:rPr>
        <w:t>30</w:t>
      </w:r>
      <w:r>
        <w:rPr>
          <w:rFonts w:hint="eastAsia" w:ascii="宋体" w:hAnsi="宋体" w:cs="宋体"/>
          <w:b/>
          <w:bCs/>
          <w:color w:val="auto"/>
          <w:kern w:val="0"/>
          <w:szCs w:val="21"/>
          <w:highlight w:val="none"/>
        </w:rPr>
        <w:t xml:space="preserve">本工程中标人需保证通过具备相应资质的检测机构检测合格。 </w:t>
      </w:r>
    </w:p>
    <w:p>
      <w:pPr>
        <w:widowControl/>
        <w:spacing w:line="360" w:lineRule="auto"/>
        <w:ind w:firstLine="422" w:firstLineChars="200"/>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19.3</w:t>
      </w:r>
      <w:r>
        <w:rPr>
          <w:rFonts w:hint="eastAsia" w:ascii="宋体" w:hAnsi="宋体" w:cs="宋体"/>
          <w:b/>
          <w:bCs/>
          <w:color w:val="auto"/>
          <w:kern w:val="0"/>
          <w:szCs w:val="21"/>
          <w:highlight w:val="none"/>
          <w:lang w:val="en-US" w:eastAsia="zh-CN"/>
        </w:rPr>
        <w:t>1</w:t>
      </w:r>
      <w:r>
        <w:rPr>
          <w:rFonts w:hint="eastAsia" w:ascii="宋体" w:hAnsi="宋体" w:cs="宋体"/>
          <w:b/>
          <w:bCs/>
          <w:color w:val="auto"/>
          <w:kern w:val="0"/>
          <w:szCs w:val="21"/>
          <w:highlight w:val="none"/>
        </w:rPr>
        <w:t xml:space="preserve">本项目原设备、管线的拆除由本工程中标人实施，费用包含在投标报价中，投标单位在投标报价时综合考虑该部分费用，结算时不予调整。 </w:t>
      </w:r>
    </w:p>
    <w:p>
      <w:pPr>
        <w:widowControl/>
        <w:spacing w:line="360" w:lineRule="auto"/>
        <w:ind w:firstLine="422" w:firstLineChars="200"/>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19.3</w:t>
      </w:r>
      <w:r>
        <w:rPr>
          <w:rFonts w:hint="eastAsia" w:ascii="宋体" w:hAnsi="宋体" w:cs="宋体"/>
          <w:b/>
          <w:bCs/>
          <w:color w:val="auto"/>
          <w:kern w:val="0"/>
          <w:szCs w:val="21"/>
          <w:highlight w:val="none"/>
          <w:lang w:val="en-US" w:eastAsia="zh-CN"/>
        </w:rPr>
        <w:t>2</w:t>
      </w:r>
      <w:r>
        <w:rPr>
          <w:rFonts w:hint="eastAsia" w:ascii="宋体" w:hAnsi="宋体" w:cs="宋体"/>
          <w:b/>
          <w:bCs/>
          <w:color w:val="auto"/>
          <w:kern w:val="0"/>
          <w:szCs w:val="21"/>
          <w:highlight w:val="none"/>
        </w:rPr>
        <w:t>本工程中标人在施工过程中，应将建筑垃圾清运至指定位置，同时接受</w:t>
      </w:r>
      <w:r>
        <w:rPr>
          <w:rFonts w:hint="eastAsia" w:ascii="宋体" w:hAnsi="宋体" w:cs="宋体"/>
          <w:b/>
          <w:bCs/>
          <w:color w:val="auto"/>
          <w:kern w:val="0"/>
          <w:szCs w:val="21"/>
          <w:highlight w:val="none"/>
          <w:lang w:val="en-US" w:eastAsia="zh-CN"/>
        </w:rPr>
        <w:t>招标人</w:t>
      </w:r>
      <w:r>
        <w:rPr>
          <w:rFonts w:hint="eastAsia" w:ascii="宋体" w:hAnsi="宋体" w:cs="宋体"/>
          <w:b/>
          <w:bCs/>
          <w:color w:val="auto"/>
          <w:kern w:val="0"/>
          <w:szCs w:val="21"/>
          <w:highlight w:val="none"/>
        </w:rPr>
        <w:t>的现场管理。</w:t>
      </w:r>
    </w:p>
    <w:p>
      <w:pPr>
        <w:pStyle w:val="24"/>
        <w:ind w:firstLine="422" w:firstLineChars="200"/>
        <w:rPr>
          <w:b/>
          <w:bCs/>
          <w:color w:val="auto"/>
          <w:sz w:val="21"/>
          <w:szCs w:val="21"/>
          <w:highlight w:val="none"/>
        </w:rPr>
      </w:pPr>
      <w:r>
        <w:rPr>
          <w:rFonts w:hint="eastAsia"/>
          <w:b/>
          <w:bCs/>
          <w:color w:val="auto"/>
          <w:sz w:val="21"/>
          <w:szCs w:val="21"/>
          <w:highlight w:val="none"/>
        </w:rPr>
        <w:t>19.</w:t>
      </w:r>
      <w:r>
        <w:rPr>
          <w:rFonts w:hint="eastAsia"/>
          <w:b/>
          <w:bCs/>
          <w:color w:val="auto"/>
          <w:sz w:val="21"/>
          <w:szCs w:val="21"/>
          <w:highlight w:val="none"/>
          <w:lang w:val="en-US" w:eastAsia="zh-CN"/>
        </w:rPr>
        <w:t>33</w:t>
      </w:r>
      <w:r>
        <w:rPr>
          <w:rFonts w:hint="eastAsia"/>
          <w:b/>
          <w:bCs/>
          <w:color w:val="auto"/>
          <w:sz w:val="21"/>
          <w:szCs w:val="21"/>
          <w:highlight w:val="none"/>
        </w:rPr>
        <w:t>投标人需认真勘察现场，消防点位需接入原消防系统，需与原消防主机兼容，此费用含在投标报价内，结算时不予调整。</w:t>
      </w:r>
    </w:p>
    <w:p>
      <w:pPr>
        <w:widowControl/>
        <w:spacing w:line="360" w:lineRule="auto"/>
        <w:ind w:firstLine="422" w:firstLineChars="200"/>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19.3</w:t>
      </w:r>
      <w:r>
        <w:rPr>
          <w:rFonts w:hint="eastAsia" w:ascii="宋体" w:hAnsi="宋体" w:cs="宋体"/>
          <w:b/>
          <w:bCs/>
          <w:color w:val="auto"/>
          <w:kern w:val="0"/>
          <w:szCs w:val="21"/>
          <w:highlight w:val="none"/>
          <w:lang w:val="en-US" w:eastAsia="zh-CN"/>
        </w:rPr>
        <w:t>4</w:t>
      </w:r>
      <w:r>
        <w:rPr>
          <w:rFonts w:hint="eastAsia" w:ascii="宋体" w:hAnsi="宋体" w:cs="宋体"/>
          <w:b/>
          <w:bCs/>
          <w:color w:val="auto"/>
          <w:kern w:val="0"/>
          <w:szCs w:val="21"/>
          <w:highlight w:val="none"/>
        </w:rPr>
        <w:t>其他未尽事宜在书面答疑中明确。</w:t>
      </w:r>
    </w:p>
    <w:p>
      <w:pPr>
        <w:pStyle w:val="77"/>
        <w:spacing w:line="420" w:lineRule="exact"/>
        <w:outlineLvl w:val="1"/>
        <w:rPr>
          <w:b/>
          <w:color w:val="auto"/>
          <w:szCs w:val="24"/>
          <w:highlight w:val="none"/>
        </w:rPr>
      </w:pPr>
      <w:r>
        <w:rPr>
          <w:b/>
          <w:color w:val="auto"/>
          <w:szCs w:val="24"/>
          <w:highlight w:val="none"/>
        </w:rPr>
        <w:t>(</w:t>
      </w:r>
      <w:r>
        <w:rPr>
          <w:rFonts w:hAnsi="宋体"/>
          <w:b/>
          <w:color w:val="auto"/>
          <w:szCs w:val="24"/>
          <w:highlight w:val="none"/>
        </w:rPr>
        <w:t>五</w:t>
      </w:r>
      <w:r>
        <w:rPr>
          <w:b/>
          <w:color w:val="auto"/>
          <w:szCs w:val="24"/>
          <w:highlight w:val="none"/>
        </w:rPr>
        <w:t xml:space="preserve">) </w:t>
      </w:r>
      <w:r>
        <w:rPr>
          <w:rFonts w:hAnsi="宋体"/>
          <w:b/>
          <w:color w:val="auto"/>
          <w:szCs w:val="24"/>
          <w:highlight w:val="none"/>
        </w:rPr>
        <w:t>投标文件的密封和递交</w:t>
      </w:r>
    </w:p>
    <w:p>
      <w:pPr>
        <w:spacing w:line="360" w:lineRule="auto"/>
        <w:ind w:firstLine="422" w:firstLineChars="200"/>
        <w:rPr>
          <w:b/>
          <w:color w:val="auto"/>
          <w:szCs w:val="21"/>
          <w:highlight w:val="none"/>
        </w:rPr>
      </w:pPr>
      <w:r>
        <w:rPr>
          <w:b/>
          <w:color w:val="auto"/>
          <w:szCs w:val="21"/>
          <w:highlight w:val="none"/>
        </w:rPr>
        <w:t>20</w:t>
      </w:r>
      <w:r>
        <w:rPr>
          <w:rFonts w:hint="eastAsia"/>
          <w:b/>
          <w:color w:val="auto"/>
          <w:szCs w:val="21"/>
          <w:highlight w:val="none"/>
        </w:rPr>
        <w:t>、</w:t>
      </w:r>
      <w:r>
        <w:rPr>
          <w:rFonts w:hAnsi="宋体"/>
          <w:b/>
          <w:color w:val="auto"/>
          <w:szCs w:val="21"/>
          <w:highlight w:val="none"/>
        </w:rPr>
        <w:t>投标文件的密封与标志</w:t>
      </w:r>
    </w:p>
    <w:p>
      <w:pPr>
        <w:spacing w:line="360" w:lineRule="auto"/>
        <w:ind w:firstLine="480"/>
        <w:rPr>
          <w:b/>
          <w:snapToGrid w:val="0"/>
          <w:color w:val="auto"/>
          <w:kern w:val="0"/>
          <w:szCs w:val="21"/>
          <w:highlight w:val="none"/>
        </w:rPr>
      </w:pPr>
      <w:r>
        <w:rPr>
          <w:color w:val="auto"/>
          <w:szCs w:val="21"/>
          <w:highlight w:val="none"/>
        </w:rPr>
        <w:t xml:space="preserve">20.1 </w:t>
      </w:r>
      <w:r>
        <w:rPr>
          <w:rFonts w:hAnsi="宋体"/>
          <w:color w:val="auto"/>
          <w:szCs w:val="21"/>
          <w:highlight w:val="none"/>
        </w:rPr>
        <w:t>本工程投标文件由</w:t>
      </w:r>
      <w:r>
        <w:rPr>
          <w:rFonts w:hAnsi="宋体"/>
          <w:b/>
          <w:color w:val="auto"/>
          <w:szCs w:val="21"/>
          <w:highlight w:val="none"/>
          <w:u w:val="single"/>
        </w:rPr>
        <w:t>资格审查资料包、商务标</w:t>
      </w:r>
      <w:r>
        <w:rPr>
          <w:rFonts w:hint="eastAsia" w:hAnsi="宋体"/>
          <w:color w:val="auto"/>
          <w:szCs w:val="21"/>
          <w:highlight w:val="none"/>
          <w:lang w:val="en-US" w:eastAsia="zh-CN"/>
        </w:rPr>
        <w:t>二</w:t>
      </w:r>
      <w:r>
        <w:rPr>
          <w:rFonts w:hAnsi="宋体"/>
          <w:color w:val="auto"/>
          <w:szCs w:val="21"/>
          <w:highlight w:val="none"/>
        </w:rPr>
        <w:t>部分组成。</w:t>
      </w:r>
      <w:r>
        <w:rPr>
          <w:rFonts w:hAnsi="宋体"/>
          <w:b/>
          <w:bCs/>
          <w:color w:val="auto"/>
          <w:szCs w:val="21"/>
          <w:highlight w:val="none"/>
        </w:rPr>
        <w:t>资格审查资料包</w:t>
      </w:r>
      <w:r>
        <w:rPr>
          <w:rFonts w:hint="eastAsia" w:hAnsi="宋体"/>
          <w:b/>
          <w:bCs/>
          <w:color w:val="auto"/>
          <w:szCs w:val="21"/>
          <w:highlight w:val="none"/>
          <w:lang w:val="en-US" w:eastAsia="zh-CN"/>
        </w:rPr>
        <w:t>正本</w:t>
      </w:r>
      <w:r>
        <w:rPr>
          <w:rFonts w:hAnsi="宋体"/>
          <w:b/>
          <w:bCs/>
          <w:color w:val="auto"/>
          <w:szCs w:val="21"/>
          <w:highlight w:val="none"/>
          <w:u w:val="single"/>
        </w:rPr>
        <w:t>壹</w:t>
      </w:r>
      <w:r>
        <w:rPr>
          <w:rFonts w:hAnsi="宋体"/>
          <w:b/>
          <w:bCs/>
          <w:color w:val="auto"/>
          <w:szCs w:val="21"/>
          <w:highlight w:val="none"/>
        </w:rPr>
        <w:t>份</w:t>
      </w:r>
      <w:r>
        <w:rPr>
          <w:rFonts w:hint="eastAsia" w:hAnsi="宋体"/>
          <w:b/>
          <w:bCs/>
          <w:color w:val="auto"/>
          <w:szCs w:val="21"/>
          <w:highlight w:val="none"/>
          <w:lang w:eastAsia="zh-CN"/>
        </w:rPr>
        <w:t>，</w:t>
      </w:r>
      <w:r>
        <w:rPr>
          <w:rFonts w:hint="eastAsia" w:hAnsi="宋体"/>
          <w:b/>
          <w:bCs/>
          <w:color w:val="auto"/>
          <w:szCs w:val="21"/>
          <w:highlight w:val="none"/>
          <w:lang w:val="en-US" w:eastAsia="zh-CN"/>
        </w:rPr>
        <w:t>副本</w:t>
      </w:r>
      <w:r>
        <w:rPr>
          <w:rFonts w:hint="eastAsia" w:hAnsi="宋体"/>
          <w:b/>
          <w:bCs/>
          <w:color w:val="auto"/>
          <w:szCs w:val="21"/>
          <w:highlight w:val="none"/>
          <w:u w:val="single"/>
          <w:lang w:val="en-US" w:eastAsia="zh-CN"/>
        </w:rPr>
        <w:t>贰</w:t>
      </w:r>
      <w:r>
        <w:rPr>
          <w:rFonts w:hint="eastAsia" w:hAnsi="宋体"/>
          <w:b/>
          <w:bCs/>
          <w:color w:val="auto"/>
          <w:szCs w:val="21"/>
          <w:highlight w:val="none"/>
          <w:lang w:val="en-US" w:eastAsia="zh-CN"/>
        </w:rPr>
        <w:t>份</w:t>
      </w:r>
      <w:r>
        <w:rPr>
          <w:rFonts w:hAnsi="宋体"/>
          <w:b/>
          <w:bCs/>
          <w:color w:val="auto"/>
          <w:szCs w:val="21"/>
          <w:highlight w:val="none"/>
        </w:rPr>
        <w:t>；商务标包</w:t>
      </w:r>
      <w:r>
        <w:rPr>
          <w:rFonts w:hint="eastAsia" w:hAnsi="宋体"/>
          <w:b/>
          <w:bCs/>
          <w:color w:val="auto"/>
          <w:szCs w:val="21"/>
          <w:highlight w:val="none"/>
          <w:lang w:val="en-US" w:eastAsia="zh-CN"/>
        </w:rPr>
        <w:t>正本</w:t>
      </w:r>
      <w:r>
        <w:rPr>
          <w:rFonts w:hAnsi="宋体"/>
          <w:b/>
          <w:bCs/>
          <w:color w:val="auto"/>
          <w:szCs w:val="21"/>
          <w:highlight w:val="none"/>
          <w:u w:val="single"/>
        </w:rPr>
        <w:t>壹</w:t>
      </w:r>
      <w:r>
        <w:rPr>
          <w:rFonts w:hAnsi="宋体"/>
          <w:b/>
          <w:bCs/>
          <w:color w:val="auto"/>
          <w:szCs w:val="21"/>
          <w:highlight w:val="none"/>
        </w:rPr>
        <w:t>份</w:t>
      </w:r>
      <w:r>
        <w:rPr>
          <w:rFonts w:hint="eastAsia" w:hAnsi="宋体"/>
          <w:b/>
          <w:bCs/>
          <w:color w:val="auto"/>
          <w:szCs w:val="21"/>
          <w:highlight w:val="none"/>
          <w:lang w:eastAsia="zh-CN"/>
        </w:rPr>
        <w:t>，</w:t>
      </w:r>
      <w:r>
        <w:rPr>
          <w:rFonts w:hint="eastAsia" w:hAnsi="宋体"/>
          <w:b/>
          <w:bCs/>
          <w:color w:val="auto"/>
          <w:szCs w:val="21"/>
          <w:highlight w:val="none"/>
          <w:lang w:val="en-US" w:eastAsia="zh-CN"/>
        </w:rPr>
        <w:t>副本</w:t>
      </w:r>
      <w:r>
        <w:rPr>
          <w:rFonts w:hint="eastAsia" w:hAnsi="宋体"/>
          <w:b/>
          <w:bCs/>
          <w:color w:val="auto"/>
          <w:szCs w:val="21"/>
          <w:highlight w:val="none"/>
          <w:u w:val="single"/>
          <w:lang w:val="en-US" w:eastAsia="zh-CN"/>
        </w:rPr>
        <w:t>贰</w:t>
      </w:r>
      <w:r>
        <w:rPr>
          <w:rFonts w:hint="eastAsia" w:hAnsi="宋体"/>
          <w:b/>
          <w:bCs/>
          <w:color w:val="auto"/>
          <w:szCs w:val="21"/>
          <w:highlight w:val="none"/>
          <w:lang w:val="en-US" w:eastAsia="zh-CN"/>
        </w:rPr>
        <w:t>份</w:t>
      </w:r>
      <w:r>
        <w:rPr>
          <w:rFonts w:hAnsi="宋体"/>
          <w:b/>
          <w:bCs/>
          <w:color w:val="auto"/>
          <w:szCs w:val="21"/>
          <w:highlight w:val="none"/>
        </w:rPr>
        <w:t>。资格审查资料包、商务标分别标明</w:t>
      </w:r>
      <w:r>
        <w:rPr>
          <w:b/>
          <w:bCs/>
          <w:color w:val="auto"/>
          <w:szCs w:val="21"/>
          <w:highlight w:val="none"/>
        </w:rPr>
        <w:t>“</w:t>
      </w:r>
      <w:r>
        <w:rPr>
          <w:rFonts w:hAnsi="宋体"/>
          <w:b/>
          <w:bCs/>
          <w:color w:val="auto"/>
          <w:szCs w:val="21"/>
          <w:highlight w:val="none"/>
        </w:rPr>
        <w:t>正本</w:t>
      </w:r>
      <w:r>
        <w:rPr>
          <w:b/>
          <w:bCs/>
          <w:color w:val="auto"/>
          <w:szCs w:val="21"/>
          <w:highlight w:val="none"/>
        </w:rPr>
        <w:t>”</w:t>
      </w:r>
      <w:r>
        <w:rPr>
          <w:rFonts w:hint="eastAsia"/>
          <w:b/>
          <w:bCs/>
          <w:color w:val="auto"/>
          <w:szCs w:val="21"/>
          <w:highlight w:val="none"/>
          <w:lang w:eastAsia="zh-CN"/>
        </w:rPr>
        <w:t>、“</w:t>
      </w:r>
      <w:r>
        <w:rPr>
          <w:rFonts w:hint="eastAsia"/>
          <w:b/>
          <w:bCs/>
          <w:color w:val="auto"/>
          <w:szCs w:val="21"/>
          <w:highlight w:val="none"/>
          <w:lang w:val="en-US" w:eastAsia="zh-CN"/>
        </w:rPr>
        <w:t>副本</w:t>
      </w:r>
      <w:r>
        <w:rPr>
          <w:rFonts w:hint="eastAsia"/>
          <w:b/>
          <w:bCs/>
          <w:color w:val="auto"/>
          <w:szCs w:val="21"/>
          <w:highlight w:val="none"/>
          <w:lang w:eastAsia="zh-CN"/>
        </w:rPr>
        <w:t>”</w:t>
      </w:r>
      <w:r>
        <w:rPr>
          <w:rFonts w:hAnsi="宋体"/>
          <w:b/>
          <w:bCs/>
          <w:color w:val="auto"/>
          <w:szCs w:val="21"/>
          <w:highlight w:val="none"/>
        </w:rPr>
        <w:t>。</w:t>
      </w:r>
    </w:p>
    <w:p>
      <w:pPr>
        <w:spacing w:line="360" w:lineRule="auto"/>
        <w:ind w:firstLine="413" w:firstLineChars="196"/>
        <w:rPr>
          <w:b/>
          <w:snapToGrid w:val="0"/>
          <w:color w:val="auto"/>
          <w:kern w:val="0"/>
          <w:szCs w:val="21"/>
          <w:highlight w:val="none"/>
        </w:rPr>
      </w:pPr>
      <w:r>
        <w:rPr>
          <w:rFonts w:hAnsi="宋体"/>
          <w:b/>
          <w:snapToGrid w:val="0"/>
          <w:color w:val="auto"/>
          <w:kern w:val="0"/>
          <w:szCs w:val="21"/>
          <w:highlight w:val="none"/>
        </w:rPr>
        <w:t>资格审查资料包、商务标必须分袋密封，并在封袋上加盖投标人单位公章和单位法定代表人章，另须在封袋上标明</w:t>
      </w:r>
      <w:r>
        <w:rPr>
          <w:b/>
          <w:snapToGrid w:val="0"/>
          <w:color w:val="auto"/>
          <w:kern w:val="0"/>
          <w:szCs w:val="21"/>
          <w:highlight w:val="none"/>
        </w:rPr>
        <w:t>“</w:t>
      </w:r>
      <w:r>
        <w:rPr>
          <w:rFonts w:hAnsi="宋体"/>
          <w:b/>
          <w:snapToGrid w:val="0"/>
          <w:color w:val="auto"/>
          <w:kern w:val="0"/>
          <w:szCs w:val="21"/>
          <w:highlight w:val="none"/>
        </w:rPr>
        <w:t>资格审查资料包</w:t>
      </w:r>
      <w:r>
        <w:rPr>
          <w:b/>
          <w:snapToGrid w:val="0"/>
          <w:color w:val="auto"/>
          <w:kern w:val="0"/>
          <w:szCs w:val="21"/>
          <w:highlight w:val="none"/>
        </w:rPr>
        <w:t>”</w:t>
      </w:r>
      <w:r>
        <w:rPr>
          <w:rFonts w:hAnsi="宋体"/>
          <w:b/>
          <w:snapToGrid w:val="0"/>
          <w:color w:val="auto"/>
          <w:kern w:val="0"/>
          <w:szCs w:val="21"/>
          <w:highlight w:val="none"/>
        </w:rPr>
        <w:t>或</w:t>
      </w:r>
      <w:r>
        <w:rPr>
          <w:b/>
          <w:snapToGrid w:val="0"/>
          <w:color w:val="auto"/>
          <w:kern w:val="0"/>
          <w:szCs w:val="21"/>
          <w:highlight w:val="none"/>
        </w:rPr>
        <w:t>“</w:t>
      </w:r>
      <w:r>
        <w:rPr>
          <w:rFonts w:hAnsi="宋体"/>
          <w:b/>
          <w:snapToGrid w:val="0"/>
          <w:color w:val="auto"/>
          <w:kern w:val="0"/>
          <w:szCs w:val="21"/>
          <w:highlight w:val="none"/>
        </w:rPr>
        <w:t>商务标</w:t>
      </w:r>
      <w:r>
        <w:rPr>
          <w:b/>
          <w:snapToGrid w:val="0"/>
          <w:color w:val="auto"/>
          <w:kern w:val="0"/>
          <w:szCs w:val="21"/>
          <w:highlight w:val="none"/>
        </w:rPr>
        <w:t>”</w:t>
      </w:r>
      <w:r>
        <w:rPr>
          <w:rFonts w:hAnsi="宋体"/>
          <w:b/>
          <w:snapToGrid w:val="0"/>
          <w:color w:val="auto"/>
          <w:kern w:val="0"/>
          <w:szCs w:val="21"/>
          <w:highlight w:val="none"/>
        </w:rPr>
        <w:t>，同时还要写明工程名称。</w:t>
      </w:r>
    </w:p>
    <w:p>
      <w:pPr>
        <w:spacing w:line="360" w:lineRule="auto"/>
        <w:ind w:firstLine="420" w:firstLineChars="200"/>
        <w:rPr>
          <w:snapToGrid w:val="0"/>
          <w:color w:val="auto"/>
          <w:kern w:val="0"/>
          <w:szCs w:val="21"/>
          <w:highlight w:val="none"/>
        </w:rPr>
      </w:pPr>
      <w:r>
        <w:rPr>
          <w:snapToGrid w:val="0"/>
          <w:color w:val="auto"/>
          <w:kern w:val="0"/>
          <w:szCs w:val="21"/>
          <w:highlight w:val="none"/>
        </w:rPr>
        <w:t>20.</w:t>
      </w:r>
      <w:r>
        <w:rPr>
          <w:rFonts w:hint="eastAsia"/>
          <w:snapToGrid w:val="0"/>
          <w:color w:val="auto"/>
          <w:kern w:val="0"/>
          <w:szCs w:val="21"/>
          <w:highlight w:val="none"/>
          <w:lang w:val="en-US" w:eastAsia="zh-CN"/>
        </w:rPr>
        <w:t>2</w:t>
      </w:r>
      <w:r>
        <w:rPr>
          <w:snapToGrid w:val="0"/>
          <w:color w:val="auto"/>
          <w:kern w:val="0"/>
          <w:szCs w:val="21"/>
          <w:highlight w:val="none"/>
        </w:rPr>
        <w:t xml:space="preserve"> </w:t>
      </w:r>
      <w:r>
        <w:rPr>
          <w:rFonts w:hAnsi="宋体"/>
          <w:b/>
          <w:snapToGrid w:val="0"/>
          <w:color w:val="auto"/>
          <w:kern w:val="0"/>
          <w:szCs w:val="21"/>
          <w:highlight w:val="none"/>
        </w:rPr>
        <w:t>所有投标文件的密封袋上均应加盖投标人公章</w:t>
      </w:r>
      <w:r>
        <w:rPr>
          <w:rFonts w:hAnsi="宋体"/>
          <w:b/>
          <w:bCs/>
          <w:snapToGrid w:val="0"/>
          <w:color w:val="auto"/>
          <w:kern w:val="0"/>
          <w:szCs w:val="21"/>
          <w:highlight w:val="none"/>
        </w:rPr>
        <w:t>和法定代表人印章</w:t>
      </w:r>
      <w:r>
        <w:rPr>
          <w:rFonts w:hAnsi="宋体"/>
          <w:b/>
          <w:snapToGrid w:val="0"/>
          <w:color w:val="auto"/>
          <w:kern w:val="0"/>
          <w:szCs w:val="21"/>
          <w:highlight w:val="none"/>
        </w:rPr>
        <w:t>。</w:t>
      </w:r>
      <w:r>
        <w:rPr>
          <w:rFonts w:hAnsi="宋体"/>
          <w:snapToGrid w:val="0"/>
          <w:color w:val="auto"/>
          <w:kern w:val="0"/>
          <w:szCs w:val="21"/>
          <w:highlight w:val="none"/>
        </w:rPr>
        <w:t>投标人未按上述规定提交投标文件，其投标文件将被拒绝，并退还给投标人。</w:t>
      </w:r>
    </w:p>
    <w:p>
      <w:pPr>
        <w:spacing w:line="360" w:lineRule="auto"/>
        <w:ind w:firstLine="420" w:firstLineChars="200"/>
        <w:rPr>
          <w:b/>
          <w:snapToGrid w:val="0"/>
          <w:color w:val="auto"/>
          <w:kern w:val="0"/>
          <w:szCs w:val="21"/>
          <w:highlight w:val="none"/>
        </w:rPr>
      </w:pPr>
      <w:r>
        <w:rPr>
          <w:snapToGrid w:val="0"/>
          <w:color w:val="auto"/>
          <w:kern w:val="0"/>
          <w:szCs w:val="21"/>
          <w:highlight w:val="none"/>
        </w:rPr>
        <w:t>20.</w:t>
      </w:r>
      <w:r>
        <w:rPr>
          <w:rFonts w:hint="eastAsia"/>
          <w:snapToGrid w:val="0"/>
          <w:color w:val="auto"/>
          <w:kern w:val="0"/>
          <w:szCs w:val="21"/>
          <w:highlight w:val="none"/>
          <w:lang w:val="en-US" w:eastAsia="zh-CN"/>
        </w:rPr>
        <w:t>3</w:t>
      </w:r>
      <w:r>
        <w:rPr>
          <w:snapToGrid w:val="0"/>
          <w:color w:val="auto"/>
          <w:kern w:val="0"/>
          <w:szCs w:val="21"/>
          <w:highlight w:val="none"/>
        </w:rPr>
        <w:t xml:space="preserve"> </w:t>
      </w:r>
      <w:r>
        <w:rPr>
          <w:rFonts w:hAnsi="宋体"/>
          <w:snapToGrid w:val="0"/>
          <w:color w:val="auto"/>
          <w:kern w:val="0"/>
          <w:szCs w:val="21"/>
          <w:highlight w:val="none"/>
        </w:rPr>
        <w:t>投标文件正、副本不一致时，以正本为准。</w:t>
      </w:r>
    </w:p>
    <w:p>
      <w:pPr>
        <w:spacing w:line="360" w:lineRule="auto"/>
        <w:rPr>
          <w:b/>
          <w:color w:val="auto"/>
          <w:szCs w:val="21"/>
          <w:highlight w:val="none"/>
        </w:rPr>
      </w:pPr>
      <w:r>
        <w:rPr>
          <w:b/>
          <w:color w:val="auto"/>
          <w:szCs w:val="21"/>
          <w:highlight w:val="none"/>
        </w:rPr>
        <w:t>21.</w:t>
      </w:r>
      <w:r>
        <w:rPr>
          <w:rFonts w:hAnsi="宋体"/>
          <w:b/>
          <w:color w:val="auto"/>
          <w:szCs w:val="21"/>
          <w:highlight w:val="none"/>
        </w:rPr>
        <w:t>投标文件的递交</w:t>
      </w:r>
    </w:p>
    <w:p>
      <w:pPr>
        <w:spacing w:line="360" w:lineRule="auto"/>
        <w:ind w:firstLine="480"/>
        <w:rPr>
          <w:color w:val="auto"/>
          <w:szCs w:val="21"/>
          <w:highlight w:val="none"/>
        </w:rPr>
      </w:pPr>
      <w:r>
        <w:rPr>
          <w:color w:val="auto"/>
          <w:szCs w:val="21"/>
          <w:highlight w:val="none"/>
        </w:rPr>
        <w:t>21.1</w:t>
      </w:r>
      <w:r>
        <w:rPr>
          <w:rFonts w:hAnsi="宋体"/>
          <w:color w:val="auto"/>
          <w:szCs w:val="21"/>
          <w:highlight w:val="none"/>
        </w:rPr>
        <w:t>投标人应在投标人须知前附表</w:t>
      </w:r>
      <w:r>
        <w:rPr>
          <w:rFonts w:hAnsi="宋体"/>
          <w:color w:val="auto"/>
          <w:szCs w:val="21"/>
          <w:highlight w:val="none"/>
          <w:u w:val="single"/>
        </w:rPr>
        <w:t>第</w:t>
      </w:r>
      <w:r>
        <w:rPr>
          <w:color w:val="auto"/>
          <w:szCs w:val="21"/>
          <w:highlight w:val="none"/>
          <w:u w:val="single"/>
        </w:rPr>
        <w:t>18</w:t>
      </w:r>
      <w:r>
        <w:rPr>
          <w:rFonts w:hAnsi="宋体"/>
          <w:color w:val="auto"/>
          <w:szCs w:val="21"/>
          <w:highlight w:val="none"/>
          <w:u w:val="single"/>
        </w:rPr>
        <w:t>条</w:t>
      </w:r>
      <w:r>
        <w:rPr>
          <w:rFonts w:hAnsi="宋体"/>
          <w:color w:val="auto"/>
          <w:szCs w:val="21"/>
          <w:highlight w:val="none"/>
        </w:rPr>
        <w:t>规定的投标文件递交截止时间之前完成投标文件的递交。招标人延长递交投标文件截止时间的，招标人与投标人在原投标截止期的全部权利、义务、责任将适用于延长后新的投标截止期。</w:t>
      </w:r>
    </w:p>
    <w:p>
      <w:pPr>
        <w:spacing w:line="360" w:lineRule="auto"/>
        <w:ind w:firstLine="480"/>
        <w:rPr>
          <w:color w:val="auto"/>
          <w:szCs w:val="21"/>
          <w:highlight w:val="none"/>
        </w:rPr>
      </w:pPr>
      <w:r>
        <w:rPr>
          <w:color w:val="auto"/>
          <w:szCs w:val="21"/>
          <w:highlight w:val="none"/>
        </w:rPr>
        <w:t>21.2</w:t>
      </w:r>
      <w:r>
        <w:rPr>
          <w:rFonts w:hAnsi="宋体"/>
          <w:color w:val="auto"/>
          <w:szCs w:val="21"/>
          <w:highlight w:val="none"/>
        </w:rPr>
        <w:t>逾期送达的或者未送达指定地点的投标文件，招标人不予受理。</w:t>
      </w:r>
    </w:p>
    <w:p>
      <w:pPr>
        <w:spacing w:line="360" w:lineRule="auto"/>
        <w:rPr>
          <w:b/>
          <w:color w:val="auto"/>
          <w:szCs w:val="21"/>
          <w:highlight w:val="none"/>
        </w:rPr>
      </w:pPr>
      <w:r>
        <w:rPr>
          <w:b/>
          <w:color w:val="auto"/>
          <w:szCs w:val="21"/>
          <w:highlight w:val="none"/>
        </w:rPr>
        <w:t>22.</w:t>
      </w:r>
      <w:r>
        <w:rPr>
          <w:rFonts w:hAnsi="宋体"/>
          <w:b/>
          <w:color w:val="auto"/>
          <w:szCs w:val="21"/>
          <w:highlight w:val="none"/>
        </w:rPr>
        <w:t>投标文件的修改与撤回</w:t>
      </w:r>
    </w:p>
    <w:p>
      <w:pPr>
        <w:spacing w:line="360" w:lineRule="auto"/>
        <w:ind w:firstLine="480"/>
        <w:rPr>
          <w:b/>
          <w:color w:val="auto"/>
          <w:szCs w:val="21"/>
          <w:highlight w:val="none"/>
        </w:rPr>
      </w:pPr>
      <w:r>
        <w:rPr>
          <w:rFonts w:hAnsi="宋体"/>
          <w:color w:val="auto"/>
          <w:szCs w:val="21"/>
          <w:highlight w:val="none"/>
        </w:rPr>
        <w:t>投标截止时间之前，投标人可对所递交的投标文件进行修改或撤回，但所递交的修改或撤回通知必须按招标文件的规定进行编制、密封、标志</w:t>
      </w:r>
      <w:r>
        <w:rPr>
          <w:color w:val="auto"/>
          <w:szCs w:val="21"/>
          <w:highlight w:val="none"/>
        </w:rPr>
        <w:t>(</w:t>
      </w:r>
      <w:r>
        <w:rPr>
          <w:rFonts w:hAnsi="宋体"/>
          <w:color w:val="auto"/>
          <w:szCs w:val="21"/>
          <w:highlight w:val="none"/>
        </w:rPr>
        <w:t>在包封上标明</w:t>
      </w:r>
      <w:r>
        <w:rPr>
          <w:color w:val="auto"/>
          <w:szCs w:val="21"/>
          <w:highlight w:val="none"/>
        </w:rPr>
        <w:t>“</w:t>
      </w:r>
      <w:r>
        <w:rPr>
          <w:rFonts w:hAnsi="宋体"/>
          <w:color w:val="auto"/>
          <w:szCs w:val="21"/>
          <w:highlight w:val="none"/>
        </w:rPr>
        <w:t>修改</w:t>
      </w:r>
      <w:r>
        <w:rPr>
          <w:color w:val="auto"/>
          <w:szCs w:val="21"/>
          <w:highlight w:val="none"/>
        </w:rPr>
        <w:t>”</w:t>
      </w:r>
      <w:r>
        <w:rPr>
          <w:rFonts w:hAnsi="宋体"/>
          <w:color w:val="auto"/>
          <w:szCs w:val="21"/>
          <w:highlight w:val="none"/>
        </w:rPr>
        <w:t>或</w:t>
      </w:r>
      <w:r>
        <w:rPr>
          <w:color w:val="auto"/>
          <w:szCs w:val="21"/>
          <w:highlight w:val="none"/>
        </w:rPr>
        <w:t>“</w:t>
      </w:r>
      <w:r>
        <w:rPr>
          <w:rFonts w:hAnsi="宋体"/>
          <w:color w:val="auto"/>
          <w:szCs w:val="21"/>
          <w:highlight w:val="none"/>
        </w:rPr>
        <w:t>撤回</w:t>
      </w:r>
      <w:r>
        <w:rPr>
          <w:color w:val="auto"/>
          <w:szCs w:val="21"/>
          <w:highlight w:val="none"/>
        </w:rPr>
        <w:t>”</w:t>
      </w:r>
      <w:r>
        <w:rPr>
          <w:rFonts w:hAnsi="宋体"/>
          <w:color w:val="auto"/>
          <w:szCs w:val="21"/>
          <w:highlight w:val="none"/>
        </w:rPr>
        <w:t>字样，并注明修改或撤回的时间</w:t>
      </w:r>
      <w:r>
        <w:rPr>
          <w:color w:val="auto"/>
          <w:szCs w:val="21"/>
          <w:highlight w:val="none"/>
        </w:rPr>
        <w:t>)</w:t>
      </w:r>
      <w:r>
        <w:rPr>
          <w:rFonts w:hAnsi="宋体"/>
          <w:color w:val="auto"/>
          <w:szCs w:val="21"/>
          <w:highlight w:val="none"/>
        </w:rPr>
        <w:t>和递交。投标截止时间之后，投标人不得修改或撤回投标文件。</w:t>
      </w:r>
    </w:p>
    <w:p>
      <w:pPr>
        <w:pStyle w:val="4"/>
        <w:jc w:val="center"/>
        <w:rPr>
          <w:rFonts w:ascii="Times New Roman" w:hAnsi="Times New Roman" w:eastAsia="宋体"/>
          <w:b w:val="0"/>
          <w:color w:val="auto"/>
          <w:sz w:val="24"/>
          <w:highlight w:val="none"/>
        </w:rPr>
      </w:pPr>
      <w:r>
        <w:rPr>
          <w:rFonts w:ascii="Times New Roman" w:hAnsi="Times New Roman" w:eastAsia="宋体"/>
          <w:b w:val="0"/>
          <w:color w:val="auto"/>
          <w:sz w:val="24"/>
          <w:highlight w:val="none"/>
        </w:rPr>
        <w:t xml:space="preserve"> (</w:t>
      </w:r>
      <w:r>
        <w:rPr>
          <w:rFonts w:ascii="Times New Roman" w:hAnsi="宋体" w:eastAsia="宋体"/>
          <w:b w:val="0"/>
          <w:color w:val="auto"/>
          <w:sz w:val="24"/>
          <w:highlight w:val="none"/>
        </w:rPr>
        <w:t>六</w:t>
      </w:r>
      <w:r>
        <w:rPr>
          <w:rFonts w:ascii="Times New Roman" w:hAnsi="Times New Roman" w:eastAsia="宋体"/>
          <w:b w:val="0"/>
          <w:color w:val="auto"/>
          <w:sz w:val="24"/>
          <w:highlight w:val="none"/>
        </w:rPr>
        <w:t xml:space="preserve">) </w:t>
      </w:r>
      <w:r>
        <w:rPr>
          <w:rFonts w:ascii="Times New Roman" w:hAnsi="宋体" w:eastAsia="宋体"/>
          <w:b w:val="0"/>
          <w:color w:val="auto"/>
          <w:sz w:val="24"/>
          <w:highlight w:val="none"/>
        </w:rPr>
        <w:t>开标、评标和定标</w:t>
      </w:r>
    </w:p>
    <w:p>
      <w:pPr>
        <w:spacing w:line="360" w:lineRule="auto"/>
        <w:ind w:firstLine="480"/>
        <w:rPr>
          <w:color w:val="auto"/>
          <w:szCs w:val="21"/>
          <w:highlight w:val="none"/>
        </w:rPr>
      </w:pPr>
      <w:r>
        <w:rPr>
          <w:b/>
          <w:color w:val="auto"/>
          <w:szCs w:val="21"/>
          <w:highlight w:val="none"/>
        </w:rPr>
        <w:t>23.</w:t>
      </w:r>
      <w:r>
        <w:rPr>
          <w:rFonts w:hAnsi="宋体"/>
          <w:color w:val="auto"/>
          <w:szCs w:val="21"/>
          <w:highlight w:val="none"/>
        </w:rPr>
        <w:t>本工程评标、定标办法采用下列</w:t>
      </w:r>
      <w:r>
        <w:rPr>
          <w:b/>
          <w:color w:val="auto"/>
          <w:szCs w:val="21"/>
          <w:highlight w:val="none"/>
          <w:u w:val="single"/>
        </w:rPr>
        <w:t xml:space="preserve">  23.1 </w:t>
      </w:r>
      <w:r>
        <w:rPr>
          <w:rFonts w:hAnsi="宋体"/>
          <w:color w:val="auto"/>
          <w:szCs w:val="21"/>
          <w:highlight w:val="none"/>
        </w:rPr>
        <w:t>种方式</w:t>
      </w:r>
    </w:p>
    <w:p>
      <w:pPr>
        <w:spacing w:line="360" w:lineRule="auto"/>
        <w:ind w:firstLine="480"/>
        <w:rPr>
          <w:color w:val="auto"/>
          <w:szCs w:val="21"/>
          <w:highlight w:val="none"/>
        </w:rPr>
      </w:pPr>
      <w:r>
        <w:rPr>
          <w:color w:val="auto"/>
          <w:szCs w:val="21"/>
          <w:highlight w:val="none"/>
        </w:rPr>
        <w:t>23.1价格单因素评标办法</w:t>
      </w:r>
    </w:p>
    <w:p>
      <w:pPr>
        <w:spacing w:line="360" w:lineRule="auto"/>
        <w:ind w:firstLine="480"/>
        <w:rPr>
          <w:color w:val="auto"/>
          <w:szCs w:val="21"/>
          <w:highlight w:val="none"/>
        </w:rPr>
      </w:pPr>
      <w:r>
        <w:rPr>
          <w:color w:val="auto"/>
          <w:szCs w:val="21"/>
          <w:highlight w:val="none"/>
        </w:rPr>
        <w:t>23.2.</w:t>
      </w:r>
      <w:r>
        <w:rPr>
          <w:rFonts w:hAnsi="宋体"/>
          <w:color w:val="auto"/>
          <w:szCs w:val="21"/>
          <w:highlight w:val="none"/>
        </w:rPr>
        <w:t>含施工组织设计的</w:t>
      </w:r>
      <w:r>
        <w:rPr>
          <w:rFonts w:hint="eastAsia" w:hAnsi="宋体"/>
          <w:color w:val="auto"/>
          <w:szCs w:val="21"/>
          <w:highlight w:val="none"/>
        </w:rPr>
        <w:t>合理低价法</w:t>
      </w:r>
      <w:r>
        <w:rPr>
          <w:rFonts w:hAnsi="宋体"/>
          <w:color w:val="auto"/>
          <w:szCs w:val="21"/>
          <w:highlight w:val="none"/>
        </w:rPr>
        <w:t>评标方法</w:t>
      </w:r>
    </w:p>
    <w:p>
      <w:pPr>
        <w:spacing w:line="360" w:lineRule="auto"/>
        <w:ind w:firstLine="480"/>
        <w:rPr>
          <w:color w:val="auto"/>
          <w:szCs w:val="21"/>
          <w:highlight w:val="none"/>
        </w:rPr>
      </w:pPr>
      <w:r>
        <w:rPr>
          <w:color w:val="auto"/>
          <w:szCs w:val="21"/>
          <w:highlight w:val="none"/>
        </w:rPr>
        <w:t>23.3</w:t>
      </w:r>
      <w:r>
        <w:rPr>
          <w:rFonts w:hAnsi="宋体"/>
          <w:color w:val="auto"/>
          <w:szCs w:val="21"/>
          <w:highlight w:val="none"/>
        </w:rPr>
        <w:t>综合评估法</w:t>
      </w:r>
    </w:p>
    <w:p>
      <w:pPr>
        <w:spacing w:line="360" w:lineRule="auto"/>
        <w:ind w:firstLine="480"/>
        <w:rPr>
          <w:color w:val="auto"/>
          <w:szCs w:val="21"/>
          <w:highlight w:val="none"/>
        </w:rPr>
      </w:pPr>
      <w:r>
        <w:rPr>
          <w:b/>
          <w:color w:val="auto"/>
          <w:szCs w:val="21"/>
          <w:highlight w:val="none"/>
        </w:rPr>
        <w:t xml:space="preserve">24. </w:t>
      </w:r>
      <w:r>
        <w:rPr>
          <w:rFonts w:hAnsi="宋体"/>
          <w:color w:val="auto"/>
          <w:szCs w:val="21"/>
          <w:highlight w:val="none"/>
        </w:rPr>
        <w:t>招标人按本须知前附表</w:t>
      </w:r>
      <w:r>
        <w:rPr>
          <w:rFonts w:hAnsi="宋体"/>
          <w:color w:val="auto"/>
          <w:szCs w:val="21"/>
          <w:highlight w:val="none"/>
          <w:u w:val="single"/>
        </w:rPr>
        <w:t>第</w:t>
      </w:r>
      <w:r>
        <w:rPr>
          <w:color w:val="auto"/>
          <w:szCs w:val="21"/>
          <w:highlight w:val="none"/>
          <w:u w:val="single"/>
        </w:rPr>
        <w:t>19</w:t>
      </w:r>
      <w:r>
        <w:rPr>
          <w:rFonts w:hAnsi="宋体"/>
          <w:color w:val="auto"/>
          <w:szCs w:val="21"/>
          <w:highlight w:val="none"/>
          <w:u w:val="single"/>
        </w:rPr>
        <w:t>项</w:t>
      </w:r>
      <w:r>
        <w:rPr>
          <w:rFonts w:hAnsi="宋体"/>
          <w:color w:val="auto"/>
          <w:szCs w:val="21"/>
          <w:highlight w:val="none"/>
        </w:rPr>
        <w:t>规定的时间、地点公开开标。开标会由招标代理机构主持，</w:t>
      </w:r>
      <w:r>
        <w:rPr>
          <w:rFonts w:hint="eastAsia" w:hAnsi="宋体"/>
          <w:color w:val="auto"/>
          <w:szCs w:val="21"/>
          <w:highlight w:val="none"/>
        </w:rPr>
        <w:t>由投标人或者其推选的代表检查投标文件的密封情况，也可以由招标人委托的公证机构检查并公证。经确认无误签字确认后，当众启封投标文件及修改文件，公布投标文件的主要内容。</w:t>
      </w:r>
    </w:p>
    <w:p>
      <w:pPr>
        <w:spacing w:line="360" w:lineRule="auto"/>
        <w:ind w:firstLine="480"/>
        <w:rPr>
          <w:color w:val="auto"/>
          <w:szCs w:val="21"/>
          <w:highlight w:val="none"/>
        </w:rPr>
      </w:pPr>
      <w:r>
        <w:rPr>
          <w:b/>
          <w:color w:val="auto"/>
          <w:szCs w:val="21"/>
          <w:highlight w:val="none"/>
        </w:rPr>
        <w:t xml:space="preserve">25. </w:t>
      </w:r>
      <w:r>
        <w:rPr>
          <w:rFonts w:hAnsi="宋体"/>
          <w:color w:val="auto"/>
          <w:szCs w:val="21"/>
          <w:highlight w:val="none"/>
        </w:rPr>
        <w:t>评标委员会应当审查每一投标文件是否对招标文件提出的所有实质性要求和条件作出响应。</w:t>
      </w:r>
    </w:p>
    <w:p>
      <w:pPr>
        <w:spacing w:line="360" w:lineRule="auto"/>
        <w:ind w:firstLine="422" w:firstLineChars="200"/>
        <w:rPr>
          <w:b/>
          <w:color w:val="auto"/>
          <w:szCs w:val="21"/>
          <w:highlight w:val="none"/>
        </w:rPr>
      </w:pPr>
      <w:r>
        <w:rPr>
          <w:b/>
          <w:color w:val="auto"/>
          <w:szCs w:val="21"/>
          <w:highlight w:val="none"/>
        </w:rPr>
        <w:t xml:space="preserve">26. </w:t>
      </w:r>
      <w:r>
        <w:rPr>
          <w:rFonts w:hAnsi="宋体"/>
          <w:b/>
          <w:color w:val="auto"/>
          <w:kern w:val="0"/>
          <w:szCs w:val="21"/>
          <w:highlight w:val="none"/>
        </w:rPr>
        <w:t>凡</w:t>
      </w:r>
      <w:r>
        <w:rPr>
          <w:rFonts w:hAnsi="宋体"/>
          <w:b/>
          <w:color w:val="auto"/>
          <w:szCs w:val="21"/>
          <w:highlight w:val="none"/>
        </w:rPr>
        <w:t>投标文件有下列情况之一的，属于重大偏差，视同未能对招标文件作出实质性响应，按废标处理。</w:t>
      </w:r>
    </w:p>
    <w:p>
      <w:pPr>
        <w:spacing w:line="360" w:lineRule="auto"/>
        <w:ind w:firstLine="480"/>
        <w:rPr>
          <w:rFonts w:hAnsi="宋体" w:cs="宋体"/>
          <w:b/>
          <w:bCs/>
          <w:color w:val="auto"/>
          <w:szCs w:val="21"/>
          <w:highlight w:val="none"/>
        </w:rPr>
      </w:pPr>
      <w:r>
        <w:rPr>
          <w:b/>
          <w:bCs/>
          <w:color w:val="auto"/>
          <w:szCs w:val="21"/>
          <w:highlight w:val="none"/>
        </w:rPr>
        <w:t>26.1</w:t>
      </w:r>
      <w:r>
        <w:rPr>
          <w:rFonts w:hint="eastAsia" w:hAnsi="宋体" w:cs="宋体"/>
          <w:b/>
          <w:bCs/>
          <w:color w:val="auto"/>
          <w:szCs w:val="21"/>
          <w:highlight w:val="none"/>
        </w:rPr>
        <w:t>投标文件中的投标函未加盖投标人的公章；</w:t>
      </w:r>
    </w:p>
    <w:p>
      <w:pPr>
        <w:spacing w:line="360" w:lineRule="auto"/>
        <w:ind w:firstLine="480"/>
        <w:rPr>
          <w:rFonts w:hAnsi="宋体" w:cs="宋体"/>
          <w:b/>
          <w:bCs/>
          <w:color w:val="auto"/>
          <w:szCs w:val="21"/>
          <w:highlight w:val="none"/>
        </w:rPr>
      </w:pPr>
      <w:r>
        <w:rPr>
          <w:b/>
          <w:bCs/>
          <w:color w:val="auto"/>
          <w:szCs w:val="21"/>
          <w:highlight w:val="none"/>
        </w:rPr>
        <w:t>26.2</w:t>
      </w:r>
      <w:r>
        <w:rPr>
          <w:rFonts w:hint="eastAsia" w:hAnsi="宋体" w:cs="宋体"/>
          <w:b/>
          <w:bCs/>
          <w:color w:val="auto"/>
          <w:szCs w:val="21"/>
          <w:highlight w:val="none"/>
        </w:rPr>
        <w:t>投标文件中的投标函未加盖企业法定代表人（或委托代理人）印章（或签字）的；</w:t>
      </w:r>
    </w:p>
    <w:p>
      <w:pPr>
        <w:spacing w:line="360" w:lineRule="auto"/>
        <w:ind w:firstLine="480"/>
        <w:rPr>
          <w:rFonts w:hAnsi="宋体" w:cs="宋体"/>
          <w:b/>
          <w:bCs/>
          <w:color w:val="auto"/>
          <w:szCs w:val="21"/>
          <w:highlight w:val="none"/>
        </w:rPr>
      </w:pPr>
      <w:r>
        <w:rPr>
          <w:b/>
          <w:bCs/>
          <w:color w:val="auto"/>
          <w:szCs w:val="21"/>
          <w:highlight w:val="none"/>
        </w:rPr>
        <w:t>26.3</w:t>
      </w:r>
      <w:r>
        <w:rPr>
          <w:rFonts w:hint="eastAsia" w:hAnsi="宋体" w:cs="宋体"/>
          <w:b/>
          <w:bCs/>
          <w:color w:val="auto"/>
          <w:szCs w:val="21"/>
          <w:highlight w:val="none"/>
        </w:rPr>
        <w:t>如投标函加盖企业委托代理人印章（或签字）的，委托代理人没有合法、有效的委托书（原件）的；</w:t>
      </w:r>
    </w:p>
    <w:p>
      <w:pPr>
        <w:spacing w:line="360" w:lineRule="auto"/>
        <w:ind w:firstLine="480"/>
        <w:rPr>
          <w:rFonts w:hAnsi="宋体" w:cs="宋体"/>
          <w:b/>
          <w:bCs/>
          <w:color w:val="auto"/>
          <w:szCs w:val="21"/>
          <w:highlight w:val="none"/>
        </w:rPr>
      </w:pPr>
      <w:r>
        <w:rPr>
          <w:b/>
          <w:bCs/>
          <w:color w:val="auto"/>
          <w:szCs w:val="21"/>
          <w:highlight w:val="none"/>
        </w:rPr>
        <w:t>26.4</w:t>
      </w:r>
      <w:r>
        <w:rPr>
          <w:rFonts w:hint="eastAsia" w:hAnsi="宋体" w:cs="宋体"/>
          <w:b/>
          <w:bCs/>
          <w:color w:val="auto"/>
          <w:szCs w:val="21"/>
          <w:highlight w:val="none"/>
        </w:rPr>
        <w:t>投标人资格条件不符合国家有关规定或招标文件要求的；</w:t>
      </w:r>
    </w:p>
    <w:p>
      <w:pPr>
        <w:spacing w:line="360" w:lineRule="auto"/>
        <w:ind w:firstLine="480"/>
        <w:rPr>
          <w:rFonts w:hAnsi="宋体" w:cs="宋体"/>
          <w:b/>
          <w:bCs/>
          <w:color w:val="auto"/>
          <w:szCs w:val="21"/>
          <w:highlight w:val="none"/>
        </w:rPr>
      </w:pPr>
      <w:r>
        <w:rPr>
          <w:b/>
          <w:bCs/>
          <w:color w:val="auto"/>
          <w:szCs w:val="21"/>
          <w:highlight w:val="none"/>
        </w:rPr>
        <w:t>26.5</w:t>
      </w:r>
      <w:r>
        <w:rPr>
          <w:rFonts w:hint="eastAsia" w:hAnsi="宋体" w:cs="宋体"/>
          <w:b/>
          <w:bCs/>
          <w:color w:val="auto"/>
          <w:szCs w:val="21"/>
          <w:highlight w:val="none"/>
        </w:rPr>
        <w:t>投标人名称或组织结构与资格预审时不一致的；</w:t>
      </w:r>
    </w:p>
    <w:p>
      <w:pPr>
        <w:spacing w:line="360" w:lineRule="auto"/>
        <w:ind w:firstLine="480"/>
        <w:rPr>
          <w:rFonts w:hAnsi="宋体" w:cs="宋体"/>
          <w:b/>
          <w:bCs/>
          <w:color w:val="auto"/>
          <w:szCs w:val="21"/>
          <w:highlight w:val="none"/>
        </w:rPr>
      </w:pPr>
      <w:r>
        <w:rPr>
          <w:b/>
          <w:bCs/>
          <w:color w:val="auto"/>
          <w:szCs w:val="21"/>
          <w:highlight w:val="none"/>
        </w:rPr>
        <w:t>26.6</w:t>
      </w:r>
      <w:r>
        <w:rPr>
          <w:rFonts w:hint="eastAsia" w:hAnsi="宋体" w:cs="宋体"/>
          <w:b/>
          <w:bCs/>
          <w:color w:val="auto"/>
          <w:szCs w:val="21"/>
          <w:highlight w:val="none"/>
        </w:rPr>
        <w:t>除在投标截止时间前经招标人书面同意外，项目负责人与资格预审时不一致的；</w:t>
      </w:r>
    </w:p>
    <w:p>
      <w:pPr>
        <w:spacing w:line="360" w:lineRule="auto"/>
        <w:ind w:firstLine="480"/>
        <w:rPr>
          <w:rFonts w:hAnsi="宋体" w:cs="宋体"/>
          <w:b/>
          <w:bCs/>
          <w:color w:val="auto"/>
          <w:szCs w:val="21"/>
          <w:highlight w:val="none"/>
        </w:rPr>
      </w:pPr>
      <w:r>
        <w:rPr>
          <w:b/>
          <w:bCs/>
          <w:color w:val="auto"/>
          <w:szCs w:val="21"/>
          <w:highlight w:val="none"/>
        </w:rPr>
        <w:t>26.7</w:t>
      </w:r>
      <w:r>
        <w:rPr>
          <w:rFonts w:hint="eastAsia" w:hAnsi="宋体" w:cs="宋体"/>
          <w:b/>
          <w:bCs/>
          <w:color w:val="auto"/>
          <w:szCs w:val="21"/>
          <w:highlight w:val="none"/>
        </w:rPr>
        <w:t>组成联合体投标未提供联合体各方共同投标协议的（本工程不接受联合体）；</w:t>
      </w:r>
    </w:p>
    <w:p>
      <w:pPr>
        <w:spacing w:line="360" w:lineRule="auto"/>
        <w:ind w:firstLine="480"/>
        <w:rPr>
          <w:rFonts w:hAnsi="宋体" w:cs="宋体"/>
          <w:b/>
          <w:bCs/>
          <w:color w:val="auto"/>
          <w:szCs w:val="21"/>
          <w:highlight w:val="none"/>
        </w:rPr>
      </w:pPr>
      <w:r>
        <w:rPr>
          <w:b/>
          <w:bCs/>
          <w:color w:val="auto"/>
          <w:szCs w:val="21"/>
          <w:highlight w:val="none"/>
        </w:rPr>
        <w:t>26.8</w:t>
      </w:r>
      <w:r>
        <w:rPr>
          <w:rFonts w:hint="eastAsia" w:hAnsi="宋体" w:cs="宋体"/>
          <w:b/>
          <w:bCs/>
          <w:color w:val="auto"/>
          <w:szCs w:val="21"/>
          <w:highlight w:val="none"/>
        </w:rPr>
        <w:t>在同一招标项目中，联合体成员以自己名义单独投标或者参加其他联合体投标的；</w:t>
      </w:r>
    </w:p>
    <w:p>
      <w:pPr>
        <w:spacing w:line="360" w:lineRule="auto"/>
        <w:ind w:firstLine="480"/>
        <w:rPr>
          <w:rFonts w:hAnsi="宋体" w:cs="宋体"/>
          <w:b/>
          <w:bCs/>
          <w:color w:val="auto"/>
          <w:szCs w:val="21"/>
          <w:highlight w:val="none"/>
        </w:rPr>
      </w:pPr>
      <w:r>
        <w:rPr>
          <w:b/>
          <w:bCs/>
          <w:color w:val="auto"/>
          <w:szCs w:val="21"/>
          <w:highlight w:val="none"/>
        </w:rPr>
        <w:t>26.9</w:t>
      </w:r>
      <w:r>
        <w:rPr>
          <w:rFonts w:hint="eastAsia" w:hAnsi="宋体" w:cs="宋体"/>
          <w:b/>
          <w:bCs/>
          <w:color w:val="auto"/>
          <w:szCs w:val="21"/>
          <w:highlight w:val="none"/>
        </w:rPr>
        <w:t>联合体成员与资格预审确定的结果不一致的；</w:t>
      </w:r>
    </w:p>
    <w:p>
      <w:pPr>
        <w:spacing w:line="360" w:lineRule="auto"/>
        <w:ind w:firstLine="480"/>
        <w:rPr>
          <w:rFonts w:hAnsi="宋体" w:cs="宋体"/>
          <w:b/>
          <w:bCs/>
          <w:color w:val="auto"/>
          <w:szCs w:val="21"/>
          <w:highlight w:val="none"/>
        </w:rPr>
      </w:pPr>
      <w:r>
        <w:rPr>
          <w:b/>
          <w:bCs/>
          <w:color w:val="auto"/>
          <w:szCs w:val="21"/>
          <w:highlight w:val="none"/>
        </w:rPr>
        <w:t>26.10</w:t>
      </w:r>
      <w:r>
        <w:rPr>
          <w:rFonts w:hint="eastAsia" w:hAnsi="宋体" w:cs="宋体"/>
          <w:b/>
          <w:bCs/>
          <w:color w:val="auto"/>
          <w:szCs w:val="21"/>
          <w:highlight w:val="none"/>
        </w:rPr>
        <w:t>投标报价低于成本或者高于招标文件设定的招标控制价的；</w:t>
      </w:r>
    </w:p>
    <w:p>
      <w:pPr>
        <w:spacing w:line="360" w:lineRule="auto"/>
        <w:ind w:firstLine="480"/>
        <w:rPr>
          <w:rFonts w:hAnsi="宋体" w:cs="宋体"/>
          <w:b/>
          <w:bCs/>
          <w:color w:val="auto"/>
          <w:szCs w:val="21"/>
          <w:highlight w:val="none"/>
        </w:rPr>
      </w:pPr>
      <w:r>
        <w:rPr>
          <w:b/>
          <w:bCs/>
          <w:color w:val="auto"/>
          <w:szCs w:val="21"/>
          <w:highlight w:val="none"/>
        </w:rPr>
        <w:t>26.11</w:t>
      </w:r>
      <w:r>
        <w:rPr>
          <w:rFonts w:hint="eastAsia" w:hAnsi="宋体" w:cs="宋体"/>
          <w:b/>
          <w:bCs/>
          <w:color w:val="auto"/>
          <w:szCs w:val="21"/>
          <w:highlight w:val="none"/>
        </w:rPr>
        <w:t>同一投标人提交两个及以上不同的投标文件或者投标报价，但招标文件要求提交备选投标的除外；</w:t>
      </w:r>
    </w:p>
    <w:p>
      <w:pPr>
        <w:spacing w:line="360" w:lineRule="auto"/>
        <w:ind w:firstLine="480"/>
        <w:rPr>
          <w:rFonts w:hAnsi="宋体" w:cs="宋体"/>
          <w:b/>
          <w:bCs/>
          <w:color w:val="auto"/>
          <w:szCs w:val="21"/>
          <w:highlight w:val="none"/>
        </w:rPr>
      </w:pPr>
      <w:r>
        <w:rPr>
          <w:b/>
          <w:bCs/>
          <w:color w:val="auto"/>
          <w:szCs w:val="21"/>
          <w:highlight w:val="none"/>
        </w:rPr>
        <w:t>26.12</w:t>
      </w:r>
      <w:r>
        <w:rPr>
          <w:rFonts w:hint="eastAsia" w:hAnsi="宋体" w:cs="宋体"/>
          <w:b/>
          <w:bCs/>
          <w:color w:val="auto"/>
          <w:szCs w:val="21"/>
          <w:highlight w:val="none"/>
        </w:rPr>
        <w:t>与招标文件规定的暂估价、暂列金额及甲供材料价格不一致的；</w:t>
      </w:r>
    </w:p>
    <w:p>
      <w:pPr>
        <w:spacing w:line="360" w:lineRule="auto"/>
        <w:ind w:firstLine="480"/>
        <w:rPr>
          <w:rFonts w:hAnsi="宋体" w:cs="宋体"/>
          <w:b/>
          <w:bCs/>
          <w:color w:val="auto"/>
          <w:szCs w:val="21"/>
          <w:highlight w:val="none"/>
        </w:rPr>
      </w:pPr>
      <w:r>
        <w:rPr>
          <w:b/>
          <w:bCs/>
          <w:color w:val="auto"/>
          <w:szCs w:val="21"/>
          <w:highlight w:val="none"/>
        </w:rPr>
        <w:t>26.13</w:t>
      </w:r>
      <w:r>
        <w:rPr>
          <w:rFonts w:hint="eastAsia" w:hAnsi="宋体" w:cs="宋体"/>
          <w:b/>
          <w:bCs/>
          <w:color w:val="auto"/>
          <w:szCs w:val="21"/>
          <w:highlight w:val="none"/>
        </w:rPr>
        <w:t>与招标文件明确列出的不可竞争费用项目或费率或计算基础不一致的；</w:t>
      </w:r>
    </w:p>
    <w:p>
      <w:pPr>
        <w:spacing w:line="360" w:lineRule="auto"/>
        <w:ind w:firstLine="480"/>
        <w:rPr>
          <w:rFonts w:hAnsi="宋体" w:cs="宋体"/>
          <w:b/>
          <w:bCs/>
          <w:color w:val="auto"/>
          <w:szCs w:val="21"/>
          <w:highlight w:val="none"/>
        </w:rPr>
      </w:pPr>
      <w:r>
        <w:rPr>
          <w:b/>
          <w:bCs/>
          <w:color w:val="auto"/>
          <w:szCs w:val="21"/>
          <w:highlight w:val="none"/>
        </w:rPr>
        <w:t>26.14</w:t>
      </w:r>
      <w:r>
        <w:rPr>
          <w:rFonts w:hint="eastAsia" w:hAnsi="宋体" w:cs="宋体"/>
          <w:b/>
          <w:bCs/>
          <w:color w:val="auto"/>
          <w:szCs w:val="21"/>
          <w:highlight w:val="none"/>
        </w:rPr>
        <w:t>与招标文件提供的工程量清单中的项目编码、项目名称、项目特征、计量单位、工程量不一致的；</w:t>
      </w:r>
    </w:p>
    <w:p>
      <w:pPr>
        <w:spacing w:line="360" w:lineRule="auto"/>
        <w:ind w:firstLine="480"/>
        <w:rPr>
          <w:rFonts w:hAnsi="宋体" w:cs="宋体"/>
          <w:b/>
          <w:bCs/>
          <w:color w:val="auto"/>
          <w:szCs w:val="21"/>
          <w:highlight w:val="none"/>
        </w:rPr>
      </w:pPr>
      <w:r>
        <w:rPr>
          <w:b/>
          <w:bCs/>
          <w:color w:val="auto"/>
          <w:szCs w:val="21"/>
          <w:highlight w:val="none"/>
        </w:rPr>
        <w:t>26.15</w:t>
      </w:r>
      <w:r>
        <w:rPr>
          <w:rFonts w:hint="eastAsia" w:hAnsi="宋体" w:cs="宋体"/>
          <w:b/>
          <w:bCs/>
          <w:color w:val="auto"/>
          <w:szCs w:val="21"/>
          <w:highlight w:val="none"/>
        </w:rPr>
        <w:t>未按招标文件要求提供投标保证金的；</w:t>
      </w:r>
    </w:p>
    <w:p>
      <w:pPr>
        <w:spacing w:line="360" w:lineRule="auto"/>
        <w:ind w:firstLine="480"/>
        <w:rPr>
          <w:rFonts w:hAnsi="宋体" w:cs="宋体"/>
          <w:b/>
          <w:bCs/>
          <w:color w:val="auto"/>
          <w:szCs w:val="21"/>
          <w:highlight w:val="none"/>
        </w:rPr>
      </w:pPr>
      <w:r>
        <w:rPr>
          <w:b/>
          <w:bCs/>
          <w:color w:val="auto"/>
          <w:szCs w:val="21"/>
          <w:highlight w:val="none"/>
        </w:rPr>
        <w:t>26.16</w:t>
      </w:r>
      <w:r>
        <w:rPr>
          <w:rFonts w:hint="eastAsia" w:hAnsi="宋体" w:cs="宋体"/>
          <w:b/>
          <w:bCs/>
          <w:color w:val="auto"/>
          <w:szCs w:val="21"/>
          <w:highlight w:val="none"/>
        </w:rPr>
        <w:t>投标文件载明的招标项目完成期限超过招标文件规定的期限的；</w:t>
      </w:r>
    </w:p>
    <w:p>
      <w:pPr>
        <w:spacing w:line="360" w:lineRule="auto"/>
        <w:ind w:firstLine="480"/>
        <w:rPr>
          <w:rFonts w:hAnsi="宋体" w:cs="宋体"/>
          <w:b/>
          <w:bCs/>
          <w:color w:val="auto"/>
          <w:szCs w:val="21"/>
          <w:highlight w:val="none"/>
        </w:rPr>
      </w:pPr>
      <w:r>
        <w:rPr>
          <w:b/>
          <w:bCs/>
          <w:color w:val="auto"/>
          <w:szCs w:val="21"/>
          <w:highlight w:val="none"/>
        </w:rPr>
        <w:t>26.17</w:t>
      </w:r>
      <w:r>
        <w:rPr>
          <w:rFonts w:hint="eastAsia" w:hAnsi="宋体" w:cs="宋体"/>
          <w:b/>
          <w:bCs/>
          <w:color w:val="auto"/>
          <w:szCs w:val="21"/>
          <w:highlight w:val="none"/>
        </w:rPr>
        <w:t>明显不符合技术规范、技术标准的要求的；</w:t>
      </w:r>
    </w:p>
    <w:p>
      <w:pPr>
        <w:spacing w:line="360" w:lineRule="auto"/>
        <w:ind w:firstLine="480"/>
        <w:rPr>
          <w:rFonts w:hAnsi="宋体" w:cs="宋体"/>
          <w:b/>
          <w:bCs/>
          <w:color w:val="auto"/>
          <w:szCs w:val="21"/>
          <w:highlight w:val="none"/>
        </w:rPr>
      </w:pPr>
      <w:r>
        <w:rPr>
          <w:b/>
          <w:bCs/>
          <w:color w:val="auto"/>
          <w:szCs w:val="21"/>
          <w:highlight w:val="none"/>
        </w:rPr>
        <w:t>26.18</w:t>
      </w:r>
      <w:r>
        <w:rPr>
          <w:rFonts w:hint="eastAsia" w:hAnsi="宋体" w:cs="宋体"/>
          <w:b/>
          <w:bCs/>
          <w:color w:val="auto"/>
          <w:szCs w:val="21"/>
          <w:highlight w:val="none"/>
        </w:rPr>
        <w:t>投标文件载明的货物包装方式、检验标准和方法等不符合招标文件的要求的；</w:t>
      </w:r>
    </w:p>
    <w:p>
      <w:pPr>
        <w:spacing w:line="360" w:lineRule="auto"/>
        <w:ind w:firstLine="480"/>
        <w:rPr>
          <w:rFonts w:hAnsi="宋体" w:cs="宋体"/>
          <w:b/>
          <w:bCs/>
          <w:color w:val="auto"/>
          <w:szCs w:val="21"/>
          <w:highlight w:val="none"/>
        </w:rPr>
      </w:pPr>
      <w:r>
        <w:rPr>
          <w:b/>
          <w:bCs/>
          <w:color w:val="auto"/>
          <w:szCs w:val="21"/>
          <w:highlight w:val="none"/>
        </w:rPr>
        <w:t>26.19</w:t>
      </w:r>
      <w:r>
        <w:rPr>
          <w:rFonts w:hint="eastAsia" w:hAnsi="宋体" w:cs="宋体"/>
          <w:b/>
          <w:bCs/>
          <w:color w:val="auto"/>
          <w:szCs w:val="21"/>
          <w:highlight w:val="none"/>
        </w:rPr>
        <w:t>投标文件提出了不能满足招标文件要求或招标人不能接受的工程验收、计量、价款结算和支付办法的；</w:t>
      </w:r>
    </w:p>
    <w:p>
      <w:pPr>
        <w:spacing w:line="360" w:lineRule="auto"/>
        <w:ind w:firstLine="480"/>
        <w:rPr>
          <w:rFonts w:hAnsi="宋体" w:cs="宋体"/>
          <w:b/>
          <w:bCs/>
          <w:color w:val="auto"/>
          <w:szCs w:val="21"/>
          <w:highlight w:val="none"/>
        </w:rPr>
      </w:pPr>
      <w:r>
        <w:rPr>
          <w:b/>
          <w:bCs/>
          <w:color w:val="auto"/>
          <w:szCs w:val="21"/>
          <w:highlight w:val="none"/>
        </w:rPr>
        <w:t>26.20</w:t>
      </w:r>
      <w:r>
        <w:rPr>
          <w:rFonts w:hint="eastAsia" w:hAnsi="宋体" w:cs="宋体"/>
          <w:b/>
          <w:bCs/>
          <w:color w:val="auto"/>
          <w:szCs w:val="21"/>
          <w:highlight w:val="none"/>
        </w:rPr>
        <w:t>未按招标文件要求提供电子投标文件，或者电子投标文件（已标价的工程量清单）保存格式不正确，致使软件无法读取的，且补救方案补救不成功的；</w:t>
      </w:r>
    </w:p>
    <w:p>
      <w:pPr>
        <w:spacing w:line="360" w:lineRule="auto"/>
        <w:ind w:firstLine="480"/>
        <w:rPr>
          <w:rFonts w:hAnsi="宋体" w:cs="宋体"/>
          <w:b/>
          <w:bCs/>
          <w:color w:val="auto"/>
          <w:szCs w:val="21"/>
          <w:highlight w:val="none"/>
        </w:rPr>
      </w:pPr>
      <w:r>
        <w:rPr>
          <w:b/>
          <w:bCs/>
          <w:color w:val="auto"/>
          <w:szCs w:val="21"/>
          <w:highlight w:val="none"/>
        </w:rPr>
        <w:t>26.21</w:t>
      </w:r>
      <w:r>
        <w:rPr>
          <w:rFonts w:hint="eastAsia" w:hAnsi="宋体" w:cs="宋体"/>
          <w:b/>
          <w:bCs/>
          <w:color w:val="auto"/>
          <w:szCs w:val="21"/>
          <w:highlight w:val="none"/>
        </w:rPr>
        <w:t>不同投标人的投标文件以及投标文件制作过程出现了评标委员会认为不应当雷同的情况的；</w:t>
      </w:r>
    </w:p>
    <w:p>
      <w:pPr>
        <w:spacing w:line="360" w:lineRule="auto"/>
        <w:ind w:firstLine="480"/>
        <w:rPr>
          <w:rFonts w:hAnsi="宋体" w:cs="宋体"/>
          <w:b/>
          <w:bCs/>
          <w:color w:val="auto"/>
          <w:szCs w:val="21"/>
          <w:highlight w:val="none"/>
        </w:rPr>
      </w:pPr>
      <w:r>
        <w:rPr>
          <w:b/>
          <w:bCs/>
          <w:color w:val="auto"/>
          <w:szCs w:val="21"/>
          <w:highlight w:val="none"/>
        </w:rPr>
        <w:t>26.22</w:t>
      </w:r>
      <w:r>
        <w:rPr>
          <w:rFonts w:hint="eastAsia" w:hAnsi="宋体" w:cs="宋体"/>
          <w:b/>
          <w:bCs/>
          <w:color w:val="auto"/>
          <w:szCs w:val="21"/>
          <w:highlight w:val="none"/>
        </w:rPr>
        <w:t>以他人的名义投标、串通投标、以行贿手段谋取中标或者以其他弄虚作假方式投标的；</w:t>
      </w:r>
    </w:p>
    <w:p>
      <w:pPr>
        <w:spacing w:line="360" w:lineRule="auto"/>
        <w:ind w:firstLine="480"/>
        <w:rPr>
          <w:b/>
          <w:bCs/>
          <w:color w:val="auto"/>
          <w:szCs w:val="21"/>
          <w:highlight w:val="none"/>
        </w:rPr>
      </w:pPr>
      <w:r>
        <w:rPr>
          <w:b/>
          <w:bCs/>
          <w:color w:val="auto"/>
          <w:szCs w:val="21"/>
          <w:highlight w:val="none"/>
        </w:rPr>
        <w:t>26.23</w:t>
      </w:r>
      <w:r>
        <w:rPr>
          <w:rFonts w:hint="eastAsia" w:hAnsi="宋体" w:cs="宋体"/>
          <w:b/>
          <w:bCs/>
          <w:color w:val="auto"/>
          <w:szCs w:val="21"/>
          <w:highlight w:val="none"/>
        </w:rPr>
        <w:t>不符合招标文件有关暗标的要求。</w:t>
      </w:r>
    </w:p>
    <w:p>
      <w:pPr>
        <w:spacing w:line="360" w:lineRule="auto"/>
        <w:ind w:firstLine="441" w:firstLineChars="209"/>
        <w:rPr>
          <w:rFonts w:hAnsi="宋体" w:cs="宋体"/>
          <w:b/>
          <w:bCs/>
          <w:color w:val="auto"/>
          <w:szCs w:val="21"/>
          <w:highlight w:val="none"/>
        </w:rPr>
      </w:pPr>
      <w:r>
        <w:rPr>
          <w:rFonts w:hAnsi="宋体"/>
          <w:b/>
          <w:bCs/>
          <w:color w:val="auto"/>
          <w:szCs w:val="21"/>
          <w:highlight w:val="none"/>
        </w:rPr>
        <w:t>26.24</w:t>
      </w:r>
      <w:r>
        <w:rPr>
          <w:rFonts w:hint="eastAsia" w:hAnsi="宋体" w:cs="宋体"/>
          <w:b/>
          <w:bCs/>
          <w:color w:val="auto"/>
          <w:szCs w:val="21"/>
          <w:highlight w:val="none"/>
        </w:rPr>
        <w:t>纸质商务标报价与电子商务标报价不一致的。</w:t>
      </w:r>
    </w:p>
    <w:p>
      <w:pPr>
        <w:spacing w:line="360" w:lineRule="auto"/>
        <w:ind w:firstLine="441" w:firstLineChars="209"/>
        <w:rPr>
          <w:rFonts w:hAnsi="宋体"/>
          <w:b/>
          <w:bCs/>
          <w:color w:val="auto"/>
          <w:szCs w:val="21"/>
          <w:highlight w:val="none"/>
        </w:rPr>
      </w:pPr>
      <w:bookmarkStart w:id="28" w:name="_Hlk99729053"/>
      <w:r>
        <w:rPr>
          <w:rFonts w:hint="eastAsia" w:hAnsi="宋体" w:cs="宋体"/>
          <w:b/>
          <w:bCs/>
          <w:color w:val="auto"/>
          <w:szCs w:val="21"/>
          <w:highlight w:val="none"/>
        </w:rPr>
        <w:t>2</w:t>
      </w:r>
      <w:r>
        <w:rPr>
          <w:rFonts w:hAnsi="宋体" w:cs="宋体"/>
          <w:b/>
          <w:bCs/>
          <w:color w:val="auto"/>
          <w:szCs w:val="21"/>
          <w:highlight w:val="none"/>
        </w:rPr>
        <w:t>6.25</w:t>
      </w:r>
      <w:r>
        <w:rPr>
          <w:rFonts w:hint="eastAsia" w:hAnsi="宋体" w:cs="宋体"/>
          <w:b/>
          <w:bCs/>
          <w:color w:val="auto"/>
          <w:szCs w:val="21"/>
          <w:highlight w:val="none"/>
        </w:rPr>
        <w:t>未按招标文件要求提供承诺书的。</w:t>
      </w:r>
    </w:p>
    <w:p>
      <w:pPr>
        <w:spacing w:line="360" w:lineRule="auto"/>
        <w:ind w:firstLine="441" w:firstLineChars="209"/>
        <w:rPr>
          <w:rFonts w:hAnsi="宋体"/>
          <w:b/>
          <w:bCs/>
          <w:color w:val="auto"/>
          <w:szCs w:val="21"/>
          <w:highlight w:val="none"/>
        </w:rPr>
      </w:pPr>
      <w:r>
        <w:rPr>
          <w:rFonts w:hAnsi="宋体"/>
          <w:b/>
          <w:bCs/>
          <w:color w:val="auto"/>
          <w:szCs w:val="21"/>
          <w:highlight w:val="none"/>
        </w:rPr>
        <w:t>26.26</w:t>
      </w:r>
      <w:r>
        <w:rPr>
          <w:rFonts w:hint="eastAsia" w:hAnsi="宋体" w:cs="宋体"/>
          <w:b/>
          <w:bCs/>
          <w:color w:val="auto"/>
          <w:szCs w:val="21"/>
          <w:highlight w:val="none"/>
        </w:rPr>
        <w:t>纸质投标文件、电子投标文件未按照招标文件规定密封、分装的。</w:t>
      </w:r>
    </w:p>
    <w:p>
      <w:pPr>
        <w:spacing w:line="360" w:lineRule="auto"/>
        <w:ind w:firstLine="441" w:firstLineChars="209"/>
        <w:rPr>
          <w:rFonts w:hAnsi="宋体" w:cs="宋体"/>
          <w:b/>
          <w:bCs/>
          <w:color w:val="auto"/>
          <w:szCs w:val="21"/>
          <w:highlight w:val="none"/>
        </w:rPr>
      </w:pPr>
      <w:r>
        <w:rPr>
          <w:rFonts w:hAnsi="宋体"/>
          <w:b/>
          <w:bCs/>
          <w:color w:val="auto"/>
          <w:szCs w:val="21"/>
          <w:highlight w:val="none"/>
        </w:rPr>
        <w:t>26.27</w:t>
      </w:r>
      <w:r>
        <w:rPr>
          <w:rFonts w:hint="eastAsia" w:hAnsi="宋体" w:cs="宋体"/>
          <w:b/>
          <w:bCs/>
          <w:color w:val="auto"/>
          <w:szCs w:val="21"/>
          <w:highlight w:val="none"/>
        </w:rPr>
        <w:t>不同投标人的电子投标文件出自同一台电脑、不同投标人的投标报价用同一个预算编制软件密码锁制作或者出自同一电子文档的、不同投标人的投标文件的编制者为同一人的，在作废标处理的同时，按照招标文件第一章第</w:t>
      </w:r>
      <w:r>
        <w:rPr>
          <w:rFonts w:hAnsi="宋体" w:cs="宋体"/>
          <w:b/>
          <w:bCs/>
          <w:color w:val="auto"/>
          <w:szCs w:val="21"/>
          <w:highlight w:val="none"/>
        </w:rPr>
        <w:t>14</w:t>
      </w:r>
      <w:r>
        <w:rPr>
          <w:rFonts w:hint="eastAsia" w:hAnsi="宋体" w:cs="宋体"/>
          <w:b/>
          <w:bCs/>
          <w:color w:val="auto"/>
          <w:szCs w:val="21"/>
          <w:highlight w:val="none"/>
        </w:rPr>
        <w:t>款处理。</w:t>
      </w:r>
    </w:p>
    <w:bookmarkEnd w:id="28"/>
    <w:p>
      <w:pPr>
        <w:spacing w:line="360" w:lineRule="auto"/>
        <w:ind w:firstLine="441" w:firstLineChars="209"/>
        <w:rPr>
          <w:rFonts w:hint="eastAsia" w:hAnsi="宋体" w:cs="宋体"/>
          <w:b/>
          <w:bCs/>
          <w:color w:val="auto"/>
          <w:szCs w:val="21"/>
          <w:highlight w:val="none"/>
        </w:rPr>
      </w:pPr>
      <w:r>
        <w:rPr>
          <w:rFonts w:hint="eastAsia" w:hAnsi="宋体" w:cs="宋体"/>
          <w:b/>
          <w:bCs/>
          <w:color w:val="auto"/>
          <w:szCs w:val="21"/>
          <w:highlight w:val="none"/>
        </w:rPr>
        <w:t>26.2</w:t>
      </w:r>
      <w:r>
        <w:rPr>
          <w:rFonts w:hint="eastAsia" w:hAnsi="宋体" w:cs="宋体"/>
          <w:b/>
          <w:bCs/>
          <w:color w:val="auto"/>
          <w:szCs w:val="21"/>
          <w:highlight w:val="none"/>
          <w:lang w:val="en-US" w:eastAsia="zh-CN"/>
        </w:rPr>
        <w:t>8</w:t>
      </w:r>
      <w:r>
        <w:rPr>
          <w:rFonts w:hint="eastAsia" w:hAnsi="宋体" w:cs="宋体"/>
          <w:b/>
          <w:bCs/>
          <w:color w:val="auto"/>
          <w:szCs w:val="21"/>
          <w:highlight w:val="none"/>
        </w:rPr>
        <w:t>投标人在投标文件递交截止时间当日，建筑企业资质动态监管结果（本项目资质要求） 处于不合格状态的。</w:t>
      </w:r>
    </w:p>
    <w:p>
      <w:pPr>
        <w:spacing w:line="360" w:lineRule="auto"/>
        <w:ind w:firstLine="441" w:firstLineChars="209"/>
        <w:rPr>
          <w:rFonts w:hint="default" w:hAnsi="宋体" w:cs="宋体"/>
          <w:b/>
          <w:bCs/>
          <w:color w:val="auto"/>
          <w:szCs w:val="21"/>
          <w:highlight w:val="none"/>
          <w:lang w:val="en-US" w:eastAsia="zh-CN"/>
        </w:rPr>
      </w:pPr>
      <w:r>
        <w:rPr>
          <w:rFonts w:hint="eastAsia" w:hAnsi="宋体" w:cs="宋体"/>
          <w:b/>
          <w:bCs/>
          <w:color w:val="auto"/>
          <w:szCs w:val="21"/>
          <w:highlight w:val="none"/>
          <w:lang w:val="en-US" w:eastAsia="zh-CN"/>
        </w:rPr>
        <w:t>26.29投标人资格条件不符合国家有关规定，或者不满足招标文件规定的资格条件的；拟派的项目负责人为一级建造师的， 但未根据《办公厅关于全面实行一级建造师电子注册证书的通知》(建办市〔2021〕40 号)文件要求使用并提供电子证书的；</w:t>
      </w:r>
    </w:p>
    <w:p>
      <w:pPr>
        <w:spacing w:line="360" w:lineRule="auto"/>
        <w:ind w:firstLine="422" w:firstLineChars="200"/>
        <w:rPr>
          <w:color w:val="auto"/>
          <w:szCs w:val="21"/>
          <w:highlight w:val="none"/>
        </w:rPr>
      </w:pPr>
      <w:r>
        <w:rPr>
          <w:b/>
          <w:color w:val="auto"/>
          <w:szCs w:val="21"/>
          <w:highlight w:val="none"/>
        </w:rPr>
        <w:t>27.</w:t>
      </w:r>
      <w:r>
        <w:rPr>
          <w:rFonts w:hAnsi="宋体"/>
          <w:color w:val="auto"/>
          <w:szCs w:val="21"/>
          <w:highlight w:val="none"/>
        </w:rPr>
        <w:t>评标、定标工作由招标人或代理机构组织进行。</w:t>
      </w:r>
    </w:p>
    <w:p>
      <w:pPr>
        <w:spacing w:line="360" w:lineRule="auto"/>
        <w:ind w:firstLine="422" w:firstLineChars="200"/>
        <w:rPr>
          <w:color w:val="auto"/>
          <w:szCs w:val="21"/>
          <w:highlight w:val="none"/>
        </w:rPr>
      </w:pPr>
      <w:r>
        <w:rPr>
          <w:b/>
          <w:color w:val="auto"/>
          <w:szCs w:val="21"/>
          <w:highlight w:val="none"/>
        </w:rPr>
        <w:t>28.</w:t>
      </w:r>
      <w:r>
        <w:rPr>
          <w:rFonts w:hAnsi="宋体"/>
          <w:color w:val="auto"/>
          <w:szCs w:val="21"/>
          <w:highlight w:val="none"/>
        </w:rPr>
        <w:t>投标文件的澄清</w:t>
      </w:r>
    </w:p>
    <w:p>
      <w:pPr>
        <w:spacing w:line="360" w:lineRule="auto"/>
        <w:ind w:firstLine="480"/>
        <w:rPr>
          <w:color w:val="auto"/>
          <w:szCs w:val="21"/>
          <w:highlight w:val="none"/>
        </w:rPr>
      </w:pPr>
      <w:r>
        <w:rPr>
          <w:rFonts w:hAnsi="宋体"/>
          <w:color w:val="auto"/>
          <w:szCs w:val="21"/>
          <w:highlight w:val="none"/>
        </w:rPr>
        <w:t>在评标过程中，评标委员会认为需要，可以书面形式要求投标人对投标文件中的有关问题进行澄清或提供补充说明及有关资料，投标人应作出书面答复。书面答复中不得有变更价格、工期、自报质量等级等实质性内容。</w:t>
      </w:r>
    </w:p>
    <w:p>
      <w:pPr>
        <w:spacing w:line="360" w:lineRule="auto"/>
        <w:ind w:firstLine="480"/>
        <w:rPr>
          <w:color w:val="auto"/>
          <w:szCs w:val="21"/>
          <w:highlight w:val="none"/>
        </w:rPr>
      </w:pPr>
      <w:r>
        <w:rPr>
          <w:rFonts w:hAnsi="宋体"/>
          <w:color w:val="auto"/>
          <w:spacing w:val="-2"/>
          <w:szCs w:val="21"/>
          <w:highlight w:val="none"/>
        </w:rPr>
        <w:t>书面答复须经投标人法定代表人或经其授权的委托代理人的签字或加盖印鉴，签字或加盖印鉴的书面答复将被视为投标文件的组成部分。投标截止日后，投标人对投标报价或其他实质性内容修正的函件和增加的任何优惠条件，一律不得作为评标、定标的依据</w:t>
      </w:r>
      <w:r>
        <w:rPr>
          <w:rFonts w:hAnsi="宋体"/>
          <w:color w:val="auto"/>
          <w:szCs w:val="21"/>
          <w:highlight w:val="none"/>
        </w:rPr>
        <w:t>。</w:t>
      </w:r>
    </w:p>
    <w:p>
      <w:pPr>
        <w:spacing w:line="360" w:lineRule="auto"/>
        <w:ind w:firstLine="480"/>
        <w:rPr>
          <w:color w:val="auto"/>
          <w:szCs w:val="21"/>
          <w:highlight w:val="none"/>
        </w:rPr>
      </w:pPr>
      <w:r>
        <w:rPr>
          <w:b/>
          <w:color w:val="auto"/>
          <w:szCs w:val="21"/>
          <w:highlight w:val="none"/>
        </w:rPr>
        <w:t>29.</w:t>
      </w:r>
      <w:r>
        <w:rPr>
          <w:rFonts w:hAnsi="宋体"/>
          <w:color w:val="auto"/>
          <w:szCs w:val="21"/>
          <w:highlight w:val="none"/>
        </w:rPr>
        <w:t>评标委员会在对实质性响应招标文件要求的投标进行报价评估时，除招标文件另有约定外，应当按下列原则进行修正：</w:t>
      </w:r>
      <w:r>
        <w:rPr>
          <w:color w:val="auto"/>
          <w:szCs w:val="21"/>
          <w:highlight w:val="none"/>
        </w:rPr>
        <w:t>(</w:t>
      </w:r>
      <w:r>
        <w:rPr>
          <w:rFonts w:hAnsi="宋体"/>
          <w:color w:val="auto"/>
          <w:szCs w:val="21"/>
          <w:highlight w:val="none"/>
        </w:rPr>
        <w:t>一</w:t>
      </w:r>
      <w:r>
        <w:rPr>
          <w:color w:val="auto"/>
          <w:szCs w:val="21"/>
          <w:highlight w:val="none"/>
        </w:rPr>
        <w:t>)</w:t>
      </w:r>
      <w:r>
        <w:rPr>
          <w:rFonts w:hAnsi="宋体"/>
          <w:color w:val="auto"/>
          <w:szCs w:val="21"/>
          <w:highlight w:val="none"/>
        </w:rPr>
        <w:t>投标文件中的大写金额与小写金额不一致，以大写金额为准；</w:t>
      </w:r>
      <w:r>
        <w:rPr>
          <w:color w:val="auto"/>
          <w:szCs w:val="21"/>
          <w:highlight w:val="none"/>
        </w:rPr>
        <w:t>(</w:t>
      </w:r>
      <w:r>
        <w:rPr>
          <w:rFonts w:hAnsi="宋体"/>
          <w:color w:val="auto"/>
          <w:szCs w:val="21"/>
          <w:highlight w:val="none"/>
        </w:rPr>
        <w:t>二</w:t>
      </w:r>
      <w:r>
        <w:rPr>
          <w:color w:val="auto"/>
          <w:szCs w:val="21"/>
          <w:highlight w:val="none"/>
        </w:rPr>
        <w:t>)</w:t>
      </w:r>
      <w:r>
        <w:rPr>
          <w:rFonts w:hAnsi="宋体"/>
          <w:color w:val="auto"/>
          <w:szCs w:val="21"/>
          <w:highlight w:val="none"/>
        </w:rPr>
        <w:t>总价金额与单价不一致的，以单价金额为准，但单价金额小数点有明显错误的除外；</w:t>
      </w:r>
      <w:r>
        <w:rPr>
          <w:color w:val="auto"/>
          <w:szCs w:val="21"/>
          <w:highlight w:val="none"/>
        </w:rPr>
        <w:t>(</w:t>
      </w:r>
      <w:r>
        <w:rPr>
          <w:rFonts w:hAnsi="宋体"/>
          <w:color w:val="auto"/>
          <w:szCs w:val="21"/>
          <w:highlight w:val="none"/>
        </w:rPr>
        <w:t>三</w:t>
      </w:r>
      <w:r>
        <w:rPr>
          <w:color w:val="auto"/>
          <w:szCs w:val="21"/>
          <w:highlight w:val="none"/>
        </w:rPr>
        <w:t>)</w:t>
      </w:r>
      <w:r>
        <w:rPr>
          <w:rFonts w:hAnsi="宋体"/>
          <w:color w:val="auto"/>
          <w:szCs w:val="21"/>
          <w:highlight w:val="none"/>
        </w:rPr>
        <w:t>对不同文字文本投标文件的解释发生异议的，以中文文本为准。</w:t>
      </w:r>
    </w:p>
    <w:p>
      <w:pPr>
        <w:spacing w:line="360" w:lineRule="auto"/>
        <w:ind w:firstLine="480"/>
        <w:rPr>
          <w:color w:val="auto"/>
          <w:szCs w:val="21"/>
          <w:highlight w:val="none"/>
        </w:rPr>
      </w:pPr>
      <w:r>
        <w:rPr>
          <w:b/>
          <w:color w:val="auto"/>
          <w:szCs w:val="21"/>
          <w:highlight w:val="none"/>
        </w:rPr>
        <w:t>30.</w:t>
      </w:r>
      <w:r>
        <w:rPr>
          <w:rFonts w:hAnsi="宋体"/>
          <w:color w:val="auto"/>
          <w:szCs w:val="21"/>
          <w:highlight w:val="none"/>
        </w:rPr>
        <w:t>投标报价可以四舍五入到</w:t>
      </w:r>
      <w:r>
        <w:rPr>
          <w:color w:val="auto"/>
          <w:szCs w:val="21"/>
          <w:highlight w:val="none"/>
        </w:rPr>
        <w:t>“</w:t>
      </w:r>
      <w:r>
        <w:rPr>
          <w:rFonts w:hAnsi="宋体"/>
          <w:color w:val="auto"/>
          <w:szCs w:val="21"/>
          <w:highlight w:val="none"/>
        </w:rPr>
        <w:t>元</w:t>
      </w:r>
      <w:r>
        <w:rPr>
          <w:color w:val="auto"/>
          <w:szCs w:val="21"/>
          <w:highlight w:val="none"/>
        </w:rPr>
        <w:t>”</w:t>
      </w:r>
      <w:r>
        <w:rPr>
          <w:rFonts w:hAnsi="宋体"/>
          <w:color w:val="auto"/>
          <w:szCs w:val="21"/>
          <w:highlight w:val="none"/>
        </w:rPr>
        <w:t>。</w:t>
      </w:r>
    </w:p>
    <w:p>
      <w:pPr>
        <w:spacing w:line="360" w:lineRule="auto"/>
        <w:ind w:firstLine="480"/>
        <w:rPr>
          <w:color w:val="auto"/>
          <w:szCs w:val="21"/>
          <w:highlight w:val="none"/>
        </w:rPr>
      </w:pPr>
      <w:r>
        <w:rPr>
          <w:b/>
          <w:color w:val="auto"/>
          <w:szCs w:val="21"/>
          <w:highlight w:val="none"/>
        </w:rPr>
        <w:t>31.</w:t>
      </w:r>
      <w:r>
        <w:rPr>
          <w:rFonts w:hAnsi="宋体"/>
          <w:color w:val="auto"/>
          <w:szCs w:val="21"/>
          <w:highlight w:val="none"/>
        </w:rPr>
        <w:t>在投标文件的审查、澄清、评价和比较以及授予合同的过程中，投标人对招标人和评标组织成员施加影响的任何行为，都将导致取消其中标资格。</w:t>
      </w:r>
    </w:p>
    <w:p>
      <w:pPr>
        <w:widowControl/>
        <w:spacing w:line="360" w:lineRule="auto"/>
        <w:ind w:firstLine="422" w:firstLineChars="200"/>
        <w:rPr>
          <w:color w:val="auto"/>
          <w:szCs w:val="21"/>
          <w:highlight w:val="none"/>
        </w:rPr>
      </w:pPr>
      <w:r>
        <w:rPr>
          <w:b/>
          <w:color w:val="auto"/>
          <w:szCs w:val="21"/>
          <w:highlight w:val="none"/>
        </w:rPr>
        <w:t>32.</w:t>
      </w:r>
      <w:r>
        <w:rPr>
          <w:rFonts w:hAnsi="宋体"/>
          <w:color w:val="auto"/>
          <w:spacing w:val="-2"/>
          <w:szCs w:val="21"/>
          <w:highlight w:val="none"/>
        </w:rPr>
        <w:t>评标委员会在评标工作完成后，将在评标报告之外按照统一格式公布评标结果公开的内容，在中标结果公示的同时一并在</w:t>
      </w:r>
      <w:r>
        <w:rPr>
          <w:color w:val="auto"/>
          <w:spacing w:val="-2"/>
          <w:szCs w:val="21"/>
          <w:highlight w:val="none"/>
        </w:rPr>
        <w:t>“</w:t>
      </w:r>
      <w:r>
        <w:rPr>
          <w:rFonts w:hint="eastAsia" w:hAnsi="宋体"/>
          <w:b/>
          <w:bCs/>
          <w:color w:val="auto"/>
          <w:szCs w:val="21"/>
          <w:highlight w:val="none"/>
          <w:lang w:val="en-US" w:eastAsia="zh-CN"/>
        </w:rPr>
        <w:t>南通市保安服务有限公司官网</w:t>
      </w:r>
      <w:r>
        <w:rPr>
          <w:color w:val="auto"/>
          <w:spacing w:val="-2"/>
          <w:szCs w:val="21"/>
          <w:highlight w:val="none"/>
        </w:rPr>
        <w:t>”</w:t>
      </w:r>
      <w:r>
        <w:rPr>
          <w:rFonts w:hint="eastAsia"/>
          <w:color w:val="auto"/>
          <w:spacing w:val="-2"/>
          <w:szCs w:val="21"/>
          <w:highlight w:val="none"/>
          <w:lang w:val="en-US" w:eastAsia="zh-CN"/>
        </w:rPr>
        <w:t>公示</w:t>
      </w:r>
      <w:r>
        <w:rPr>
          <w:rFonts w:hAnsi="宋体"/>
          <w:color w:val="auto"/>
          <w:spacing w:val="-2"/>
          <w:szCs w:val="21"/>
          <w:highlight w:val="none"/>
        </w:rPr>
        <w:t>，公布的时间为三日</w:t>
      </w:r>
      <w:r>
        <w:rPr>
          <w:rFonts w:hAnsi="宋体"/>
          <w:color w:val="auto"/>
          <w:szCs w:val="21"/>
          <w:highlight w:val="none"/>
        </w:rPr>
        <w:t>。</w:t>
      </w:r>
    </w:p>
    <w:p>
      <w:pPr>
        <w:pStyle w:val="4"/>
        <w:jc w:val="center"/>
        <w:rPr>
          <w:rFonts w:ascii="Times New Roman" w:hAnsi="Times New Roman" w:eastAsia="宋体"/>
          <w:color w:val="auto"/>
          <w:sz w:val="30"/>
          <w:highlight w:val="none"/>
        </w:rPr>
      </w:pPr>
      <w:r>
        <w:rPr>
          <w:rFonts w:ascii="Times New Roman" w:hAnsi="宋体" w:eastAsia="宋体"/>
          <w:color w:val="auto"/>
          <w:sz w:val="30"/>
          <w:highlight w:val="none"/>
        </w:rPr>
        <w:t>（七）授予合同</w:t>
      </w:r>
    </w:p>
    <w:p>
      <w:pPr>
        <w:spacing w:line="480" w:lineRule="exact"/>
        <w:ind w:firstLine="420" w:firstLineChars="200"/>
        <w:jc w:val="left"/>
        <w:rPr>
          <w:bCs/>
          <w:color w:val="auto"/>
          <w:szCs w:val="21"/>
          <w:highlight w:val="none"/>
        </w:rPr>
      </w:pPr>
      <w:bookmarkStart w:id="29" w:name="_Toc404159959"/>
      <w:bookmarkStart w:id="30" w:name="_Toc465181335"/>
      <w:r>
        <w:rPr>
          <w:bCs/>
          <w:color w:val="auto"/>
          <w:szCs w:val="21"/>
          <w:highlight w:val="none"/>
        </w:rPr>
        <w:t>3</w:t>
      </w:r>
      <w:r>
        <w:rPr>
          <w:rFonts w:hint="eastAsia"/>
          <w:bCs/>
          <w:color w:val="auto"/>
          <w:szCs w:val="21"/>
          <w:highlight w:val="none"/>
          <w:lang w:val="en-US" w:eastAsia="zh-CN"/>
        </w:rPr>
        <w:t>3</w:t>
      </w:r>
      <w:r>
        <w:rPr>
          <w:rFonts w:hint="eastAsia"/>
          <w:bCs/>
          <w:color w:val="auto"/>
          <w:szCs w:val="21"/>
          <w:highlight w:val="none"/>
        </w:rPr>
        <w:t>、中标人需在中标公示后中标通知书发放前，及时向招标人提供招标项目的项目部组成人员表，招标人按合同相关要求对其人员进行考核。如若招标人项目组成人员不到位或考核不合格，招标人有权要求中标人其更换人员并按合同相关条款进行处罚。</w:t>
      </w:r>
    </w:p>
    <w:p>
      <w:pPr>
        <w:spacing w:line="480" w:lineRule="exact"/>
        <w:ind w:firstLine="420" w:firstLineChars="200"/>
        <w:jc w:val="left"/>
        <w:rPr>
          <w:bCs/>
          <w:color w:val="auto"/>
          <w:szCs w:val="21"/>
          <w:highlight w:val="none"/>
        </w:rPr>
      </w:pPr>
      <w:r>
        <w:rPr>
          <w:rFonts w:hint="eastAsia"/>
          <w:bCs/>
          <w:color w:val="auto"/>
          <w:szCs w:val="21"/>
          <w:highlight w:val="none"/>
        </w:rPr>
        <w:t>3</w:t>
      </w:r>
      <w:r>
        <w:rPr>
          <w:rFonts w:hint="eastAsia"/>
          <w:bCs/>
          <w:color w:val="auto"/>
          <w:szCs w:val="21"/>
          <w:highlight w:val="none"/>
          <w:lang w:val="en-US" w:eastAsia="zh-CN"/>
        </w:rPr>
        <w:t>4、</w:t>
      </w:r>
      <w:r>
        <w:rPr>
          <w:bCs/>
          <w:color w:val="auto"/>
          <w:szCs w:val="21"/>
          <w:highlight w:val="none"/>
        </w:rPr>
        <w:t>招标人和中标人应当自中标通知书发出之日起</w:t>
      </w:r>
      <w:r>
        <w:rPr>
          <w:rFonts w:hint="eastAsia"/>
          <w:bCs/>
          <w:color w:val="auto"/>
          <w:szCs w:val="21"/>
          <w:highlight w:val="none"/>
        </w:rPr>
        <w:t>30</w:t>
      </w:r>
      <w:r>
        <w:rPr>
          <w:bCs/>
          <w:color w:val="auto"/>
          <w:szCs w:val="21"/>
          <w:highlight w:val="none"/>
        </w:rPr>
        <w:t>日内，按照本招标文件和中标人的投标文件订立书面合同。招标人和中标人不得再订立背离合同实质性内容的其他协议。</w:t>
      </w:r>
    </w:p>
    <w:p>
      <w:pPr>
        <w:spacing w:line="480" w:lineRule="exact"/>
        <w:ind w:firstLine="420" w:firstLineChars="200"/>
        <w:jc w:val="left"/>
        <w:rPr>
          <w:bCs/>
          <w:color w:val="auto"/>
          <w:szCs w:val="21"/>
          <w:highlight w:val="none"/>
        </w:rPr>
      </w:pPr>
      <w:r>
        <w:rPr>
          <w:bCs/>
          <w:color w:val="auto"/>
          <w:szCs w:val="21"/>
          <w:highlight w:val="none"/>
        </w:rPr>
        <w:t>3</w:t>
      </w:r>
      <w:r>
        <w:rPr>
          <w:rFonts w:hint="eastAsia"/>
          <w:bCs/>
          <w:color w:val="auto"/>
          <w:szCs w:val="21"/>
          <w:highlight w:val="none"/>
          <w:lang w:val="en-US" w:eastAsia="zh-CN"/>
        </w:rPr>
        <w:t>5</w:t>
      </w:r>
      <w:r>
        <w:rPr>
          <w:rFonts w:hint="eastAsia"/>
          <w:bCs/>
          <w:color w:val="auto"/>
          <w:szCs w:val="21"/>
          <w:highlight w:val="none"/>
        </w:rPr>
        <w:t>、</w:t>
      </w:r>
      <w:r>
        <w:rPr>
          <w:bCs/>
          <w:color w:val="auto"/>
          <w:szCs w:val="21"/>
          <w:highlight w:val="none"/>
        </w:rPr>
        <w:t>中标通知书发出</w:t>
      </w:r>
      <w:r>
        <w:rPr>
          <w:rFonts w:hint="eastAsia"/>
          <w:bCs/>
          <w:color w:val="auto"/>
          <w:szCs w:val="21"/>
          <w:highlight w:val="none"/>
        </w:rPr>
        <w:t>前</w:t>
      </w:r>
      <w:r>
        <w:rPr>
          <w:bCs/>
          <w:color w:val="auto"/>
          <w:szCs w:val="21"/>
          <w:highlight w:val="none"/>
        </w:rPr>
        <w:t>，中标人应按本须知前附表第21项规定的金额向招标人提交履约担保，担保的形式为银行转账，不接受银行保函。</w:t>
      </w:r>
    </w:p>
    <w:p>
      <w:pPr>
        <w:spacing w:line="480" w:lineRule="exact"/>
        <w:ind w:firstLine="420" w:firstLineChars="200"/>
        <w:jc w:val="left"/>
        <w:rPr>
          <w:bCs/>
          <w:color w:val="auto"/>
          <w:szCs w:val="21"/>
          <w:highlight w:val="none"/>
        </w:rPr>
      </w:pPr>
      <w:r>
        <w:rPr>
          <w:bCs/>
          <w:color w:val="auto"/>
          <w:szCs w:val="21"/>
          <w:highlight w:val="none"/>
        </w:rPr>
        <w:t>3</w:t>
      </w:r>
      <w:r>
        <w:rPr>
          <w:rFonts w:hint="eastAsia"/>
          <w:bCs/>
          <w:color w:val="auto"/>
          <w:szCs w:val="21"/>
          <w:highlight w:val="none"/>
          <w:lang w:val="en-US" w:eastAsia="zh-CN"/>
        </w:rPr>
        <w:t>6</w:t>
      </w:r>
      <w:r>
        <w:rPr>
          <w:rFonts w:hint="eastAsia"/>
          <w:bCs/>
          <w:color w:val="auto"/>
          <w:szCs w:val="21"/>
          <w:highlight w:val="none"/>
        </w:rPr>
        <w:t>、</w:t>
      </w:r>
      <w:r>
        <w:rPr>
          <w:bCs/>
          <w:color w:val="auto"/>
          <w:szCs w:val="21"/>
          <w:highlight w:val="none"/>
        </w:rPr>
        <w:t>若中标人不能按本须知第</w:t>
      </w:r>
      <w:r>
        <w:rPr>
          <w:rFonts w:hint="eastAsia"/>
          <w:bCs/>
          <w:color w:val="auto"/>
          <w:szCs w:val="21"/>
          <w:highlight w:val="none"/>
          <w:lang w:val="en-US" w:eastAsia="zh-CN"/>
        </w:rPr>
        <w:t>33</w:t>
      </w:r>
      <w:r>
        <w:rPr>
          <w:bCs/>
          <w:color w:val="auto"/>
          <w:szCs w:val="21"/>
          <w:highlight w:val="none"/>
        </w:rPr>
        <w:t>条、3</w:t>
      </w:r>
      <w:r>
        <w:rPr>
          <w:rFonts w:hint="eastAsia"/>
          <w:bCs/>
          <w:color w:val="auto"/>
          <w:szCs w:val="21"/>
          <w:highlight w:val="none"/>
          <w:lang w:val="en-US" w:eastAsia="zh-CN"/>
        </w:rPr>
        <w:t>4</w:t>
      </w:r>
      <w:r>
        <w:rPr>
          <w:bCs/>
          <w:color w:val="auto"/>
          <w:szCs w:val="21"/>
          <w:highlight w:val="none"/>
        </w:rPr>
        <w:t>条款</w:t>
      </w:r>
      <w:r>
        <w:rPr>
          <w:rFonts w:hint="eastAsia"/>
          <w:bCs/>
          <w:color w:val="auto"/>
          <w:szCs w:val="21"/>
          <w:highlight w:val="none"/>
        </w:rPr>
        <w:t>、</w:t>
      </w:r>
      <w:r>
        <w:rPr>
          <w:bCs/>
          <w:color w:val="auto"/>
          <w:szCs w:val="21"/>
          <w:highlight w:val="none"/>
        </w:rPr>
        <w:t>第3</w:t>
      </w:r>
      <w:r>
        <w:rPr>
          <w:rFonts w:hint="eastAsia"/>
          <w:bCs/>
          <w:color w:val="auto"/>
          <w:szCs w:val="21"/>
          <w:highlight w:val="none"/>
          <w:lang w:val="en-US" w:eastAsia="zh-CN"/>
        </w:rPr>
        <w:t>5</w:t>
      </w:r>
      <w:r>
        <w:rPr>
          <w:bCs/>
          <w:color w:val="auto"/>
          <w:szCs w:val="21"/>
          <w:highlight w:val="none"/>
        </w:rPr>
        <w:t>的规定执行，招标人将有充分的理由认为中标人放弃中标项目及签订合同的权利，并没收其投标保证金，中标人的行为给招标人造成损失超过投标保证金数额的，还应当对超过部分予以赔偿。招标人可以按照评标委员会提出的中标候选人名单排序依次确定其他中标候选人为中标人，也可以重新招标。</w:t>
      </w:r>
    </w:p>
    <w:p>
      <w:pPr>
        <w:spacing w:line="480" w:lineRule="exact"/>
        <w:ind w:firstLine="420" w:firstLineChars="200"/>
        <w:jc w:val="left"/>
        <w:rPr>
          <w:bCs/>
          <w:color w:val="auto"/>
          <w:szCs w:val="21"/>
          <w:highlight w:val="none"/>
        </w:rPr>
      </w:pPr>
      <w:r>
        <w:rPr>
          <w:bCs/>
          <w:color w:val="auto"/>
          <w:szCs w:val="21"/>
          <w:highlight w:val="none"/>
        </w:rPr>
        <w:t>3</w:t>
      </w:r>
      <w:r>
        <w:rPr>
          <w:rFonts w:hint="eastAsia"/>
          <w:bCs/>
          <w:color w:val="auto"/>
          <w:szCs w:val="21"/>
          <w:highlight w:val="none"/>
          <w:lang w:val="en-US" w:eastAsia="zh-CN"/>
        </w:rPr>
        <w:t>7</w:t>
      </w:r>
      <w:r>
        <w:rPr>
          <w:rFonts w:hint="eastAsia"/>
          <w:bCs/>
          <w:color w:val="auto"/>
          <w:szCs w:val="21"/>
          <w:highlight w:val="none"/>
        </w:rPr>
        <w:t>、</w:t>
      </w:r>
      <w:r>
        <w:rPr>
          <w:bCs/>
          <w:color w:val="auto"/>
          <w:szCs w:val="21"/>
          <w:highlight w:val="none"/>
        </w:rPr>
        <w:t>中标人在中标后或施工期间不得随意变更中标项目负责人。如果出现特殊情况，确需更换的，应当经招标人同意。</w:t>
      </w:r>
    </w:p>
    <w:p>
      <w:pPr>
        <w:spacing w:line="360" w:lineRule="auto"/>
        <w:rPr>
          <w:rFonts w:ascii="宋体" w:hAnsi="宋体"/>
          <w:color w:val="auto"/>
          <w:sz w:val="24"/>
          <w:highlight w:val="none"/>
        </w:rPr>
      </w:pPr>
    </w:p>
    <w:p>
      <w:pPr>
        <w:spacing w:line="360" w:lineRule="auto"/>
        <w:rPr>
          <w:rFonts w:ascii="宋体" w:hAnsi="宋体"/>
          <w:color w:val="auto"/>
          <w:sz w:val="24"/>
          <w:highlight w:val="none"/>
        </w:rPr>
      </w:pPr>
    </w:p>
    <w:p>
      <w:pPr>
        <w:spacing w:line="360" w:lineRule="auto"/>
        <w:rPr>
          <w:rFonts w:ascii="宋体" w:hAnsi="宋体"/>
          <w:color w:val="auto"/>
          <w:sz w:val="24"/>
          <w:highlight w:val="none"/>
        </w:rPr>
      </w:pPr>
    </w:p>
    <w:p>
      <w:pPr>
        <w:spacing w:line="360" w:lineRule="auto"/>
        <w:rPr>
          <w:rFonts w:ascii="宋体" w:hAnsi="宋体"/>
          <w:color w:val="auto"/>
          <w:sz w:val="24"/>
          <w:highlight w:val="none"/>
        </w:rPr>
      </w:pPr>
    </w:p>
    <w:p>
      <w:pPr>
        <w:jc w:val="center"/>
        <w:rPr>
          <w:rFonts w:hAnsi="宋体"/>
          <w:b/>
          <w:color w:val="auto"/>
          <w:sz w:val="24"/>
          <w:highlight w:val="none"/>
        </w:rPr>
      </w:pPr>
      <w:r>
        <w:rPr>
          <w:rFonts w:hAnsi="宋体"/>
          <w:b/>
          <w:color w:val="auto"/>
          <w:sz w:val="36"/>
          <w:szCs w:val="36"/>
          <w:highlight w:val="none"/>
        </w:rPr>
        <w:t>第二章评标办法</w:t>
      </w:r>
      <w:r>
        <w:rPr>
          <w:rFonts w:hAnsi="宋体"/>
          <w:b/>
          <w:color w:val="auto"/>
          <w:sz w:val="32"/>
          <w:szCs w:val="32"/>
          <w:highlight w:val="none"/>
        </w:rPr>
        <w:t>（</w:t>
      </w:r>
      <w:r>
        <w:rPr>
          <w:rFonts w:ascii="宋体" w:hAnsi="宋体"/>
          <w:b/>
          <w:bCs/>
          <w:kern w:val="44"/>
          <w:sz w:val="36"/>
          <w:szCs w:val="44"/>
        </w:rPr>
        <w:t>价格单因素评标办法</w:t>
      </w:r>
      <w:r>
        <w:rPr>
          <w:rFonts w:hAnsi="宋体"/>
          <w:b/>
          <w:color w:val="auto"/>
          <w:sz w:val="32"/>
          <w:szCs w:val="32"/>
          <w:highlight w:val="none"/>
        </w:rPr>
        <w:t>）</w:t>
      </w:r>
      <w:bookmarkEnd w:id="29"/>
      <w:bookmarkEnd w:id="30"/>
    </w:p>
    <w:p>
      <w:pPr>
        <w:spacing w:line="360" w:lineRule="auto"/>
        <w:ind w:firstLine="482"/>
        <w:rPr>
          <w:rFonts w:ascii="宋体" w:hAnsi="宋体"/>
          <w:b/>
          <w:bCs/>
          <w:kern w:val="0"/>
          <w:sz w:val="24"/>
        </w:rPr>
      </w:pPr>
      <w:r>
        <w:rPr>
          <w:rFonts w:hint="eastAsia" w:ascii="宋体" w:hAnsi="宋体" w:cs="仿宋_GB2312"/>
          <w:b/>
          <w:bCs/>
          <w:kern w:val="0"/>
          <w:sz w:val="24"/>
        </w:rPr>
        <w:t>一、本工程采用价格单因素评标办法，且采用资格后审，具体资格审查及评标细则如下：</w:t>
      </w:r>
    </w:p>
    <w:p>
      <w:pPr>
        <w:spacing w:line="360" w:lineRule="auto"/>
        <w:ind w:firstLine="482"/>
        <w:rPr>
          <w:rFonts w:ascii="宋体" w:hAnsi="宋体"/>
        </w:rPr>
      </w:pPr>
      <w:r>
        <w:rPr>
          <w:rFonts w:hint="eastAsia" w:ascii="宋体" w:hAnsi="宋体" w:cs="仿宋_GB2312"/>
          <w:kern w:val="0"/>
          <w:sz w:val="24"/>
        </w:rPr>
        <w:t>（一）评标程序</w:t>
      </w:r>
    </w:p>
    <w:p>
      <w:pPr>
        <w:widowControl/>
        <w:adjustRightInd w:val="0"/>
        <w:snapToGrid w:val="0"/>
        <w:spacing w:line="360" w:lineRule="auto"/>
        <w:ind w:firstLine="480" w:firstLineChars="200"/>
        <w:jc w:val="left"/>
        <w:rPr>
          <w:rFonts w:ascii="宋体" w:hAnsi="宋体"/>
          <w:b/>
          <w:bCs/>
          <w:kern w:val="0"/>
          <w:sz w:val="24"/>
        </w:rPr>
      </w:pPr>
      <w:r>
        <w:rPr>
          <w:rFonts w:hint="eastAsia" w:ascii="宋体" w:hAnsi="宋体" w:cs="宋体"/>
          <w:kern w:val="0"/>
          <w:sz w:val="24"/>
        </w:rPr>
        <w:t>资格符合性评审</w:t>
      </w:r>
      <w:r>
        <w:rPr>
          <w:rFonts w:ascii="宋体" w:hAnsi="宋体"/>
          <w:kern w:val="0"/>
          <w:sz w:val="24"/>
        </w:rPr>
        <w:t>→</w:t>
      </w:r>
      <w:r>
        <w:rPr>
          <w:rFonts w:hint="eastAsia" w:ascii="宋体" w:hAnsi="宋体" w:cs="宋体"/>
          <w:kern w:val="0"/>
          <w:sz w:val="24"/>
        </w:rPr>
        <w:t>商务标评审</w:t>
      </w:r>
      <w:r>
        <w:rPr>
          <w:rFonts w:ascii="宋体" w:hAnsi="宋体"/>
          <w:kern w:val="0"/>
          <w:sz w:val="24"/>
        </w:rPr>
        <w:t>→</w:t>
      </w:r>
      <w:r>
        <w:rPr>
          <w:rFonts w:hint="eastAsia" w:ascii="宋体" w:hAnsi="宋体" w:cs="宋体"/>
          <w:kern w:val="0"/>
          <w:sz w:val="24"/>
        </w:rPr>
        <w:t>确定中标候选人</w:t>
      </w:r>
    </w:p>
    <w:p>
      <w:pPr>
        <w:adjustRightInd w:val="0"/>
        <w:snapToGrid w:val="0"/>
        <w:spacing w:line="360" w:lineRule="auto"/>
        <w:ind w:firstLine="482"/>
        <w:rPr>
          <w:rFonts w:ascii="宋体" w:hAnsi="宋体"/>
          <w:b/>
          <w:bCs/>
          <w:kern w:val="0"/>
          <w:sz w:val="24"/>
        </w:rPr>
      </w:pPr>
      <w:r>
        <w:rPr>
          <w:rFonts w:ascii="宋体" w:hAnsi="宋体"/>
          <w:kern w:val="0"/>
          <w:sz w:val="24"/>
        </w:rPr>
        <w:t>（二）评审标准</w:t>
      </w:r>
    </w:p>
    <w:p>
      <w:pPr>
        <w:adjustRightInd w:val="0"/>
        <w:snapToGrid w:val="0"/>
        <w:spacing w:line="360" w:lineRule="auto"/>
        <w:ind w:firstLine="482"/>
        <w:rPr>
          <w:rFonts w:ascii="宋体" w:hAnsi="宋体"/>
          <w:b/>
          <w:bCs/>
          <w:kern w:val="0"/>
          <w:sz w:val="24"/>
        </w:rPr>
      </w:pPr>
      <w:r>
        <w:rPr>
          <w:rFonts w:ascii="宋体" w:hAnsi="宋体"/>
          <w:kern w:val="0"/>
          <w:sz w:val="24"/>
        </w:rPr>
        <w:t>评标委员会将按评审标准、资格评审标准的合格条件，对各投标人递交的资格审查书面资料进行评审，并公布资格审查合格者名单。</w:t>
      </w:r>
    </w:p>
    <w:p>
      <w:pPr>
        <w:widowControl/>
        <w:spacing w:line="360" w:lineRule="auto"/>
        <w:ind w:firstLine="480" w:firstLineChars="200"/>
        <w:jc w:val="left"/>
        <w:rPr>
          <w:rFonts w:ascii="宋体" w:hAnsi="宋体"/>
          <w:kern w:val="0"/>
          <w:sz w:val="24"/>
        </w:rPr>
      </w:pPr>
      <w:r>
        <w:rPr>
          <w:rFonts w:ascii="宋体" w:hAnsi="宋体"/>
          <w:kern w:val="0"/>
          <w:sz w:val="24"/>
        </w:rPr>
        <w:t>1、资格符合性评审</w:t>
      </w:r>
    </w:p>
    <w:p>
      <w:pPr>
        <w:widowControl/>
        <w:spacing w:line="360" w:lineRule="auto"/>
        <w:ind w:firstLine="482" w:firstLineChars="200"/>
        <w:jc w:val="center"/>
        <w:rPr>
          <w:rFonts w:ascii="宋体" w:hAnsi="宋体"/>
          <w:kern w:val="0"/>
          <w:sz w:val="24"/>
          <w:highlight w:val="none"/>
        </w:rPr>
      </w:pPr>
      <w:r>
        <w:rPr>
          <w:rFonts w:ascii="宋体" w:hAnsi="宋体"/>
          <w:b/>
          <w:sz w:val="24"/>
          <w:highlight w:val="none"/>
          <w:u w:val="single"/>
        </w:rPr>
        <w:t>资格审查标准汇总表</w:t>
      </w:r>
    </w:p>
    <w:tbl>
      <w:tblPr>
        <w:tblStyle w:val="57"/>
        <w:tblW w:w="9569" w:type="dxa"/>
        <w:jc w:val="center"/>
        <w:tblCellSpacing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52"/>
        <w:gridCol w:w="1800"/>
        <w:gridCol w:w="3369"/>
        <w:gridCol w:w="38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10" w:hRule="atLeast"/>
          <w:tblHeader/>
          <w:tblCellSpacing w:w="0" w:type="dxa"/>
          <w:jc w:val="center"/>
        </w:trPr>
        <w:tc>
          <w:tcPr>
            <w:tcW w:w="552" w:type="dxa"/>
            <w:vAlign w:val="center"/>
          </w:tcPr>
          <w:p>
            <w:pPr>
              <w:widowControl/>
              <w:spacing w:line="440" w:lineRule="exact"/>
              <w:jc w:val="center"/>
              <w:rPr>
                <w:rFonts w:ascii="宋体" w:hAnsi="宋体" w:cs="宋体"/>
                <w:b/>
                <w:color w:val="auto"/>
                <w:kern w:val="0"/>
                <w:sz w:val="21"/>
                <w:szCs w:val="21"/>
                <w:highlight w:val="none"/>
              </w:rPr>
            </w:pPr>
            <w:bookmarkStart w:id="31" w:name="OLE_LINK2"/>
            <w:r>
              <w:rPr>
                <w:rFonts w:hint="eastAsia" w:ascii="宋体" w:hAnsi="宋体" w:cs="宋体"/>
                <w:b/>
                <w:color w:val="auto"/>
                <w:kern w:val="0"/>
                <w:sz w:val="21"/>
                <w:szCs w:val="21"/>
                <w:highlight w:val="none"/>
              </w:rPr>
              <w:t>序号</w:t>
            </w:r>
          </w:p>
        </w:tc>
        <w:tc>
          <w:tcPr>
            <w:tcW w:w="1800" w:type="dxa"/>
            <w:vAlign w:val="center"/>
          </w:tcPr>
          <w:p>
            <w:pPr>
              <w:widowControl/>
              <w:spacing w:line="440" w:lineRule="exact"/>
              <w:jc w:val="center"/>
              <w:rPr>
                <w:rFonts w:ascii="宋体" w:hAnsi="宋体" w:cs="宋体"/>
                <w:b/>
                <w:color w:val="auto"/>
                <w:kern w:val="0"/>
                <w:sz w:val="21"/>
                <w:szCs w:val="21"/>
                <w:highlight w:val="none"/>
              </w:rPr>
            </w:pPr>
            <w:r>
              <w:rPr>
                <w:rFonts w:hint="eastAsia" w:ascii="宋体" w:hAnsi="宋体" w:cs="宋体"/>
                <w:b/>
                <w:color w:val="auto"/>
                <w:kern w:val="0"/>
                <w:sz w:val="21"/>
                <w:szCs w:val="21"/>
                <w:highlight w:val="none"/>
              </w:rPr>
              <w:t>项目内容</w:t>
            </w:r>
          </w:p>
        </w:tc>
        <w:tc>
          <w:tcPr>
            <w:tcW w:w="3369" w:type="dxa"/>
            <w:vAlign w:val="center"/>
          </w:tcPr>
          <w:p>
            <w:pPr>
              <w:widowControl/>
              <w:spacing w:line="440" w:lineRule="exact"/>
              <w:jc w:val="center"/>
              <w:rPr>
                <w:rFonts w:ascii="宋体" w:hAnsi="宋体" w:cs="宋体"/>
                <w:b/>
                <w:color w:val="auto"/>
                <w:kern w:val="0"/>
                <w:sz w:val="21"/>
                <w:szCs w:val="21"/>
                <w:highlight w:val="none"/>
              </w:rPr>
            </w:pPr>
            <w:r>
              <w:rPr>
                <w:rFonts w:hint="eastAsia" w:ascii="宋体" w:hAnsi="宋体" w:cs="宋体"/>
                <w:b/>
                <w:color w:val="auto"/>
                <w:kern w:val="0"/>
                <w:sz w:val="21"/>
                <w:szCs w:val="21"/>
                <w:highlight w:val="none"/>
              </w:rPr>
              <w:t>合格条件</w:t>
            </w:r>
          </w:p>
        </w:tc>
        <w:tc>
          <w:tcPr>
            <w:tcW w:w="3848" w:type="dxa"/>
            <w:vAlign w:val="center"/>
          </w:tcPr>
          <w:p>
            <w:pPr>
              <w:widowControl/>
              <w:spacing w:line="440" w:lineRule="exact"/>
              <w:jc w:val="center"/>
              <w:rPr>
                <w:rFonts w:ascii="宋体" w:hAnsi="宋体" w:cs="宋体"/>
                <w:b/>
                <w:color w:val="auto"/>
                <w:kern w:val="0"/>
                <w:sz w:val="21"/>
                <w:szCs w:val="21"/>
                <w:highlight w:val="none"/>
              </w:rPr>
            </w:pPr>
            <w:r>
              <w:rPr>
                <w:rFonts w:hint="eastAsia" w:ascii="宋体" w:hAnsi="宋体" w:cs="宋体"/>
                <w:b/>
                <w:color w:val="auto"/>
                <w:kern w:val="0"/>
                <w:sz w:val="21"/>
                <w:szCs w:val="21"/>
                <w:highlight w:val="none"/>
              </w:rPr>
              <w:t>投标人需提供的材料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7" w:hRule="atLeast"/>
          <w:tblCellSpacing w:w="0" w:type="dxa"/>
          <w:jc w:val="center"/>
        </w:trPr>
        <w:tc>
          <w:tcPr>
            <w:tcW w:w="552" w:type="dxa"/>
            <w:vAlign w:val="center"/>
          </w:tcPr>
          <w:p>
            <w:pPr>
              <w:widowControl/>
              <w:spacing w:line="440" w:lineRule="exact"/>
              <w:jc w:val="center"/>
              <w:rPr>
                <w:rFonts w:ascii="宋体" w:hAnsi="宋体" w:cs="宋体"/>
                <w:color w:val="auto"/>
                <w:kern w:val="0"/>
                <w:sz w:val="21"/>
                <w:szCs w:val="21"/>
                <w:highlight w:val="none"/>
              </w:rPr>
            </w:pPr>
            <w:r>
              <w:rPr>
                <w:rFonts w:hint="eastAsia" w:ascii="宋体" w:hAnsi="宋体" w:cs="宋体"/>
                <w:color w:val="auto"/>
                <w:kern w:val="0"/>
                <w:sz w:val="21"/>
                <w:szCs w:val="21"/>
                <w:highlight w:val="none"/>
              </w:rPr>
              <w:t>1</w:t>
            </w:r>
          </w:p>
        </w:tc>
        <w:tc>
          <w:tcPr>
            <w:tcW w:w="1800" w:type="dxa"/>
            <w:vAlign w:val="center"/>
          </w:tcPr>
          <w:p>
            <w:pPr>
              <w:widowControl/>
              <w:spacing w:line="440" w:lineRule="exact"/>
              <w:ind w:left="105" w:leftChars="50"/>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lang w:val="zh-CN"/>
              </w:rPr>
              <w:t>法定代表人身份证明</w:t>
            </w:r>
          </w:p>
        </w:tc>
        <w:tc>
          <w:tcPr>
            <w:tcW w:w="3369" w:type="dxa"/>
            <w:vAlign w:val="center"/>
          </w:tcPr>
          <w:p>
            <w:pPr>
              <w:widowControl/>
              <w:spacing w:line="440" w:lineRule="exact"/>
              <w:ind w:left="105" w:leftChars="50"/>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lang w:val="zh-CN"/>
              </w:rPr>
              <w:t>有效的法定代表人身份证明书</w:t>
            </w:r>
          </w:p>
        </w:tc>
        <w:tc>
          <w:tcPr>
            <w:tcW w:w="3848" w:type="dxa"/>
            <w:vAlign w:val="center"/>
          </w:tcPr>
          <w:p>
            <w:pPr>
              <w:widowControl/>
              <w:spacing w:line="440" w:lineRule="exact"/>
              <w:ind w:left="105" w:leftChars="50"/>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lang w:val="zh-CN"/>
              </w:rPr>
              <w:t>法定代表人身份证明书</w:t>
            </w:r>
            <w:r>
              <w:rPr>
                <w:rFonts w:hint="eastAsia" w:ascii="宋体" w:hAnsi="宋体" w:cs="宋体"/>
                <w:color w:val="auto"/>
                <w:kern w:val="0"/>
                <w:sz w:val="21"/>
                <w:szCs w:val="21"/>
                <w:highlight w:val="none"/>
              </w:rPr>
              <w:t>原件</w:t>
            </w:r>
            <w:r>
              <w:rPr>
                <w:rFonts w:hint="eastAsia" w:ascii="宋体" w:hAnsi="宋体" w:cs="宋体"/>
                <w:color w:val="auto"/>
                <w:kern w:val="0"/>
                <w:sz w:val="21"/>
                <w:szCs w:val="21"/>
                <w:highlight w:val="none"/>
                <w:lang w:val="zh-CN"/>
              </w:rPr>
              <w:t>（格式见第</w:t>
            </w:r>
            <w:r>
              <w:rPr>
                <w:rFonts w:hint="eastAsia" w:ascii="宋体" w:hAnsi="宋体" w:cs="宋体"/>
                <w:color w:val="auto"/>
                <w:kern w:val="0"/>
                <w:sz w:val="21"/>
                <w:szCs w:val="21"/>
                <w:highlight w:val="none"/>
              </w:rPr>
              <w:t>七</w:t>
            </w:r>
            <w:r>
              <w:rPr>
                <w:rFonts w:hint="eastAsia" w:ascii="宋体" w:hAnsi="宋体" w:cs="宋体"/>
                <w:color w:val="auto"/>
                <w:kern w:val="0"/>
                <w:sz w:val="21"/>
                <w:szCs w:val="21"/>
                <w:highlight w:val="none"/>
                <w:lang w:val="zh-CN"/>
              </w:rPr>
              <w:t>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7" w:hRule="atLeast"/>
          <w:tblCellSpacing w:w="0" w:type="dxa"/>
          <w:jc w:val="center"/>
        </w:trPr>
        <w:tc>
          <w:tcPr>
            <w:tcW w:w="552" w:type="dxa"/>
            <w:vAlign w:val="center"/>
          </w:tcPr>
          <w:p>
            <w:pPr>
              <w:widowControl/>
              <w:spacing w:line="440" w:lineRule="exact"/>
              <w:jc w:val="center"/>
              <w:rPr>
                <w:rFonts w:ascii="宋体" w:hAnsi="宋体" w:cs="宋体"/>
                <w:color w:val="auto"/>
                <w:kern w:val="0"/>
                <w:sz w:val="21"/>
                <w:szCs w:val="21"/>
                <w:highlight w:val="none"/>
              </w:rPr>
            </w:pPr>
            <w:r>
              <w:rPr>
                <w:rFonts w:hint="eastAsia" w:ascii="宋体" w:hAnsi="宋体" w:cs="宋体"/>
                <w:color w:val="auto"/>
                <w:kern w:val="0"/>
                <w:sz w:val="21"/>
                <w:szCs w:val="21"/>
                <w:highlight w:val="none"/>
              </w:rPr>
              <w:t>2</w:t>
            </w:r>
          </w:p>
        </w:tc>
        <w:tc>
          <w:tcPr>
            <w:tcW w:w="1800" w:type="dxa"/>
            <w:vAlign w:val="center"/>
          </w:tcPr>
          <w:p>
            <w:pPr>
              <w:widowControl/>
              <w:spacing w:line="440" w:lineRule="exact"/>
              <w:ind w:left="105" w:leftChars="50"/>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lang w:val="zh-CN"/>
              </w:rPr>
              <w:t>授权委托书（如有授权）</w:t>
            </w:r>
          </w:p>
        </w:tc>
        <w:tc>
          <w:tcPr>
            <w:tcW w:w="3369" w:type="dxa"/>
            <w:vAlign w:val="center"/>
          </w:tcPr>
          <w:p>
            <w:pPr>
              <w:widowControl/>
              <w:spacing w:line="440" w:lineRule="exact"/>
              <w:ind w:left="105" w:leftChars="50"/>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lang w:val="zh-CN"/>
              </w:rPr>
              <w:t>有效的授权委托书</w:t>
            </w:r>
          </w:p>
        </w:tc>
        <w:tc>
          <w:tcPr>
            <w:tcW w:w="3848" w:type="dxa"/>
            <w:vAlign w:val="center"/>
          </w:tcPr>
          <w:p>
            <w:pPr>
              <w:widowControl/>
              <w:spacing w:line="440" w:lineRule="exact"/>
              <w:ind w:left="105" w:leftChars="50"/>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lang w:val="zh-CN"/>
              </w:rPr>
              <w:t>授权委托书</w:t>
            </w:r>
            <w:r>
              <w:rPr>
                <w:rFonts w:hint="eastAsia" w:ascii="宋体" w:hAnsi="宋体" w:cs="宋体"/>
                <w:color w:val="auto"/>
                <w:kern w:val="0"/>
                <w:sz w:val="21"/>
                <w:szCs w:val="21"/>
                <w:highlight w:val="none"/>
              </w:rPr>
              <w:t>原件</w:t>
            </w:r>
            <w:r>
              <w:rPr>
                <w:rFonts w:hint="eastAsia" w:ascii="宋体" w:hAnsi="宋体" w:cs="宋体"/>
                <w:color w:val="auto"/>
                <w:kern w:val="0"/>
                <w:sz w:val="21"/>
                <w:szCs w:val="21"/>
                <w:highlight w:val="none"/>
                <w:lang w:val="zh-CN"/>
              </w:rPr>
              <w:t>（</w:t>
            </w:r>
            <w:r>
              <w:rPr>
                <w:rFonts w:hint="eastAsia" w:ascii="宋体" w:hAnsi="宋体" w:cs="宋体"/>
                <w:color w:val="auto"/>
                <w:kern w:val="0"/>
                <w:sz w:val="21"/>
                <w:szCs w:val="21"/>
                <w:highlight w:val="none"/>
              </w:rPr>
              <w:t>如有，</w:t>
            </w:r>
            <w:r>
              <w:rPr>
                <w:rFonts w:hint="eastAsia" w:ascii="宋体" w:hAnsi="宋体" w:cs="宋体"/>
                <w:color w:val="auto"/>
                <w:kern w:val="0"/>
                <w:sz w:val="21"/>
                <w:szCs w:val="21"/>
                <w:highlight w:val="none"/>
                <w:lang w:val="zh-CN"/>
              </w:rPr>
              <w:t>格式见第</w:t>
            </w:r>
            <w:r>
              <w:rPr>
                <w:rFonts w:hint="eastAsia" w:ascii="宋体" w:hAnsi="宋体" w:cs="宋体"/>
                <w:color w:val="auto"/>
                <w:kern w:val="0"/>
                <w:sz w:val="21"/>
                <w:szCs w:val="21"/>
                <w:highlight w:val="none"/>
              </w:rPr>
              <w:t>七</w:t>
            </w:r>
            <w:r>
              <w:rPr>
                <w:rFonts w:hint="eastAsia" w:ascii="宋体" w:hAnsi="宋体" w:cs="宋体"/>
                <w:color w:val="auto"/>
                <w:kern w:val="0"/>
                <w:sz w:val="21"/>
                <w:szCs w:val="21"/>
                <w:highlight w:val="none"/>
                <w:lang w:val="zh-CN"/>
              </w:rPr>
              <w:t>章）</w:t>
            </w:r>
          </w:p>
        </w:tc>
      </w:tr>
      <w:bookmarkEnd w:id="31"/>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7" w:hRule="atLeast"/>
          <w:tblCellSpacing w:w="0" w:type="dxa"/>
          <w:jc w:val="center"/>
        </w:trPr>
        <w:tc>
          <w:tcPr>
            <w:tcW w:w="552" w:type="dxa"/>
            <w:vAlign w:val="center"/>
          </w:tcPr>
          <w:p>
            <w:pPr>
              <w:widowControl/>
              <w:spacing w:line="440" w:lineRule="exact"/>
              <w:jc w:val="center"/>
              <w:rPr>
                <w:rFonts w:ascii="宋体" w:hAnsi="宋体" w:cs="宋体"/>
                <w:color w:val="auto"/>
                <w:kern w:val="0"/>
                <w:sz w:val="21"/>
                <w:szCs w:val="21"/>
                <w:highlight w:val="none"/>
              </w:rPr>
            </w:pPr>
            <w:r>
              <w:rPr>
                <w:rFonts w:hint="eastAsia" w:ascii="宋体" w:hAnsi="宋体" w:cs="宋体"/>
                <w:color w:val="auto"/>
                <w:kern w:val="0"/>
                <w:sz w:val="21"/>
                <w:szCs w:val="21"/>
                <w:highlight w:val="none"/>
              </w:rPr>
              <w:t>3</w:t>
            </w:r>
          </w:p>
        </w:tc>
        <w:tc>
          <w:tcPr>
            <w:tcW w:w="1800"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具有独立订立合同的能力</w:t>
            </w:r>
          </w:p>
        </w:tc>
        <w:tc>
          <w:tcPr>
            <w:tcW w:w="3369"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有效的工商行政管理部门颁发的法人营业执照</w:t>
            </w:r>
          </w:p>
        </w:tc>
        <w:tc>
          <w:tcPr>
            <w:tcW w:w="3848"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有效的企业营业执照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13" w:hRule="atLeast"/>
          <w:tblCellSpacing w:w="0" w:type="dxa"/>
          <w:jc w:val="center"/>
        </w:trPr>
        <w:tc>
          <w:tcPr>
            <w:tcW w:w="552" w:type="dxa"/>
            <w:vAlign w:val="center"/>
          </w:tcPr>
          <w:p>
            <w:pPr>
              <w:widowControl/>
              <w:spacing w:line="440" w:lineRule="exact"/>
              <w:jc w:val="center"/>
              <w:rPr>
                <w:rFonts w:ascii="宋体" w:hAnsi="宋体" w:cs="宋体"/>
                <w:color w:val="auto"/>
                <w:kern w:val="0"/>
                <w:sz w:val="21"/>
                <w:szCs w:val="21"/>
                <w:highlight w:val="none"/>
              </w:rPr>
            </w:pPr>
            <w:r>
              <w:rPr>
                <w:rFonts w:hint="eastAsia" w:ascii="宋体" w:hAnsi="宋体" w:cs="宋体"/>
                <w:color w:val="auto"/>
                <w:kern w:val="0"/>
                <w:sz w:val="21"/>
                <w:szCs w:val="21"/>
                <w:highlight w:val="none"/>
              </w:rPr>
              <w:t>4</w:t>
            </w:r>
          </w:p>
        </w:tc>
        <w:tc>
          <w:tcPr>
            <w:tcW w:w="1800"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企业资质类别等级</w:t>
            </w:r>
          </w:p>
        </w:tc>
        <w:tc>
          <w:tcPr>
            <w:tcW w:w="3369" w:type="dxa"/>
            <w:vAlign w:val="center"/>
          </w:tcPr>
          <w:p>
            <w:pPr>
              <w:widowControl/>
              <w:spacing w:line="440" w:lineRule="exact"/>
              <w:jc w:val="left"/>
              <w:rPr>
                <w:rFonts w:ascii="宋体" w:hAnsi="宋体" w:cs="宋体"/>
                <w:color w:val="auto"/>
                <w:kern w:val="0"/>
                <w:sz w:val="21"/>
                <w:szCs w:val="21"/>
                <w:highlight w:val="none"/>
                <w:u w:val="single"/>
              </w:rPr>
            </w:pPr>
            <w:r>
              <w:rPr>
                <w:rFonts w:hint="eastAsia" w:ascii="宋体" w:hAnsi="宋体" w:cs="宋体"/>
                <w:color w:val="auto"/>
                <w:kern w:val="0"/>
                <w:sz w:val="21"/>
                <w:szCs w:val="21"/>
                <w:highlight w:val="none"/>
                <w:lang w:val="en-US" w:eastAsia="zh-CN"/>
              </w:rPr>
              <w:t>有效的</w:t>
            </w:r>
            <w:r>
              <w:rPr>
                <w:rFonts w:hint="eastAsia" w:ascii="宋体" w:hAnsi="宋体" w:cs="宋体"/>
                <w:color w:val="auto"/>
                <w:kern w:val="0"/>
                <w:sz w:val="21"/>
                <w:szCs w:val="21"/>
                <w:highlight w:val="none"/>
              </w:rPr>
              <w:t>消防设施工程专业承包贰级及以上资质</w:t>
            </w:r>
          </w:p>
        </w:tc>
        <w:tc>
          <w:tcPr>
            <w:tcW w:w="3848"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有效期内的企业资质证书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13" w:hRule="atLeast"/>
          <w:tblCellSpacing w:w="0" w:type="dxa"/>
          <w:jc w:val="center"/>
        </w:trPr>
        <w:tc>
          <w:tcPr>
            <w:tcW w:w="552" w:type="dxa"/>
            <w:vAlign w:val="center"/>
          </w:tcPr>
          <w:p>
            <w:pPr>
              <w:widowControl/>
              <w:spacing w:line="440" w:lineRule="exact"/>
              <w:jc w:val="center"/>
              <w:rPr>
                <w:rFonts w:ascii="宋体" w:hAnsi="宋体" w:cs="宋体"/>
                <w:color w:val="auto"/>
                <w:kern w:val="0"/>
                <w:sz w:val="21"/>
                <w:szCs w:val="21"/>
                <w:highlight w:val="none"/>
              </w:rPr>
            </w:pPr>
            <w:r>
              <w:rPr>
                <w:rFonts w:hint="eastAsia" w:ascii="宋体" w:hAnsi="宋体" w:cs="宋体"/>
                <w:color w:val="auto"/>
                <w:kern w:val="0"/>
                <w:sz w:val="21"/>
                <w:szCs w:val="21"/>
                <w:highlight w:val="none"/>
              </w:rPr>
              <w:t>5</w:t>
            </w:r>
          </w:p>
        </w:tc>
        <w:tc>
          <w:tcPr>
            <w:tcW w:w="1800"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企业安全生产许可证</w:t>
            </w:r>
          </w:p>
        </w:tc>
        <w:tc>
          <w:tcPr>
            <w:tcW w:w="3369"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企业具备安全产生条件，并取得安全生产许可证。</w:t>
            </w:r>
          </w:p>
        </w:tc>
        <w:tc>
          <w:tcPr>
            <w:tcW w:w="3848"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有效的安全生产许可证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jc w:val="center"/>
        </w:trPr>
        <w:tc>
          <w:tcPr>
            <w:tcW w:w="552" w:type="dxa"/>
            <w:vAlign w:val="center"/>
          </w:tcPr>
          <w:p>
            <w:pPr>
              <w:widowControl/>
              <w:spacing w:line="440" w:lineRule="exact"/>
              <w:jc w:val="center"/>
              <w:rPr>
                <w:rFonts w:ascii="宋体" w:hAnsi="宋体" w:cs="宋体"/>
                <w:color w:val="auto"/>
                <w:kern w:val="0"/>
                <w:sz w:val="21"/>
                <w:szCs w:val="21"/>
                <w:highlight w:val="none"/>
              </w:rPr>
            </w:pPr>
            <w:r>
              <w:rPr>
                <w:rFonts w:hint="eastAsia" w:ascii="宋体" w:hAnsi="宋体" w:cs="宋体"/>
                <w:color w:val="auto"/>
                <w:kern w:val="0"/>
                <w:sz w:val="21"/>
                <w:szCs w:val="21"/>
                <w:highlight w:val="none"/>
              </w:rPr>
              <w:t>6</w:t>
            </w:r>
          </w:p>
        </w:tc>
        <w:tc>
          <w:tcPr>
            <w:tcW w:w="1800"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拟派项目负责人（项目经理）资质等级</w:t>
            </w:r>
          </w:p>
        </w:tc>
        <w:tc>
          <w:tcPr>
            <w:tcW w:w="3369"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机电工程专业贰级或以上注册建造师。</w:t>
            </w:r>
          </w:p>
        </w:tc>
        <w:tc>
          <w:tcPr>
            <w:tcW w:w="3848" w:type="dxa"/>
            <w:vAlign w:val="center"/>
          </w:tcPr>
          <w:p>
            <w:pPr>
              <w:widowControl/>
              <w:spacing w:line="440" w:lineRule="exact"/>
              <w:jc w:val="left"/>
              <w:rPr>
                <w:rFonts w:ascii="宋体" w:hAnsi="宋体" w:cs="宋体"/>
                <w:color w:val="auto"/>
                <w:sz w:val="21"/>
                <w:szCs w:val="21"/>
                <w:highlight w:val="none"/>
              </w:rPr>
            </w:pPr>
            <w:r>
              <w:rPr>
                <w:rFonts w:hint="eastAsia" w:ascii="宋体" w:hAnsi="宋体" w:cs="宋体"/>
                <w:color w:val="auto"/>
                <w:sz w:val="21"/>
                <w:szCs w:val="21"/>
                <w:highlight w:val="none"/>
              </w:rPr>
              <w:t>①有效的中华人民共和国建造师注册证书(注册在投标人单位)；</w:t>
            </w:r>
          </w:p>
          <w:p>
            <w:pPr>
              <w:widowControl/>
              <w:spacing w:line="440" w:lineRule="exact"/>
              <w:jc w:val="left"/>
              <w:rPr>
                <w:rFonts w:ascii="宋体" w:hAnsi="宋体" w:cs="宋体"/>
                <w:color w:val="auto"/>
                <w:sz w:val="21"/>
                <w:szCs w:val="21"/>
                <w:highlight w:val="none"/>
              </w:rPr>
            </w:pPr>
            <w:r>
              <w:rPr>
                <w:rFonts w:hint="eastAsia" w:ascii="宋体" w:hAnsi="宋体" w:cs="宋体"/>
                <w:color w:val="auto"/>
                <w:sz w:val="21"/>
                <w:szCs w:val="21"/>
                <w:highlight w:val="none"/>
              </w:rPr>
              <w:t>②凡建造师注册证书未发放到位的，可由省辖市建设（建筑）行政主管部门出具注册建造师执业证明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8" w:hRule="atLeast"/>
          <w:tblCellSpacing w:w="0" w:type="dxa"/>
          <w:jc w:val="center"/>
        </w:trPr>
        <w:tc>
          <w:tcPr>
            <w:tcW w:w="552" w:type="dxa"/>
            <w:vAlign w:val="center"/>
          </w:tcPr>
          <w:p>
            <w:pPr>
              <w:widowControl/>
              <w:spacing w:line="440" w:lineRule="exact"/>
              <w:jc w:val="center"/>
              <w:rPr>
                <w:rFonts w:ascii="宋体" w:hAnsi="宋体" w:cs="宋体"/>
                <w:color w:val="auto"/>
                <w:kern w:val="0"/>
                <w:sz w:val="21"/>
                <w:szCs w:val="21"/>
                <w:highlight w:val="none"/>
              </w:rPr>
            </w:pPr>
            <w:r>
              <w:rPr>
                <w:rFonts w:hint="eastAsia" w:ascii="宋体" w:hAnsi="宋体" w:cs="宋体"/>
                <w:color w:val="auto"/>
                <w:kern w:val="0"/>
                <w:sz w:val="21"/>
                <w:szCs w:val="21"/>
                <w:highlight w:val="none"/>
              </w:rPr>
              <w:t>7</w:t>
            </w:r>
          </w:p>
        </w:tc>
        <w:tc>
          <w:tcPr>
            <w:tcW w:w="1800"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拟派项目负责人（项目经理）安全生产考核</w:t>
            </w:r>
          </w:p>
        </w:tc>
        <w:tc>
          <w:tcPr>
            <w:tcW w:w="3369"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拟派项目负责人具有有效的</w:t>
            </w:r>
            <w:r>
              <w:rPr>
                <w:rFonts w:hint="eastAsia" w:ascii="宋体" w:hAnsi="宋体" w:cs="宋体"/>
                <w:color w:val="auto"/>
                <w:kern w:val="0"/>
                <w:sz w:val="21"/>
                <w:szCs w:val="21"/>
                <w:highlight w:val="none"/>
                <w:lang w:val="en-US" w:eastAsia="zh-CN"/>
              </w:rPr>
              <w:t>建筑施工企业</w:t>
            </w:r>
            <w:r>
              <w:rPr>
                <w:rFonts w:hint="eastAsia" w:ascii="宋体" w:hAnsi="宋体" w:cs="宋体"/>
                <w:color w:val="auto"/>
                <w:kern w:val="0"/>
                <w:sz w:val="21"/>
                <w:szCs w:val="21"/>
                <w:highlight w:val="none"/>
              </w:rPr>
              <w:t>安全生产考核合格证书（B类）</w:t>
            </w:r>
          </w:p>
        </w:tc>
        <w:tc>
          <w:tcPr>
            <w:tcW w:w="3848"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施工项目负责人有效的安全生产考核合格证（B证）(注册在投标人单位)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88" w:hRule="atLeast"/>
          <w:tblCellSpacing w:w="0" w:type="dxa"/>
          <w:jc w:val="center"/>
        </w:trPr>
        <w:tc>
          <w:tcPr>
            <w:tcW w:w="552" w:type="dxa"/>
            <w:vAlign w:val="center"/>
          </w:tcPr>
          <w:p>
            <w:pPr>
              <w:widowControl/>
              <w:spacing w:line="440" w:lineRule="exact"/>
              <w:jc w:val="center"/>
              <w:rPr>
                <w:rFonts w:ascii="宋体" w:hAnsi="宋体" w:cs="宋体"/>
                <w:color w:val="auto"/>
                <w:kern w:val="0"/>
                <w:sz w:val="21"/>
                <w:szCs w:val="21"/>
                <w:highlight w:val="none"/>
              </w:rPr>
            </w:pPr>
            <w:r>
              <w:rPr>
                <w:rFonts w:hint="eastAsia" w:ascii="宋体" w:hAnsi="宋体" w:cs="宋体"/>
                <w:color w:val="auto"/>
                <w:kern w:val="0"/>
                <w:sz w:val="21"/>
                <w:szCs w:val="21"/>
                <w:highlight w:val="none"/>
              </w:rPr>
              <w:t>8</w:t>
            </w:r>
          </w:p>
        </w:tc>
        <w:tc>
          <w:tcPr>
            <w:tcW w:w="1800" w:type="dxa"/>
            <w:vAlign w:val="center"/>
          </w:tcPr>
          <w:p>
            <w:pPr>
              <w:widowControl/>
              <w:adjustRightInd w:val="0"/>
              <w:spacing w:line="440" w:lineRule="exact"/>
              <w:rPr>
                <w:rFonts w:ascii="宋体" w:hAnsi="宋体" w:cs="宋体"/>
                <w:color w:val="auto"/>
                <w:kern w:val="0"/>
                <w:sz w:val="21"/>
                <w:szCs w:val="21"/>
                <w:highlight w:val="none"/>
              </w:rPr>
            </w:pPr>
            <w:r>
              <w:rPr>
                <w:rFonts w:hint="eastAsia" w:ascii="宋体" w:hAnsi="宋体" w:cs="宋体"/>
                <w:color w:val="auto"/>
                <w:kern w:val="0"/>
                <w:sz w:val="21"/>
                <w:szCs w:val="21"/>
                <w:highlight w:val="none"/>
              </w:rPr>
              <w:t>拟派项目负责人（项目经理）为投标企业正式人员</w:t>
            </w:r>
          </w:p>
        </w:tc>
        <w:tc>
          <w:tcPr>
            <w:tcW w:w="3369" w:type="dxa"/>
            <w:vAlign w:val="center"/>
          </w:tcPr>
          <w:p>
            <w:pPr>
              <w:widowControl/>
              <w:adjustRightInd w:val="0"/>
              <w:spacing w:line="440" w:lineRule="exact"/>
              <w:rPr>
                <w:rFonts w:ascii="宋体" w:hAnsi="宋体" w:cs="宋体"/>
                <w:color w:val="auto"/>
                <w:kern w:val="0"/>
                <w:sz w:val="21"/>
                <w:szCs w:val="21"/>
                <w:highlight w:val="none"/>
              </w:rPr>
            </w:pPr>
            <w:r>
              <w:rPr>
                <w:rFonts w:hint="eastAsia" w:ascii="宋体" w:hAnsi="宋体" w:cs="宋体"/>
                <w:color w:val="auto"/>
                <w:sz w:val="21"/>
                <w:szCs w:val="21"/>
                <w:highlight w:val="none"/>
              </w:rPr>
              <w:t>拟派项目负责人为投标企业正式人员</w:t>
            </w:r>
          </w:p>
        </w:tc>
        <w:tc>
          <w:tcPr>
            <w:tcW w:w="3848" w:type="dxa"/>
            <w:vAlign w:val="center"/>
          </w:tcPr>
          <w:p>
            <w:pPr>
              <w:widowControl/>
              <w:adjustRightInd w:val="0"/>
              <w:spacing w:line="440" w:lineRule="exact"/>
              <w:rPr>
                <w:rFonts w:ascii="宋体" w:hAnsi="宋体" w:cs="宋体"/>
                <w:color w:val="auto"/>
                <w:kern w:val="0"/>
                <w:sz w:val="21"/>
                <w:szCs w:val="21"/>
                <w:highlight w:val="none"/>
              </w:rPr>
            </w:pPr>
            <w:r>
              <w:rPr>
                <w:rFonts w:hint="eastAsia" w:ascii="宋体" w:hAnsi="宋体" w:cs="宋体"/>
                <w:color w:val="auto"/>
                <w:sz w:val="21"/>
                <w:szCs w:val="21"/>
                <w:highlight w:val="none"/>
              </w:rPr>
              <w:t>投标企业与拟派项目负责人双方签订的</w:t>
            </w:r>
            <w:r>
              <w:rPr>
                <w:rFonts w:hint="eastAsia" w:ascii="宋体" w:hAnsi="宋体" w:cs="宋体"/>
                <w:color w:val="auto"/>
                <w:kern w:val="0"/>
                <w:sz w:val="21"/>
                <w:szCs w:val="21"/>
                <w:highlight w:val="none"/>
              </w:rPr>
              <w:t>有效的劳动合同书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9" w:hRule="atLeast"/>
          <w:tblCellSpacing w:w="0" w:type="dxa"/>
          <w:jc w:val="center"/>
        </w:trPr>
        <w:tc>
          <w:tcPr>
            <w:tcW w:w="552" w:type="dxa"/>
            <w:vAlign w:val="center"/>
          </w:tcPr>
          <w:p>
            <w:pPr>
              <w:widowControl/>
              <w:spacing w:line="440" w:lineRule="exact"/>
              <w:jc w:val="center"/>
              <w:rPr>
                <w:rFonts w:ascii="宋体" w:hAnsi="宋体" w:cs="宋体"/>
                <w:color w:val="auto"/>
                <w:kern w:val="0"/>
                <w:sz w:val="21"/>
                <w:szCs w:val="21"/>
                <w:highlight w:val="none"/>
              </w:rPr>
            </w:pPr>
            <w:r>
              <w:rPr>
                <w:rFonts w:hint="eastAsia" w:ascii="宋体" w:hAnsi="宋体" w:cs="宋体"/>
                <w:color w:val="auto"/>
                <w:kern w:val="0"/>
                <w:sz w:val="21"/>
                <w:szCs w:val="21"/>
                <w:highlight w:val="none"/>
              </w:rPr>
              <w:t>9</w:t>
            </w:r>
          </w:p>
        </w:tc>
        <w:tc>
          <w:tcPr>
            <w:tcW w:w="1800"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拟派项目负责人（项目经理）无在建工程</w:t>
            </w:r>
          </w:p>
        </w:tc>
        <w:tc>
          <w:tcPr>
            <w:tcW w:w="3369"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①项目负责人是非变更后无在建工程的；</w:t>
            </w:r>
          </w:p>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②项目负责人是变更后无在建工程的，并且：原合同工期已满且变更备案之日已满6个月；或者，因非承包原因致使工程项目停工超过120天，且经建设单位同意并已经办理项目负责人变更手续的；</w:t>
            </w:r>
          </w:p>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③项目负责人有在建工程，但该在建工程与本次招标的工程属于同一工程项目、同一项目批文、同一施工地点分段发包或分期施工的情况。</w:t>
            </w:r>
          </w:p>
        </w:tc>
        <w:tc>
          <w:tcPr>
            <w:tcW w:w="3848"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①诚信承诺书（详见第七章—诚信承诺书）</w:t>
            </w:r>
          </w:p>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②原合同工期已满且变更备案之日已满6个月的证明或建设单位同意并已办理项目负责人变更手续的证明。</w:t>
            </w:r>
          </w:p>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③工程完工证明（如有）（详见第七章“工程完工证明”）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9" w:hRule="atLeast"/>
          <w:tblCellSpacing w:w="0" w:type="dxa"/>
          <w:jc w:val="center"/>
        </w:trPr>
        <w:tc>
          <w:tcPr>
            <w:tcW w:w="552" w:type="dxa"/>
            <w:vAlign w:val="center"/>
          </w:tcPr>
          <w:p>
            <w:pPr>
              <w:widowControl/>
              <w:spacing w:line="440" w:lineRule="exact"/>
              <w:jc w:val="center"/>
              <w:rPr>
                <w:rFonts w:hint="default" w:ascii="宋体" w:hAnsi="宋体" w:eastAsia="宋体" w:cs="宋体"/>
                <w:color w:val="auto"/>
                <w:kern w:val="0"/>
                <w:sz w:val="21"/>
                <w:szCs w:val="21"/>
                <w:highlight w:val="none"/>
                <w:lang w:val="en-US" w:eastAsia="zh-CN"/>
              </w:rPr>
            </w:pPr>
            <w:r>
              <w:rPr>
                <w:rFonts w:hint="eastAsia" w:ascii="宋体" w:hAnsi="宋体" w:cs="宋体"/>
                <w:color w:val="auto"/>
                <w:kern w:val="0"/>
                <w:sz w:val="21"/>
                <w:szCs w:val="21"/>
                <w:highlight w:val="none"/>
                <w:lang w:val="en-US" w:eastAsia="zh-CN"/>
              </w:rPr>
              <w:t>10</w:t>
            </w:r>
          </w:p>
        </w:tc>
        <w:tc>
          <w:tcPr>
            <w:tcW w:w="1800" w:type="dxa"/>
            <w:vAlign w:val="center"/>
          </w:tcPr>
          <w:p>
            <w:pPr>
              <w:widowControl/>
              <w:spacing w:line="440" w:lineRule="exact"/>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现场勘察回执</w:t>
            </w:r>
          </w:p>
        </w:tc>
        <w:tc>
          <w:tcPr>
            <w:tcW w:w="3369" w:type="dxa"/>
            <w:vAlign w:val="center"/>
          </w:tcPr>
          <w:p>
            <w:pPr>
              <w:widowControl/>
              <w:spacing w:line="440" w:lineRule="exact"/>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现场勘察回执</w:t>
            </w:r>
          </w:p>
        </w:tc>
        <w:tc>
          <w:tcPr>
            <w:tcW w:w="3848" w:type="dxa"/>
            <w:vAlign w:val="center"/>
          </w:tcPr>
          <w:p>
            <w:pPr>
              <w:widowControl/>
              <w:spacing w:line="440" w:lineRule="exact"/>
              <w:jc w:val="left"/>
              <w:rPr>
                <w:rFonts w:hint="default" w:ascii="宋体" w:hAnsi="宋体" w:eastAsia="宋体" w:cs="宋体"/>
                <w:color w:val="auto"/>
                <w:sz w:val="21"/>
                <w:szCs w:val="21"/>
                <w:highlight w:val="none"/>
                <w:lang w:val="en-US" w:eastAsia="zh-CN"/>
              </w:rPr>
            </w:pPr>
            <w:r>
              <w:rPr>
                <w:rFonts w:hint="eastAsia" w:ascii="宋体" w:hAnsi="宋体" w:cs="宋体"/>
                <w:color w:val="auto"/>
                <w:sz w:val="21"/>
                <w:szCs w:val="21"/>
                <w:highlight w:val="none"/>
              </w:rPr>
              <w:t>现场勘察回执</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lang w:val="en-US" w:eastAsia="zh-CN"/>
              </w:rPr>
              <w:t>格式详见第七章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9" w:hRule="atLeast"/>
          <w:tblCellSpacing w:w="0" w:type="dxa"/>
          <w:jc w:val="center"/>
        </w:trPr>
        <w:tc>
          <w:tcPr>
            <w:tcW w:w="552" w:type="dxa"/>
            <w:vAlign w:val="center"/>
          </w:tcPr>
          <w:p>
            <w:pPr>
              <w:widowControl/>
              <w:spacing w:line="440" w:lineRule="exact"/>
              <w:jc w:val="center"/>
              <w:rPr>
                <w:rFonts w:hint="default" w:ascii="宋体" w:hAnsi="宋体" w:eastAsia="宋体" w:cs="宋体"/>
                <w:color w:val="auto"/>
                <w:kern w:val="0"/>
                <w:sz w:val="21"/>
                <w:szCs w:val="21"/>
                <w:highlight w:val="none"/>
                <w:lang w:val="en-US" w:eastAsia="zh-CN"/>
              </w:rPr>
            </w:pPr>
            <w:r>
              <w:rPr>
                <w:rFonts w:hint="eastAsia" w:ascii="宋体" w:hAnsi="宋体" w:cs="宋体"/>
                <w:color w:val="auto"/>
                <w:kern w:val="0"/>
                <w:sz w:val="21"/>
                <w:szCs w:val="21"/>
                <w:highlight w:val="none"/>
                <w:lang w:val="en-US" w:eastAsia="zh-CN"/>
              </w:rPr>
              <w:t>11</w:t>
            </w:r>
          </w:p>
        </w:tc>
        <w:tc>
          <w:tcPr>
            <w:tcW w:w="1800"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sz w:val="21"/>
                <w:szCs w:val="21"/>
                <w:highlight w:val="none"/>
              </w:rPr>
              <w:t>建筑企业资质动态监管均不处于不合格状态。</w:t>
            </w:r>
          </w:p>
        </w:tc>
        <w:tc>
          <w:tcPr>
            <w:tcW w:w="3369"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sz w:val="21"/>
                <w:szCs w:val="21"/>
                <w:highlight w:val="none"/>
              </w:rPr>
              <w:t>投标人在投标文件递交截止时间当日，建筑企业资质动态监管（指本项目要求资质）不处于不合格状态。</w:t>
            </w:r>
          </w:p>
        </w:tc>
        <w:tc>
          <w:tcPr>
            <w:tcW w:w="3848" w:type="dxa"/>
            <w:vAlign w:val="center"/>
          </w:tcPr>
          <w:p>
            <w:pPr>
              <w:widowControl/>
              <w:spacing w:line="440" w:lineRule="exact"/>
              <w:jc w:val="left"/>
              <w:rPr>
                <w:rFonts w:ascii="宋体" w:hAnsi="宋体" w:cs="宋体"/>
                <w:color w:val="auto"/>
                <w:kern w:val="0"/>
                <w:sz w:val="21"/>
                <w:szCs w:val="21"/>
                <w:highlight w:val="none"/>
              </w:rPr>
            </w:pPr>
            <w:r>
              <w:rPr>
                <w:rFonts w:hint="eastAsia" w:ascii="宋体" w:hAnsi="宋体" w:cs="宋体"/>
                <w:color w:val="auto"/>
                <w:sz w:val="21"/>
                <w:szCs w:val="21"/>
                <w:highlight w:val="none"/>
              </w:rPr>
              <w:t>招标人开标当日登录</w:t>
            </w:r>
            <w:r>
              <w:rPr>
                <w:rFonts w:hint="eastAsia" w:ascii="宋体" w:hAnsi="宋体" w:cs="宋体"/>
                <w:b/>
                <w:color w:val="auto"/>
                <w:sz w:val="21"/>
                <w:szCs w:val="21"/>
                <w:highlight w:val="none"/>
              </w:rPr>
              <w:t>江苏省建筑市场监管与诚信信息一体化平台-企业信息-建筑企业-动态监管不合格资质查询。对动态监管处于不合格的资格预审申请人和投标人进行截图保存，提供给评标委员会。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jc w:val="center"/>
        </w:trPr>
        <w:tc>
          <w:tcPr>
            <w:tcW w:w="552" w:type="dxa"/>
            <w:vAlign w:val="center"/>
          </w:tcPr>
          <w:p>
            <w:pPr>
              <w:widowControl/>
              <w:spacing w:line="440" w:lineRule="exact"/>
              <w:jc w:val="center"/>
              <w:rPr>
                <w:rFonts w:ascii="宋体" w:hAnsi="宋体" w:cs="宋体"/>
                <w:color w:val="auto"/>
                <w:kern w:val="0"/>
                <w:sz w:val="21"/>
                <w:szCs w:val="21"/>
                <w:highlight w:val="none"/>
              </w:rPr>
            </w:pPr>
            <w:r>
              <w:rPr>
                <w:rFonts w:hint="eastAsia" w:ascii="宋体" w:hAnsi="宋体" w:cs="宋体"/>
                <w:color w:val="auto"/>
                <w:kern w:val="0"/>
                <w:sz w:val="21"/>
                <w:szCs w:val="21"/>
                <w:highlight w:val="none"/>
              </w:rPr>
              <w:t>备注</w:t>
            </w:r>
          </w:p>
        </w:tc>
        <w:tc>
          <w:tcPr>
            <w:tcW w:w="9017" w:type="dxa"/>
            <w:gridSpan w:val="3"/>
            <w:vAlign w:val="center"/>
          </w:tcPr>
          <w:p>
            <w:pPr>
              <w:widowControl/>
              <w:numPr>
                <w:ilvl w:val="0"/>
                <w:numId w:val="3"/>
              </w:numPr>
              <w:adjustRightInd w:val="0"/>
              <w:spacing w:line="440" w:lineRule="exact"/>
              <w:ind w:firstLine="420" w:firstLineChars="200"/>
              <w:jc w:val="left"/>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资格审查阶段，评标委员会根据资格审查标准、资格审查条件、“资格审查资料包”中的资料进行资格评审，请投标人按照本招标文件要求准确提供全部资料，否则做废标处理。</w:t>
            </w:r>
          </w:p>
          <w:p>
            <w:pPr>
              <w:widowControl/>
              <w:numPr>
                <w:ilvl w:val="0"/>
                <w:numId w:val="3"/>
              </w:numPr>
              <w:adjustRightInd w:val="0"/>
              <w:spacing w:line="440" w:lineRule="exact"/>
              <w:ind w:firstLine="420" w:firstLineChars="200"/>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以上1-1</w:t>
            </w:r>
            <w:r>
              <w:rPr>
                <w:rFonts w:hint="eastAsia" w:ascii="宋体" w:hAnsi="宋体" w:cs="宋体"/>
                <w:color w:val="auto"/>
                <w:kern w:val="0"/>
                <w:sz w:val="21"/>
                <w:szCs w:val="21"/>
                <w:highlight w:val="none"/>
                <w:lang w:val="en-US" w:eastAsia="zh-CN"/>
              </w:rPr>
              <w:t>1</w:t>
            </w:r>
            <w:r>
              <w:rPr>
                <w:rFonts w:hint="eastAsia" w:ascii="宋体" w:hAnsi="宋体" w:cs="宋体"/>
                <w:color w:val="auto"/>
                <w:kern w:val="0"/>
                <w:sz w:val="21"/>
                <w:szCs w:val="21"/>
                <w:highlight w:val="none"/>
              </w:rPr>
              <w:t>中任何一条不符合要求的，则资格审查不通过。且上述序号3-8提供复印件并加盖单位公章，否则资格审查不通过；投标文件副本中可用复印件并加盖单位公章，否则资格审查不通过。原件因年检无法带来的，须出具年检行政主管部门“年检证明”材料，否则后果自负。</w:t>
            </w:r>
          </w:p>
          <w:p>
            <w:pPr>
              <w:widowControl/>
              <w:adjustRightInd w:val="0"/>
              <w:spacing w:line="440" w:lineRule="exact"/>
              <w:ind w:firstLine="420" w:firstLineChars="200"/>
              <w:jc w:val="left"/>
              <w:rPr>
                <w:rFonts w:ascii="宋体" w:hAnsi="宋体" w:cs="宋体"/>
                <w:color w:val="auto"/>
                <w:kern w:val="0"/>
                <w:sz w:val="21"/>
                <w:szCs w:val="21"/>
                <w:highlight w:val="none"/>
              </w:rPr>
            </w:pPr>
            <w:r>
              <w:rPr>
                <w:rFonts w:hint="eastAsia" w:ascii="宋体" w:hAnsi="宋体" w:cs="宋体"/>
                <w:color w:val="auto"/>
                <w:kern w:val="0"/>
                <w:sz w:val="21"/>
                <w:szCs w:val="21"/>
                <w:highlight w:val="none"/>
              </w:rPr>
              <w:t>3、如法人名称和法定代表人姓名发生变化，请提供相关证明。否则，资格审查不通过。</w:t>
            </w:r>
          </w:p>
          <w:p>
            <w:pPr>
              <w:widowControl/>
              <w:adjustRightInd w:val="0"/>
              <w:spacing w:line="440" w:lineRule="exact"/>
              <w:ind w:firstLine="422" w:firstLineChars="200"/>
              <w:jc w:val="left"/>
              <w:rPr>
                <w:rFonts w:ascii="宋体" w:hAnsi="宋体" w:cs="宋体"/>
                <w:color w:val="auto"/>
                <w:kern w:val="0"/>
                <w:sz w:val="21"/>
                <w:szCs w:val="21"/>
                <w:highlight w:val="none"/>
              </w:rPr>
            </w:pPr>
            <w:r>
              <w:rPr>
                <w:rFonts w:hint="eastAsia" w:ascii="宋体" w:hAnsi="宋体" w:cs="宋体"/>
                <w:b/>
                <w:bCs/>
                <w:color w:val="auto"/>
                <w:kern w:val="0"/>
                <w:sz w:val="21"/>
                <w:szCs w:val="21"/>
                <w:highlight w:val="none"/>
              </w:rPr>
              <w:t>4、</w:t>
            </w:r>
            <w:r>
              <w:rPr>
                <w:rFonts w:hint="eastAsia" w:ascii="宋体" w:hAnsi="宋体" w:cs="宋体"/>
                <w:b/>
                <w:bCs/>
                <w:color w:val="auto"/>
                <w:kern w:val="0"/>
                <w:sz w:val="21"/>
                <w:szCs w:val="21"/>
                <w:highlight w:val="none"/>
                <w:lang w:val="en-US" w:eastAsia="zh-CN"/>
              </w:rPr>
              <w:t>如</w:t>
            </w:r>
            <w:r>
              <w:rPr>
                <w:rFonts w:hint="eastAsia" w:ascii="宋体" w:hAnsi="宋体" w:cs="宋体"/>
                <w:b/>
                <w:bCs/>
                <w:color w:val="auto"/>
                <w:kern w:val="0"/>
                <w:sz w:val="21"/>
                <w:szCs w:val="21"/>
                <w:highlight w:val="none"/>
              </w:rPr>
              <w:t>本工程投标人拟派项目经理为一级注册建造师的，必须根据《住房和城乡建设部办公厅关于全面实行一级建造师电子注册证书的通知》（建办市〔2021〕40 号）文件要求使用并提供电子证书，如未按文件要求提供电子证书，该电子证书无效，视为项目经理的资格不符合要求。</w:t>
            </w:r>
          </w:p>
        </w:tc>
      </w:tr>
    </w:tbl>
    <w:p>
      <w:pPr>
        <w:spacing w:line="420" w:lineRule="exact"/>
        <w:ind w:firstLine="420" w:firstLineChars="200"/>
        <w:rPr>
          <w:rFonts w:cs="宋体" w:asciiTheme="minorEastAsia" w:hAnsiTheme="minorEastAsia" w:eastAsiaTheme="minorEastAsia"/>
          <w:color w:val="auto"/>
          <w:szCs w:val="21"/>
          <w:highlight w:val="none"/>
        </w:rPr>
      </w:pPr>
      <w:bookmarkStart w:id="32" w:name="_Toc404159960"/>
      <w:r>
        <w:rPr>
          <w:rFonts w:hint="eastAsia" w:cs="宋体" w:asciiTheme="minorEastAsia" w:hAnsiTheme="minorEastAsia" w:eastAsiaTheme="minorEastAsia"/>
          <w:color w:val="auto"/>
          <w:szCs w:val="21"/>
          <w:highlight w:val="none"/>
        </w:rPr>
        <w:t>（</w:t>
      </w:r>
      <w:r>
        <w:rPr>
          <w:rFonts w:asciiTheme="minorEastAsia" w:hAnsiTheme="minorEastAsia" w:eastAsiaTheme="minorEastAsia"/>
          <w:color w:val="auto"/>
          <w:szCs w:val="21"/>
          <w:highlight w:val="none"/>
        </w:rPr>
        <w:t>3</w:t>
      </w:r>
      <w:r>
        <w:rPr>
          <w:rFonts w:hint="eastAsia" w:cs="宋体" w:asciiTheme="minorEastAsia" w:hAnsiTheme="minorEastAsia" w:eastAsiaTheme="minorEastAsia"/>
          <w:color w:val="auto"/>
          <w:szCs w:val="21"/>
          <w:highlight w:val="none"/>
        </w:rPr>
        <w:t>）本次资格审查采用合格制，各投标人只有满足资格审查必要合格条件后，方可参与商务标的评审。</w:t>
      </w:r>
    </w:p>
    <w:p>
      <w:pPr>
        <w:spacing w:line="360" w:lineRule="auto"/>
        <w:ind w:firstLine="420" w:firstLineChars="200"/>
        <w:rPr>
          <w:rFonts w:ascii="宋体" w:hAnsi="宋体"/>
          <w:color w:val="auto"/>
          <w:szCs w:val="21"/>
          <w:highlight w:val="none"/>
        </w:rPr>
      </w:pPr>
      <w:bookmarkStart w:id="33" w:name="_Toc465181336"/>
      <w:r>
        <w:rPr>
          <w:rFonts w:ascii="宋体" w:hAnsi="宋体"/>
          <w:color w:val="auto"/>
          <w:szCs w:val="21"/>
          <w:highlight w:val="none"/>
        </w:rPr>
        <w:t>2</w:t>
      </w:r>
      <w:r>
        <w:rPr>
          <w:rFonts w:hint="eastAsia" w:ascii="宋体" w:hAnsi="宋体" w:cs="宋体"/>
          <w:color w:val="auto"/>
          <w:szCs w:val="21"/>
          <w:highlight w:val="none"/>
        </w:rPr>
        <w:t>、商务标评审</w:t>
      </w:r>
    </w:p>
    <w:p>
      <w:pPr>
        <w:autoSpaceDE w:val="0"/>
        <w:autoSpaceDN w:val="0"/>
        <w:adjustRightInd w:val="0"/>
        <w:snapToGrid w:val="0"/>
        <w:spacing w:line="360" w:lineRule="auto"/>
        <w:ind w:firstLine="413" w:firstLineChars="196"/>
        <w:rPr>
          <w:rFonts w:hint="eastAsia" w:ascii="宋体" w:hAnsi="宋体"/>
          <w:b/>
          <w:bCs/>
          <w:color w:val="auto"/>
          <w:szCs w:val="21"/>
          <w:highlight w:val="none"/>
        </w:rPr>
      </w:pPr>
      <w:r>
        <w:rPr>
          <w:rFonts w:hint="eastAsia" w:ascii="宋体" w:hAnsi="宋体"/>
          <w:b/>
          <w:bCs/>
          <w:color w:val="auto"/>
          <w:szCs w:val="21"/>
          <w:highlight w:val="none"/>
        </w:rPr>
        <w:t>1)只有通过资格审查的投标人，才能参加商务标的评标。</w:t>
      </w:r>
    </w:p>
    <w:p>
      <w:pPr>
        <w:autoSpaceDE w:val="0"/>
        <w:autoSpaceDN w:val="0"/>
        <w:adjustRightInd w:val="0"/>
        <w:snapToGrid w:val="0"/>
        <w:spacing w:line="360" w:lineRule="auto"/>
        <w:ind w:firstLine="413" w:firstLineChars="196"/>
        <w:rPr>
          <w:rFonts w:hint="eastAsia" w:ascii="宋体" w:hAnsi="宋体"/>
          <w:b/>
          <w:bCs/>
          <w:color w:val="auto"/>
          <w:szCs w:val="21"/>
          <w:highlight w:val="none"/>
        </w:rPr>
      </w:pPr>
      <w:r>
        <w:rPr>
          <w:rFonts w:hint="eastAsia" w:ascii="宋体" w:hAnsi="宋体"/>
          <w:b/>
          <w:bCs/>
          <w:color w:val="auto"/>
          <w:szCs w:val="21"/>
          <w:highlight w:val="none"/>
        </w:rPr>
        <w:t>2)有效报价是指投标人的报价不高于招标控制价的投标报价，高于招标控制价的视为无效报价。废标、无效报价不参与商务标评审。</w:t>
      </w:r>
    </w:p>
    <w:p>
      <w:pPr>
        <w:autoSpaceDE w:val="0"/>
        <w:autoSpaceDN w:val="0"/>
        <w:adjustRightInd w:val="0"/>
        <w:snapToGrid w:val="0"/>
        <w:spacing w:line="360" w:lineRule="auto"/>
        <w:ind w:firstLine="413" w:firstLineChars="196"/>
        <w:rPr>
          <w:rFonts w:hint="eastAsia" w:ascii="宋体" w:hAnsi="宋体"/>
          <w:b/>
          <w:bCs/>
          <w:color w:val="auto"/>
          <w:szCs w:val="21"/>
          <w:highlight w:val="none"/>
        </w:rPr>
      </w:pPr>
      <w:r>
        <w:rPr>
          <w:rFonts w:hint="eastAsia" w:ascii="宋体" w:hAnsi="宋体"/>
          <w:b/>
          <w:bCs/>
          <w:color w:val="auto"/>
          <w:szCs w:val="21"/>
          <w:highlight w:val="none"/>
        </w:rPr>
        <w:t>3)评分标准</w:t>
      </w:r>
    </w:p>
    <w:p>
      <w:pPr>
        <w:autoSpaceDE w:val="0"/>
        <w:autoSpaceDN w:val="0"/>
        <w:adjustRightInd w:val="0"/>
        <w:snapToGrid w:val="0"/>
        <w:spacing w:line="360" w:lineRule="auto"/>
        <w:ind w:firstLine="413" w:firstLineChars="196"/>
        <w:rPr>
          <w:rFonts w:hint="eastAsia" w:ascii="宋体" w:hAnsi="宋体"/>
          <w:b/>
          <w:bCs/>
          <w:color w:val="auto"/>
          <w:szCs w:val="21"/>
          <w:highlight w:val="none"/>
        </w:rPr>
      </w:pPr>
      <w:r>
        <w:rPr>
          <w:rFonts w:hint="eastAsia" w:ascii="宋体" w:hAnsi="宋体"/>
          <w:b/>
          <w:bCs/>
          <w:color w:val="auto"/>
          <w:szCs w:val="21"/>
          <w:highlight w:val="none"/>
        </w:rPr>
        <w:t>在各投标人的有效报价中，按报价从低到高的顺序确定第一中标候选人、第二中标候选人、第三中标候选人，中标价为其投标报价。若投标报价相同，则采取招标人现场随机抽签的方式确定最终的中标候选人。</w:t>
      </w:r>
    </w:p>
    <w:p>
      <w:pPr>
        <w:autoSpaceDE w:val="0"/>
        <w:autoSpaceDN w:val="0"/>
        <w:adjustRightInd w:val="0"/>
        <w:snapToGrid w:val="0"/>
        <w:spacing w:line="360" w:lineRule="auto"/>
        <w:ind w:firstLine="413" w:firstLineChars="196"/>
        <w:rPr>
          <w:rFonts w:ascii="宋体" w:hAnsi="宋体"/>
          <w:b/>
          <w:bCs/>
          <w:color w:val="auto"/>
          <w:szCs w:val="21"/>
          <w:highlight w:val="none"/>
        </w:rPr>
      </w:pPr>
      <w:r>
        <w:rPr>
          <w:rFonts w:hint="eastAsia" w:ascii="宋体" w:hAnsi="宋体"/>
          <w:b/>
          <w:bCs/>
          <w:color w:val="auto"/>
          <w:szCs w:val="21"/>
          <w:highlight w:val="none"/>
        </w:rPr>
        <w:t>本工程第一中标候选人原则上为中标人。当排名第一的中标候选人放弃中标、因不可抗力不能履行合同、不按照招标文件要求提交履约保证金，或者被查实存在影响中标结果的违法行为等情形，不符合中标条件的，招标人可以按照评标委员会提出的中标候选人名单排序依次确定其他中标候选人为中标人，也可以重新招标。</w:t>
      </w:r>
    </w:p>
    <w:p>
      <w:pPr>
        <w:spacing w:line="360" w:lineRule="auto"/>
        <w:ind w:firstLine="422" w:firstLineChars="200"/>
        <w:rPr>
          <w:rFonts w:ascii="宋体" w:hAnsi="宋体"/>
          <w:b/>
          <w:bCs/>
          <w:color w:val="auto"/>
          <w:szCs w:val="21"/>
          <w:highlight w:val="none"/>
        </w:rPr>
      </w:pPr>
      <w:r>
        <w:rPr>
          <w:rFonts w:hint="eastAsia" w:ascii="宋体" w:hAnsi="宋体"/>
          <w:b/>
          <w:bCs/>
          <w:color w:val="auto"/>
          <w:szCs w:val="21"/>
          <w:highlight w:val="none"/>
        </w:rPr>
        <w:t>评标过程中出现本评标办法未尽事宜，由评标委员会根据有关法律、法规讨论决定。</w:t>
      </w:r>
    </w:p>
    <w:p>
      <w:pPr>
        <w:rPr>
          <w:rFonts w:ascii="宋体" w:hAnsi="宋体"/>
          <w:b/>
          <w:bCs/>
          <w:color w:val="auto"/>
          <w:szCs w:val="21"/>
          <w:highlight w:val="none"/>
        </w:rPr>
      </w:pPr>
      <w:r>
        <w:rPr>
          <w:rFonts w:hint="eastAsia" w:ascii="宋体" w:hAnsi="宋体"/>
          <w:b/>
          <w:bCs/>
          <w:color w:val="auto"/>
          <w:szCs w:val="21"/>
          <w:highlight w:val="none"/>
        </w:rPr>
        <w:br w:type="page"/>
      </w:r>
    </w:p>
    <w:p>
      <w:pPr>
        <w:pStyle w:val="577"/>
        <w:rPr>
          <w:color w:val="auto"/>
          <w:highlight w:val="none"/>
        </w:rPr>
      </w:pPr>
      <w:r>
        <w:rPr>
          <w:rFonts w:hint="eastAsia"/>
          <w:color w:val="auto"/>
          <w:kern w:val="0"/>
          <w:highlight w:val="none"/>
        </w:rPr>
        <w:t>附件1</w:t>
      </w:r>
      <w:r>
        <w:rPr>
          <w:rFonts w:hint="eastAsia"/>
          <w:color w:val="auto"/>
          <w:highlight w:val="none"/>
        </w:rPr>
        <w:t>《办公厅关于全面实行一级建造师电子注册证书的通知》（建办市〔2021〕40号）文件</w:t>
      </w:r>
    </w:p>
    <w:p>
      <w:pPr>
        <w:ind w:firstLine="420" w:firstLineChars="200"/>
        <w:rPr>
          <w:rFonts w:ascii="Calibri" w:hAnsi="Calibri"/>
          <w:color w:val="auto"/>
          <w:szCs w:val="22"/>
          <w:highlight w:val="none"/>
        </w:rPr>
      </w:pPr>
      <w:r>
        <w:rPr>
          <w:rFonts w:ascii="Calibri" w:hAnsi="Calibri"/>
          <w:color w:val="auto"/>
          <w:szCs w:val="22"/>
          <w:highlight w:val="none"/>
        </w:rPr>
        <w:drawing>
          <wp:inline distT="0" distB="0" distL="114300" distR="114300">
            <wp:extent cx="5351780" cy="3674110"/>
            <wp:effectExtent l="0" t="0" r="1270" b="254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2"/>
                    <a:stretch>
                      <a:fillRect/>
                    </a:stretch>
                  </pic:blipFill>
                  <pic:spPr>
                    <a:xfrm>
                      <a:off x="0" y="0"/>
                      <a:ext cx="5351780" cy="3674110"/>
                    </a:xfrm>
                    <a:prstGeom prst="rect">
                      <a:avLst/>
                    </a:prstGeom>
                    <a:noFill/>
                    <a:ln>
                      <a:noFill/>
                    </a:ln>
                  </pic:spPr>
                </pic:pic>
              </a:graphicData>
            </a:graphic>
          </wp:inline>
        </w:drawing>
      </w:r>
    </w:p>
    <w:p>
      <w:pPr>
        <w:ind w:firstLine="420" w:firstLineChars="200"/>
        <w:rPr>
          <w:rFonts w:ascii="Calibri" w:hAnsi="Calibri"/>
          <w:color w:val="auto"/>
          <w:szCs w:val="22"/>
          <w:highlight w:val="none"/>
        </w:rPr>
      </w:pPr>
    </w:p>
    <w:p>
      <w:pPr>
        <w:ind w:firstLine="600" w:firstLineChars="200"/>
        <w:rPr>
          <w:rFonts w:ascii="Calibri" w:hAnsi="Calibri"/>
          <w:color w:val="auto"/>
          <w:sz w:val="30"/>
          <w:szCs w:val="30"/>
          <w:highlight w:val="none"/>
        </w:rPr>
      </w:pPr>
    </w:p>
    <w:p>
      <w:pPr>
        <w:jc w:val="center"/>
        <w:rPr>
          <w:rFonts w:ascii="Calibri" w:hAnsi="Calibri"/>
          <w:b/>
          <w:color w:val="auto"/>
          <w:sz w:val="30"/>
          <w:szCs w:val="30"/>
          <w:highlight w:val="none"/>
        </w:rPr>
      </w:pPr>
    </w:p>
    <w:p>
      <w:pPr>
        <w:pStyle w:val="41"/>
        <w:rPr>
          <w:b/>
          <w:color w:val="auto"/>
          <w:sz w:val="30"/>
          <w:szCs w:val="30"/>
          <w:highlight w:val="none"/>
        </w:rPr>
      </w:pPr>
    </w:p>
    <w:p>
      <w:pPr>
        <w:pStyle w:val="16"/>
        <w:ind w:left="1680"/>
        <w:rPr>
          <w:b/>
          <w:color w:val="auto"/>
          <w:sz w:val="30"/>
          <w:szCs w:val="30"/>
          <w:highlight w:val="none"/>
        </w:rPr>
      </w:pPr>
    </w:p>
    <w:p>
      <w:pPr>
        <w:rPr>
          <w:rFonts w:ascii="Calibri" w:hAnsi="Calibri"/>
          <w:b/>
          <w:color w:val="auto"/>
          <w:sz w:val="30"/>
          <w:szCs w:val="30"/>
          <w:highlight w:val="none"/>
        </w:rPr>
      </w:pPr>
    </w:p>
    <w:p>
      <w:pPr>
        <w:pStyle w:val="41"/>
        <w:rPr>
          <w:b/>
          <w:color w:val="auto"/>
          <w:sz w:val="30"/>
          <w:szCs w:val="30"/>
          <w:highlight w:val="none"/>
        </w:rPr>
      </w:pPr>
    </w:p>
    <w:p>
      <w:pPr>
        <w:pStyle w:val="16"/>
        <w:ind w:left="1680"/>
        <w:rPr>
          <w:b/>
          <w:color w:val="auto"/>
          <w:sz w:val="30"/>
          <w:szCs w:val="30"/>
          <w:highlight w:val="none"/>
        </w:rPr>
      </w:pPr>
    </w:p>
    <w:p>
      <w:pPr>
        <w:rPr>
          <w:rFonts w:ascii="Calibri" w:hAnsi="Calibri"/>
          <w:b/>
          <w:color w:val="auto"/>
          <w:sz w:val="30"/>
          <w:szCs w:val="30"/>
          <w:highlight w:val="none"/>
        </w:rPr>
      </w:pPr>
    </w:p>
    <w:p>
      <w:pPr>
        <w:pStyle w:val="41"/>
        <w:rPr>
          <w:color w:val="auto"/>
          <w:highlight w:val="none"/>
        </w:rPr>
      </w:pPr>
    </w:p>
    <w:p>
      <w:pPr>
        <w:rPr>
          <w:rFonts w:ascii="Calibri" w:hAnsi="Calibri"/>
          <w:b/>
          <w:color w:val="auto"/>
          <w:sz w:val="30"/>
          <w:szCs w:val="30"/>
          <w:highlight w:val="none"/>
        </w:rPr>
      </w:pPr>
    </w:p>
    <w:p>
      <w:pPr>
        <w:rPr>
          <w:rFonts w:ascii="Calibri" w:hAnsi="Calibri"/>
          <w:b/>
          <w:color w:val="auto"/>
          <w:sz w:val="30"/>
          <w:szCs w:val="30"/>
          <w:highlight w:val="none"/>
        </w:rPr>
      </w:pPr>
      <w:r>
        <w:rPr>
          <w:rFonts w:hint="eastAsia" w:ascii="Calibri" w:hAnsi="Calibri"/>
          <w:b/>
          <w:color w:val="auto"/>
          <w:sz w:val="30"/>
          <w:szCs w:val="30"/>
          <w:highlight w:val="none"/>
        </w:rPr>
        <w:br w:type="page"/>
      </w:r>
    </w:p>
    <w:p>
      <w:pPr>
        <w:jc w:val="center"/>
        <w:rPr>
          <w:rFonts w:ascii="Calibri" w:hAnsi="Calibri"/>
          <w:b/>
          <w:color w:val="auto"/>
          <w:sz w:val="30"/>
          <w:szCs w:val="30"/>
          <w:highlight w:val="none"/>
        </w:rPr>
      </w:pPr>
      <w:r>
        <w:rPr>
          <w:rFonts w:hint="eastAsia" w:ascii="Calibri" w:hAnsi="Calibri"/>
          <w:b/>
          <w:color w:val="auto"/>
          <w:sz w:val="30"/>
          <w:szCs w:val="30"/>
          <w:highlight w:val="none"/>
        </w:rPr>
        <w:t>住房和城乡建设部办公厅关于全面实行</w:t>
      </w:r>
    </w:p>
    <w:p>
      <w:pPr>
        <w:jc w:val="center"/>
        <w:rPr>
          <w:rFonts w:ascii="Calibri" w:hAnsi="Calibri"/>
          <w:b/>
          <w:color w:val="auto"/>
          <w:sz w:val="30"/>
          <w:szCs w:val="30"/>
          <w:highlight w:val="none"/>
        </w:rPr>
      </w:pPr>
      <w:r>
        <w:rPr>
          <w:rFonts w:hint="eastAsia" w:ascii="Calibri" w:hAnsi="Calibri"/>
          <w:b/>
          <w:color w:val="auto"/>
          <w:sz w:val="30"/>
          <w:szCs w:val="30"/>
          <w:highlight w:val="none"/>
        </w:rPr>
        <w:t>一级建造师电子注册证书的通知</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各省、自治区住房和城乡建设厅，直辖市住房和城乡建设（管）委，新疆生产建设兵团住房和城乡建设局，国务院有关部门建设司（局），中央军委后勤保障部军事设施建设局，有关中央企业：</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为扎实推进“我为群众办实事”实践活动，深化建筑业“放管服”改革，进一步提升政务服务规范化、便利化水平，我部决定在全国范围内实行一级建造师电子注册证书（以下简称电子证书），并开展延续注册工作。现将有关事项通知如下：</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一、工作内容</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（一）实行电子证书。</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1．自 2021年10月15日起，在全国范围内实行一级建造师电子证书（具体示例及说明见附件1），电子证书式样按照《全国一体化在线政务服务平台电子证照一级建造师注册证书》标准执行（具体式样见附件2）。自 2022年1月1日起，一级建造师统一使用电子证书，纸质注册证书作废。</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2．自 2021年10月15日起，全国范围内准予一级建造师初始注册、增项注册、重新注册、延续注册的，不再发放纸质注册证书或加贴防伪贴；聘用单位基本信息修改的，不再加贴防伪贴；因纸质注册证书遗失、污损或个人信息修改等需重新发放注册证书的，不再补发或更换纸质注册证书。</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3．电子证书与纸质注册证书并行使用期间，其注册编号同时有效。2022年1月1日起，一级建造师应重新刻制执业印章，并使用电子证书上的注册编号。</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4．各省（区、市）住房和城乡建设主管部门要会同有关行业主管部门创新监管模式，充分运用信息化手段，加快实现电子证书在招标投标、审批许可、项目管理、行业监管等环节的应用。</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（二）开展延续注册。</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1．一级建造师注册专业有效期已过期的，应于2021年12月15日前提出延续注册申请；注册专业仍在有效期内的，应在有效期届满30日前提出延续注册申请；注册专业有效期届满且未提出延续注册申请的，自2022年1月1日起注册专业失效。</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2．一级建造师申请延续注册的，应达到继续教育要求，并对本人完成继续教育情况作出承诺。</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3．准予延续注册的注册专业，其注册专业有效期从准予延续注册之日起计算。准予延续注册之日距65周岁不满3年的，有效期至 65 周岁当日。</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二、电子证书有关使用要求</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一）一级建造师可登录国家政务服务平台、住房和城乡建设部政务服务门户查看和下载电子证书，具体操作流程可查阅《住房和城乡建设部一级建造师电子证照申领和使用手册》。查看和下载电子证书时，本人应确认该证书的使用时限。电子证书使用时限为180天，但使用时限距注册专业有效期或建造师满65周岁不足180天的，使用时限截止日期以注册专业有效期截止日期或建造师满65周岁当日为准。超出使用时限的电子证书无效，需重新下载电子证书并再次确认使用时限。</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（二）一级建造师打印电子证书后，应在个人签名处手写本人签名，未手写签名或与签名图像笔迹不一致的，该电子证书无效。</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（三）一级建造师应妥善保管本人的国家政务服务平台账号，因本人保管不善造成账号信息泄露所产生的一切后果由本人承担。</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（四）有关单位和个人可通过“中国建造师网”微信公众号扫描电子证书上的二维码，查询一级建造师注册信息。</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五）电子证书与纸质注册证书的聘用单位信息、个人基本信息、注册专业有效期等不一致的，以电子证书信息为准。电子证书信息发生变更的，需登录国家政务服务平台或住房和城乡建设部政务服务门户重新下载。</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　　附件：1．一级建造师电子注册证书示例及说明</w:t>
      </w:r>
    </w:p>
    <w:p>
      <w:pPr>
        <w:tabs>
          <w:tab w:val="left" w:pos="2410"/>
        </w:tabs>
        <w:spacing w:line="360" w:lineRule="auto"/>
        <w:ind w:firstLine="420" w:firstLineChars="200"/>
        <w:rPr>
          <w:rFonts w:ascii="宋体" w:hAnsi="宋体" w:cs="宋体"/>
          <w:color w:val="auto"/>
          <w:highlight w:val="none"/>
        </w:rPr>
      </w:pPr>
      <w:r>
        <w:rPr>
          <w:rFonts w:hint="eastAsia" w:ascii="宋体" w:hAnsi="宋体" w:cs="宋体"/>
          <w:color w:val="auto"/>
          <w:highlight w:val="none"/>
        </w:rPr>
        <w:t>　　　　　2．一级建造师电子注册证书式样</w:t>
      </w:r>
    </w:p>
    <w:p>
      <w:pPr>
        <w:tabs>
          <w:tab w:val="left" w:pos="2410"/>
        </w:tabs>
        <w:spacing w:line="360" w:lineRule="auto"/>
        <w:ind w:firstLine="420" w:firstLineChars="200"/>
        <w:jc w:val="right"/>
        <w:rPr>
          <w:rFonts w:ascii="宋体" w:hAnsi="宋体" w:cs="宋体"/>
          <w:color w:val="auto"/>
          <w:highlight w:val="none"/>
        </w:rPr>
      </w:pPr>
      <w:r>
        <w:rPr>
          <w:rFonts w:hint="eastAsia" w:ascii="宋体" w:hAnsi="宋体" w:cs="宋体"/>
          <w:color w:val="auto"/>
          <w:highlight w:val="none"/>
        </w:rPr>
        <w:t>　　　　　　　　　　　　　　　　　　　　　　　　　　　　住房和城乡建设部办公厅　　　　　　　　　　　　　　　　　　　　　　　　　　　　　　　　　2021年9月18日</w:t>
      </w:r>
    </w:p>
    <w:p>
      <w:pPr>
        <w:ind w:right="600" w:firstLine="420" w:firstLineChars="200"/>
        <w:rPr>
          <w:rFonts w:ascii="Calibri" w:hAnsi="Calibri"/>
          <w:color w:val="auto"/>
          <w:sz w:val="30"/>
          <w:szCs w:val="30"/>
          <w:highlight w:val="none"/>
        </w:rPr>
      </w:pPr>
      <w:r>
        <w:rPr>
          <w:rFonts w:ascii="Calibri" w:hAnsi="Calibri"/>
          <w:color w:val="auto"/>
          <w:szCs w:val="22"/>
          <w:highlight w:val="none"/>
        </w:rPr>
        <w:drawing>
          <wp:inline distT="0" distB="0" distL="114300" distR="114300">
            <wp:extent cx="5485130" cy="7316470"/>
            <wp:effectExtent l="0" t="0" r="1270" b="1778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3"/>
                    <a:stretch>
                      <a:fillRect/>
                    </a:stretch>
                  </pic:blipFill>
                  <pic:spPr>
                    <a:xfrm>
                      <a:off x="0" y="0"/>
                      <a:ext cx="5485130" cy="7316470"/>
                    </a:xfrm>
                    <a:prstGeom prst="rect">
                      <a:avLst/>
                    </a:prstGeom>
                    <a:noFill/>
                    <a:ln>
                      <a:noFill/>
                    </a:ln>
                  </pic:spPr>
                </pic:pic>
              </a:graphicData>
            </a:graphic>
          </wp:inline>
        </w:drawing>
      </w:r>
      <w:r>
        <w:rPr>
          <w:rFonts w:ascii="Calibri" w:hAnsi="Calibri"/>
          <w:color w:val="auto"/>
          <w:szCs w:val="22"/>
          <w:highlight w:val="none"/>
        </w:rPr>
        <w:drawing>
          <wp:inline distT="0" distB="0" distL="114300" distR="114300">
            <wp:extent cx="5485765" cy="7654290"/>
            <wp:effectExtent l="0" t="0" r="635" b="381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4"/>
                    <a:stretch>
                      <a:fillRect/>
                    </a:stretch>
                  </pic:blipFill>
                  <pic:spPr>
                    <a:xfrm>
                      <a:off x="0" y="0"/>
                      <a:ext cx="5485765" cy="7654290"/>
                    </a:xfrm>
                    <a:prstGeom prst="rect">
                      <a:avLst/>
                    </a:prstGeom>
                    <a:noFill/>
                    <a:ln>
                      <a:noFill/>
                    </a:ln>
                  </pic:spPr>
                </pic:pic>
              </a:graphicData>
            </a:graphic>
          </wp:inline>
        </w:drawing>
      </w:r>
    </w:p>
    <w:bookmarkEnd w:id="32"/>
    <w:bookmarkEnd w:id="33"/>
    <w:p>
      <w:pPr>
        <w:spacing w:line="360" w:lineRule="auto"/>
        <w:ind w:firstLine="2168" w:firstLineChars="600"/>
        <w:rPr>
          <w:rFonts w:hint="eastAsia" w:ascii="Cambria Math" w:hAnsi="Cambria Math"/>
          <w:b/>
          <w:bCs/>
          <w:color w:val="auto"/>
          <w:kern w:val="44"/>
          <w:sz w:val="36"/>
          <w:szCs w:val="44"/>
          <w:highlight w:val="none"/>
        </w:rPr>
        <w:sectPr>
          <w:footerReference r:id="rId8" w:type="default"/>
          <w:pgSz w:w="11906" w:h="16838"/>
          <w:pgMar w:top="1440" w:right="1519" w:bottom="1440" w:left="1519" w:header="851" w:footer="992" w:gutter="0"/>
          <w:pgNumType w:start="1"/>
          <w:cols w:space="425" w:num="1"/>
          <w:docGrid w:type="lines" w:linePitch="312" w:charSpace="0"/>
        </w:sectPr>
      </w:pPr>
    </w:p>
    <w:p>
      <w:pPr>
        <w:spacing w:line="360" w:lineRule="auto"/>
        <w:ind w:firstLine="2168" w:firstLineChars="600"/>
        <w:rPr>
          <w:rFonts w:ascii="宋体" w:hAnsi="宋体"/>
          <w:color w:val="auto"/>
          <w:kern w:val="44"/>
          <w:sz w:val="44"/>
          <w:szCs w:val="44"/>
          <w:highlight w:val="none"/>
        </w:rPr>
      </w:pPr>
      <w:r>
        <w:rPr>
          <w:rFonts w:hint="eastAsia" w:ascii="Cambria Math" w:hAnsi="Cambria Math"/>
          <w:b/>
          <w:bCs/>
          <w:color w:val="auto"/>
          <w:kern w:val="44"/>
          <w:sz w:val="36"/>
          <w:szCs w:val="44"/>
          <w:highlight w:val="none"/>
        </w:rPr>
        <w:t>第</w:t>
      </w:r>
      <w:r>
        <w:rPr>
          <w:rFonts w:hint="eastAsia" w:ascii="Cambria Math" w:hAnsi="Cambria Math"/>
          <w:b/>
          <w:bCs/>
          <w:color w:val="auto"/>
          <w:kern w:val="44"/>
          <w:sz w:val="36"/>
          <w:szCs w:val="44"/>
          <w:highlight w:val="none"/>
          <w:lang w:val="en-US" w:eastAsia="zh-CN"/>
        </w:rPr>
        <w:t>三</w:t>
      </w:r>
      <w:r>
        <w:rPr>
          <w:rFonts w:hint="eastAsia" w:ascii="Cambria Math" w:hAnsi="Cambria Math"/>
          <w:b/>
          <w:bCs/>
          <w:color w:val="auto"/>
          <w:kern w:val="44"/>
          <w:sz w:val="36"/>
          <w:szCs w:val="44"/>
          <w:highlight w:val="none"/>
        </w:rPr>
        <w:t>章   建设工程施工合同</w:t>
      </w:r>
    </w:p>
    <w:p>
      <w:pPr>
        <w:pStyle w:val="28"/>
        <w:jc w:val="center"/>
        <w:rPr>
          <w:rFonts w:hint="eastAsia" w:ascii="宋体"/>
          <w:bCs/>
          <w:color w:val="auto"/>
          <w:sz w:val="28"/>
          <w:szCs w:val="28"/>
          <w:highlight w:val="none"/>
        </w:rPr>
      </w:pPr>
    </w:p>
    <w:p>
      <w:pPr>
        <w:pStyle w:val="28"/>
        <w:jc w:val="center"/>
        <w:rPr>
          <w:rFonts w:hint="eastAsia" w:ascii="宋体"/>
          <w:bCs/>
          <w:color w:val="auto"/>
          <w:sz w:val="28"/>
          <w:szCs w:val="28"/>
          <w:highlight w:val="none"/>
        </w:rPr>
      </w:pPr>
    </w:p>
    <w:p>
      <w:pPr>
        <w:pStyle w:val="28"/>
        <w:jc w:val="center"/>
        <w:rPr>
          <w:rFonts w:hint="eastAsia" w:ascii="宋体"/>
          <w:bCs/>
          <w:color w:val="auto"/>
          <w:sz w:val="28"/>
          <w:szCs w:val="28"/>
          <w:highlight w:val="none"/>
        </w:rPr>
      </w:pPr>
    </w:p>
    <w:p>
      <w:pPr>
        <w:pStyle w:val="28"/>
        <w:jc w:val="center"/>
        <w:rPr>
          <w:rFonts w:hint="eastAsia" w:ascii="宋体"/>
          <w:bCs/>
          <w:color w:val="auto"/>
          <w:sz w:val="28"/>
          <w:szCs w:val="28"/>
          <w:highlight w:val="none"/>
        </w:rPr>
      </w:pPr>
    </w:p>
    <w:p>
      <w:pPr>
        <w:pStyle w:val="28"/>
        <w:jc w:val="center"/>
        <w:rPr>
          <w:rFonts w:hint="eastAsia" w:ascii="宋体"/>
          <w:bCs/>
          <w:color w:val="auto"/>
          <w:sz w:val="28"/>
          <w:szCs w:val="28"/>
          <w:highlight w:val="none"/>
        </w:rPr>
      </w:pPr>
    </w:p>
    <w:p>
      <w:pPr>
        <w:pStyle w:val="28"/>
        <w:jc w:val="center"/>
        <w:rPr>
          <w:rFonts w:ascii="宋体"/>
          <w:b/>
          <w:color w:val="auto"/>
          <w:sz w:val="52"/>
          <w:szCs w:val="52"/>
          <w:highlight w:val="none"/>
        </w:rPr>
      </w:pPr>
      <w:r>
        <w:rPr>
          <w:rFonts w:hint="eastAsia" w:ascii="宋体"/>
          <w:bCs/>
          <w:color w:val="auto"/>
          <w:sz w:val="28"/>
          <w:szCs w:val="28"/>
          <w:highlight w:val="none"/>
        </w:rPr>
        <w:t xml:space="preserve">  </w:t>
      </w:r>
      <w:r>
        <w:rPr>
          <w:rFonts w:hint="eastAsia" w:ascii="宋体"/>
          <w:b/>
          <w:color w:val="auto"/>
          <w:sz w:val="52"/>
          <w:szCs w:val="52"/>
          <w:highlight w:val="none"/>
        </w:rPr>
        <w:t>(示范文本)</w:t>
      </w:r>
    </w:p>
    <w:p>
      <w:pPr>
        <w:pStyle w:val="28"/>
        <w:jc w:val="center"/>
        <w:rPr>
          <w:rFonts w:ascii="宋体"/>
          <w:bCs/>
          <w:color w:val="auto"/>
          <w:sz w:val="32"/>
          <w:szCs w:val="32"/>
          <w:highlight w:val="none"/>
        </w:rPr>
      </w:pPr>
      <w:r>
        <w:rPr>
          <w:rFonts w:hint="eastAsia" w:ascii="宋体"/>
          <w:bCs/>
          <w:color w:val="auto"/>
          <w:sz w:val="32"/>
          <w:szCs w:val="32"/>
          <w:highlight w:val="none"/>
        </w:rPr>
        <w:t>(GF—2017—0201)</w:t>
      </w:r>
    </w:p>
    <w:p>
      <w:pPr>
        <w:jc w:val="center"/>
        <w:rPr>
          <w:rFonts w:ascii="宋体"/>
          <w:bCs/>
          <w:color w:val="auto"/>
          <w:sz w:val="28"/>
          <w:szCs w:val="28"/>
          <w:highlight w:val="none"/>
        </w:rPr>
      </w:pPr>
    </w:p>
    <w:p>
      <w:pPr>
        <w:rPr>
          <w:rFonts w:ascii="宋体"/>
          <w:bCs/>
          <w:color w:val="auto"/>
          <w:sz w:val="24"/>
          <w:highlight w:val="none"/>
        </w:rPr>
      </w:pPr>
    </w:p>
    <w:p>
      <w:pPr>
        <w:rPr>
          <w:rFonts w:ascii="宋体"/>
          <w:bCs/>
          <w:color w:val="auto"/>
          <w:sz w:val="24"/>
          <w:highlight w:val="none"/>
        </w:rPr>
      </w:pPr>
    </w:p>
    <w:p>
      <w:pPr>
        <w:rPr>
          <w:rFonts w:ascii="宋体"/>
          <w:bCs/>
          <w:color w:val="auto"/>
          <w:sz w:val="24"/>
          <w:highlight w:val="none"/>
        </w:rPr>
      </w:pPr>
    </w:p>
    <w:p>
      <w:pPr>
        <w:rPr>
          <w:rFonts w:ascii="宋体"/>
          <w:bCs/>
          <w:color w:val="auto"/>
          <w:sz w:val="24"/>
          <w:highlight w:val="none"/>
        </w:rPr>
      </w:pPr>
    </w:p>
    <w:p>
      <w:pPr>
        <w:rPr>
          <w:rFonts w:ascii="宋体"/>
          <w:bCs/>
          <w:color w:val="auto"/>
          <w:sz w:val="72"/>
          <w:szCs w:val="72"/>
          <w:highlight w:val="none"/>
        </w:rPr>
      </w:pPr>
    </w:p>
    <w:p>
      <w:pPr>
        <w:rPr>
          <w:rFonts w:ascii="宋体"/>
          <w:bCs/>
          <w:color w:val="auto"/>
          <w:sz w:val="72"/>
          <w:szCs w:val="72"/>
          <w:highlight w:val="none"/>
        </w:rPr>
      </w:pPr>
    </w:p>
    <w:p>
      <w:pPr>
        <w:rPr>
          <w:rFonts w:ascii="宋体"/>
          <w:bCs/>
          <w:color w:val="auto"/>
          <w:sz w:val="72"/>
          <w:szCs w:val="72"/>
          <w:highlight w:val="none"/>
        </w:rPr>
      </w:pPr>
    </w:p>
    <w:p>
      <w:pPr>
        <w:rPr>
          <w:rFonts w:ascii="宋体"/>
          <w:bCs/>
          <w:color w:val="auto"/>
          <w:sz w:val="72"/>
          <w:szCs w:val="72"/>
          <w:highlight w:val="none"/>
        </w:rPr>
      </w:pPr>
    </w:p>
    <w:p>
      <w:pPr>
        <w:rPr>
          <w:rFonts w:ascii="宋体"/>
          <w:bCs/>
          <w:color w:val="auto"/>
          <w:sz w:val="72"/>
          <w:szCs w:val="72"/>
          <w:highlight w:val="none"/>
        </w:rPr>
      </w:pPr>
    </w:p>
    <w:p>
      <w:pPr>
        <w:ind w:right="2719" w:rightChars="1295"/>
        <w:jc w:val="center"/>
        <w:rPr>
          <w:rFonts w:ascii="宋体"/>
          <w:b/>
          <w:color w:val="auto"/>
          <w:sz w:val="28"/>
          <w:szCs w:val="28"/>
          <w:highlight w:val="none"/>
        </w:rPr>
      </w:pPr>
      <w:r>
        <w:rPr>
          <w:rFonts w:ascii="宋体"/>
          <w:color w:val="auto"/>
          <w:highlight w:val="none"/>
        </w:rPr>
        <mc:AlternateContent>
          <mc:Choice Requires="wps">
            <w:drawing>
              <wp:anchor distT="0" distB="0" distL="114300" distR="114300" simplePos="0" relativeHeight="251661312" behindDoc="0" locked="0" layoutInCell="1" allowOverlap="1">
                <wp:simplePos x="0" y="0"/>
                <wp:positionH relativeFrom="column">
                  <wp:posOffset>3500755</wp:posOffset>
                </wp:positionH>
                <wp:positionV relativeFrom="paragraph">
                  <wp:posOffset>33020</wp:posOffset>
                </wp:positionV>
                <wp:extent cx="716280" cy="475615"/>
                <wp:effectExtent l="4445" t="4445" r="22225" b="15240"/>
                <wp:wrapNone/>
                <wp:docPr id="8" name="文本框 1"/>
                <wp:cNvGraphicFramePr/>
                <a:graphic xmlns:a="http://schemas.openxmlformats.org/drawingml/2006/main">
                  <a:graphicData uri="http://schemas.microsoft.com/office/word/2010/wordprocessingShape">
                    <wps:wsp>
                      <wps:cNvSpPr txBox="1"/>
                      <wps:spPr>
                        <a:xfrm>
                          <a:off x="0" y="0"/>
                          <a:ext cx="716280" cy="475615"/>
                        </a:xfrm>
                        <a:prstGeom prst="rect">
                          <a:avLst/>
                        </a:prstGeom>
                        <a:noFill/>
                        <a:ln w="9525" cap="flat" cmpd="sng">
                          <a:solidFill>
                            <a:srgbClr val="FFFFFF"/>
                          </a:solidFill>
                          <a:prstDash val="solid"/>
                          <a:miter/>
                          <a:headEnd type="none" w="med" len="med"/>
                          <a:tailEnd type="none" w="med" len="med"/>
                        </a:ln>
                        <a:effectLst/>
                      </wps:spPr>
                      <wps:txbx>
                        <w:txbxContent>
                          <w:p>
                            <w:pPr>
                              <w:rPr>
                                <w:b/>
                                <w:bCs/>
                                <w:sz w:val="32"/>
                              </w:rPr>
                            </w:pPr>
                            <w:r>
                              <w:rPr>
                                <w:rFonts w:hint="eastAsia"/>
                                <w:b/>
                                <w:bCs/>
                                <w:sz w:val="32"/>
                              </w:rPr>
                              <w:t>制定</w:t>
                            </w:r>
                          </w:p>
                        </w:txbxContent>
                      </wps:txbx>
                      <wps:bodyPr upright="1"/>
                    </wps:wsp>
                  </a:graphicData>
                </a:graphic>
              </wp:anchor>
            </w:drawing>
          </mc:Choice>
          <mc:Fallback>
            <w:pict>
              <v:shape id="文本框 1" o:spid="_x0000_s1026" o:spt="202" type="#_x0000_t202" style="position:absolute;left:0pt;margin-left:275.65pt;margin-top:2.6pt;height:37.45pt;width:56.4pt;z-index:251661312;mso-width-relative:page;mso-height-relative:page;" filled="f" stroked="t" coordsize="21600,21600" o:gfxdata="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fCHLtgAAAAIAQAADwAAAAAAAAABACAAAAAi&#10;AAAAZHJzL2Rvd25yZXYueG1sUEsBAhQAFAAAAAgAh07iQMCllXUKAgAAGgQAAA4AAAAAAAAAAQAg&#10;AAAAJwEAAGRycy9lMm9Eb2MueG1sUEsFBgAAAAAGAAYAWQEAAKMFAAAAAA==&#10;">
                <v:fill on="f" focussize="0,0"/>
                <v:stroke color="#FFFFFF" joinstyle="miter"/>
                <v:imagedata o:title=""/>
                <o:lock v:ext="edit" aspectratio="f"/>
                <v:textbox>
                  <w:txbxContent>
                    <w:p>
                      <w:pPr>
                        <w:rPr>
                          <w:b/>
                          <w:bCs/>
                          <w:sz w:val="32"/>
                        </w:rPr>
                      </w:pPr>
                      <w:r>
                        <w:rPr>
                          <w:rFonts w:hint="eastAsia"/>
                          <w:b/>
                          <w:bCs/>
                          <w:sz w:val="32"/>
                        </w:rPr>
                        <w:t>制定</w:t>
                      </w:r>
                    </w:p>
                  </w:txbxContent>
                </v:textbox>
              </v:shape>
            </w:pict>
          </mc:Fallback>
        </mc:AlternateContent>
      </w:r>
      <w:r>
        <w:rPr>
          <w:rFonts w:hint="eastAsia" w:ascii="宋体"/>
          <w:b/>
          <w:color w:val="auto"/>
          <w:spacing w:val="70"/>
          <w:kern w:val="0"/>
          <w:sz w:val="28"/>
          <w:szCs w:val="28"/>
          <w:highlight w:val="none"/>
        </w:rPr>
        <w:t>住房城乡建设</w:t>
      </w:r>
      <w:r>
        <w:rPr>
          <w:rFonts w:hint="eastAsia" w:ascii="宋体"/>
          <w:b/>
          <w:color w:val="auto"/>
          <w:spacing w:val="1"/>
          <w:kern w:val="0"/>
          <w:sz w:val="28"/>
          <w:szCs w:val="28"/>
          <w:highlight w:val="none"/>
        </w:rPr>
        <w:t>部</w:t>
      </w:r>
    </w:p>
    <w:p>
      <w:pPr>
        <w:ind w:right="2719" w:rightChars="1295"/>
        <w:jc w:val="center"/>
        <w:rPr>
          <w:rFonts w:ascii="宋体"/>
          <w:b/>
          <w:color w:val="auto"/>
          <w:sz w:val="28"/>
          <w:szCs w:val="28"/>
          <w:highlight w:val="none"/>
        </w:rPr>
      </w:pPr>
      <w:r>
        <w:rPr>
          <w:rFonts w:hint="eastAsia" w:ascii="宋体"/>
          <w:b/>
          <w:color w:val="auto"/>
          <w:sz w:val="28"/>
          <w:szCs w:val="28"/>
          <w:highlight w:val="none"/>
        </w:rPr>
        <w:t>国家工商行政管理总局</w:t>
      </w:r>
    </w:p>
    <w:p>
      <w:pPr>
        <w:rPr>
          <w:rFonts w:hint="eastAsia" w:ascii="宋体" w:hAnsi="宋体"/>
          <w:b/>
          <w:bCs/>
          <w:color w:val="auto"/>
          <w:sz w:val="30"/>
          <w:szCs w:val="30"/>
          <w:highlight w:val="none"/>
        </w:rPr>
      </w:pPr>
      <w:r>
        <w:rPr>
          <w:rFonts w:hint="eastAsia" w:ascii="宋体" w:hAnsi="宋体"/>
          <w:b/>
          <w:bCs/>
          <w:color w:val="auto"/>
          <w:sz w:val="30"/>
          <w:szCs w:val="30"/>
          <w:highlight w:val="none"/>
        </w:rPr>
        <w:br w:type="page"/>
      </w:r>
    </w:p>
    <w:p>
      <w:pPr>
        <w:keepNext/>
        <w:keepLines/>
        <w:spacing w:line="440" w:lineRule="exact"/>
        <w:jc w:val="center"/>
        <w:outlineLvl w:val="2"/>
        <w:rPr>
          <w:rFonts w:ascii="宋体" w:hAnsi="宋体"/>
          <w:bCs/>
          <w:color w:val="auto"/>
          <w:sz w:val="30"/>
          <w:szCs w:val="30"/>
          <w:highlight w:val="none"/>
        </w:rPr>
      </w:pPr>
      <w:r>
        <w:rPr>
          <w:rFonts w:hint="eastAsia" w:ascii="宋体" w:hAnsi="宋体"/>
          <w:b/>
          <w:bCs/>
          <w:color w:val="auto"/>
          <w:sz w:val="30"/>
          <w:szCs w:val="30"/>
          <w:highlight w:val="none"/>
        </w:rPr>
        <w:t>第一部分</w:t>
      </w:r>
      <w:r>
        <w:rPr>
          <w:rFonts w:ascii="宋体" w:hAnsi="宋体"/>
          <w:b/>
          <w:bCs/>
          <w:color w:val="auto"/>
          <w:sz w:val="30"/>
          <w:szCs w:val="30"/>
          <w:highlight w:val="none"/>
        </w:rPr>
        <w:t xml:space="preserve"> </w:t>
      </w:r>
      <w:r>
        <w:rPr>
          <w:rFonts w:hint="eastAsia" w:ascii="宋体" w:hAnsi="宋体"/>
          <w:b/>
          <w:bCs/>
          <w:color w:val="auto"/>
          <w:sz w:val="30"/>
          <w:szCs w:val="30"/>
          <w:highlight w:val="none"/>
        </w:rPr>
        <w:t>合同协议书</w:t>
      </w:r>
    </w:p>
    <w:p>
      <w:pPr>
        <w:spacing w:line="360" w:lineRule="auto"/>
        <w:rPr>
          <w:rFonts w:ascii="宋体" w:hAnsi="宋体"/>
          <w:b/>
          <w:color w:val="auto"/>
          <w:szCs w:val="21"/>
          <w:highlight w:val="none"/>
          <w:u w:val="single"/>
        </w:rPr>
      </w:pPr>
      <w:bookmarkStart w:id="34" w:name="_Toc404159961"/>
      <w:r>
        <w:rPr>
          <w:rFonts w:hint="eastAsia" w:ascii="宋体" w:hAnsi="宋体"/>
          <w:b/>
          <w:color w:val="auto"/>
          <w:szCs w:val="30"/>
          <w:highlight w:val="none"/>
        </w:rPr>
        <w:t>发包</w:t>
      </w:r>
      <w:r>
        <w:rPr>
          <w:rFonts w:hint="eastAsia" w:ascii="宋体" w:hAnsi="宋体"/>
          <w:b/>
          <w:color w:val="auto"/>
          <w:szCs w:val="21"/>
          <w:highlight w:val="none"/>
        </w:rPr>
        <w:t>人（全称）：</w:t>
      </w:r>
      <w:r>
        <w:rPr>
          <w:rFonts w:hint="eastAsia" w:ascii="宋体" w:hAnsi="宋体" w:cs="宋体"/>
          <w:b/>
          <w:bCs/>
          <w:color w:val="auto"/>
          <w:szCs w:val="21"/>
          <w:highlight w:val="none"/>
          <w:u w:val="single"/>
        </w:rPr>
        <w:t xml:space="preserve">                      </w:t>
      </w:r>
    </w:p>
    <w:p>
      <w:pPr>
        <w:spacing w:line="360" w:lineRule="auto"/>
        <w:rPr>
          <w:rFonts w:ascii="宋体" w:hAnsi="宋体"/>
          <w:b/>
          <w:color w:val="auto"/>
          <w:szCs w:val="21"/>
          <w:highlight w:val="none"/>
          <w:u w:val="single"/>
        </w:rPr>
      </w:pPr>
      <w:r>
        <w:rPr>
          <w:rFonts w:hint="eastAsia" w:ascii="宋体" w:hAnsi="宋体"/>
          <w:b/>
          <w:color w:val="auto"/>
          <w:szCs w:val="21"/>
          <w:highlight w:val="none"/>
        </w:rPr>
        <w:t>承包人（全称）：</w:t>
      </w:r>
      <w:r>
        <w:rPr>
          <w:rFonts w:hint="eastAsia" w:ascii="宋体" w:hAnsi="宋体" w:cs="宋体"/>
          <w:b/>
          <w:bCs/>
          <w:color w:val="auto"/>
          <w:szCs w:val="21"/>
          <w:highlight w:val="none"/>
          <w:u w:val="single"/>
        </w:rPr>
        <w:t xml:space="preserve">                      </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根据《中华人民共和国民法典》、《中华人民共和国建筑法》及有关法律规定，遵循平等、自愿、公平和诚实信用的原则，双方就工程施工及有关事项协商一致，共同达成如下协议：</w:t>
      </w:r>
    </w:p>
    <w:p>
      <w:pPr>
        <w:keepNext/>
        <w:keepLines/>
        <w:spacing w:line="360" w:lineRule="auto"/>
        <w:outlineLvl w:val="3"/>
        <w:rPr>
          <w:rFonts w:ascii="宋体" w:hAnsi="宋体"/>
          <w:b/>
          <w:color w:val="auto"/>
          <w:szCs w:val="21"/>
          <w:highlight w:val="none"/>
        </w:rPr>
      </w:pPr>
      <w:bookmarkStart w:id="35" w:name="_Toc351203481"/>
      <w:r>
        <w:rPr>
          <w:rFonts w:hint="eastAsia" w:ascii="宋体" w:hAnsi="宋体"/>
          <w:b/>
          <w:color w:val="auto"/>
          <w:szCs w:val="21"/>
          <w:highlight w:val="none"/>
        </w:rPr>
        <w:t>一、工程概况</w:t>
      </w:r>
      <w:bookmarkEnd w:id="35"/>
    </w:p>
    <w:p>
      <w:pPr>
        <w:spacing w:line="360" w:lineRule="auto"/>
        <w:ind w:firstLine="420" w:firstLineChars="200"/>
        <w:rPr>
          <w:rFonts w:ascii="宋体" w:hAnsi="宋体"/>
          <w:color w:val="auto"/>
          <w:szCs w:val="21"/>
          <w:highlight w:val="none"/>
          <w:u w:val="single"/>
        </w:rPr>
      </w:pPr>
      <w:r>
        <w:rPr>
          <w:rFonts w:ascii="宋体" w:hAnsi="宋体"/>
          <w:bCs/>
          <w:color w:val="auto"/>
          <w:szCs w:val="21"/>
          <w:highlight w:val="none"/>
        </w:rPr>
        <w:t>1.</w:t>
      </w:r>
      <w:r>
        <w:rPr>
          <w:rFonts w:hint="eastAsia" w:ascii="宋体" w:hAnsi="宋体"/>
          <w:bCs/>
          <w:color w:val="auto"/>
          <w:szCs w:val="21"/>
          <w:highlight w:val="none"/>
        </w:rPr>
        <w:t>工程名称</w:t>
      </w:r>
      <w:r>
        <w:rPr>
          <w:rFonts w:hint="eastAsia" w:ascii="宋体" w:hAnsi="宋体"/>
          <w:color w:val="auto"/>
          <w:szCs w:val="21"/>
          <w:highlight w:val="none"/>
        </w:rPr>
        <w:t>：</w:t>
      </w:r>
      <w:r>
        <w:rPr>
          <w:rFonts w:hint="eastAsia" w:ascii="宋体" w:hAnsi="宋体"/>
          <w:color w:val="auto"/>
          <w:szCs w:val="21"/>
          <w:highlight w:val="none"/>
          <w:u w:val="single"/>
        </w:rPr>
        <w:t xml:space="preserve">                    。</w:t>
      </w:r>
    </w:p>
    <w:p>
      <w:pPr>
        <w:adjustRightInd w:val="0"/>
        <w:snapToGrid w:val="0"/>
        <w:spacing w:line="440" w:lineRule="exact"/>
        <w:ind w:firstLine="420" w:firstLineChars="200"/>
        <w:rPr>
          <w:rFonts w:ascii="宋体" w:hAnsi="宋体"/>
          <w:bCs/>
          <w:color w:val="auto"/>
          <w:szCs w:val="21"/>
          <w:highlight w:val="none"/>
        </w:rPr>
      </w:pPr>
      <w:r>
        <w:rPr>
          <w:rFonts w:ascii="宋体" w:hAnsi="宋体"/>
          <w:bCs/>
          <w:color w:val="auto"/>
          <w:szCs w:val="21"/>
          <w:highlight w:val="none"/>
        </w:rPr>
        <w:t>2.</w:t>
      </w:r>
      <w:r>
        <w:rPr>
          <w:rFonts w:hint="eastAsia" w:ascii="宋体" w:hAnsi="宋体"/>
          <w:bCs/>
          <w:color w:val="auto"/>
          <w:szCs w:val="21"/>
          <w:highlight w:val="none"/>
        </w:rPr>
        <w:t>工程地点：</w:t>
      </w:r>
      <w:r>
        <w:rPr>
          <w:rFonts w:hint="eastAsia"/>
          <w:color w:val="auto"/>
          <w:highlight w:val="none"/>
          <w:u w:val="single"/>
        </w:rPr>
        <w:t xml:space="preserve">                    </w:t>
      </w:r>
      <w:r>
        <w:rPr>
          <w:rFonts w:hint="eastAsia" w:ascii="宋体" w:hAnsi="宋体"/>
          <w:color w:val="auto"/>
          <w:szCs w:val="21"/>
          <w:highlight w:val="none"/>
          <w:u w:val="single"/>
        </w:rPr>
        <w:t>。</w:t>
      </w:r>
    </w:p>
    <w:p>
      <w:pPr>
        <w:spacing w:line="360" w:lineRule="auto"/>
        <w:ind w:firstLine="420" w:firstLineChars="200"/>
        <w:rPr>
          <w:rFonts w:ascii="宋体" w:hAnsi="宋体"/>
          <w:bCs/>
          <w:color w:val="auto"/>
          <w:szCs w:val="21"/>
          <w:highlight w:val="none"/>
        </w:rPr>
      </w:pPr>
      <w:r>
        <w:rPr>
          <w:rFonts w:ascii="宋体" w:hAnsi="宋体"/>
          <w:bCs/>
          <w:color w:val="auto"/>
          <w:szCs w:val="21"/>
          <w:highlight w:val="none"/>
        </w:rPr>
        <w:t>3.</w:t>
      </w:r>
      <w:r>
        <w:rPr>
          <w:rFonts w:hint="eastAsia" w:ascii="宋体" w:hAnsi="宋体"/>
          <w:bCs/>
          <w:color w:val="auto"/>
          <w:szCs w:val="21"/>
          <w:highlight w:val="none"/>
        </w:rPr>
        <w:t>工程立项批准文号：</w:t>
      </w:r>
      <w:r>
        <w:rPr>
          <w:rFonts w:hint="eastAsia" w:ascii="宋体" w:hAnsi="宋体"/>
          <w:bCs/>
          <w:color w:val="auto"/>
          <w:szCs w:val="21"/>
          <w:highlight w:val="none"/>
          <w:u w:val="single"/>
        </w:rPr>
        <w:t xml:space="preserve"> / </w:t>
      </w:r>
      <w:r>
        <w:rPr>
          <w:rFonts w:hint="eastAsia" w:ascii="宋体" w:hAnsi="宋体"/>
          <w:bCs/>
          <w:color w:val="auto"/>
          <w:szCs w:val="21"/>
          <w:highlight w:val="none"/>
        </w:rPr>
        <w:t>。</w:t>
      </w:r>
    </w:p>
    <w:p>
      <w:pPr>
        <w:spacing w:line="360" w:lineRule="auto"/>
        <w:ind w:firstLine="420" w:firstLineChars="200"/>
        <w:rPr>
          <w:rFonts w:ascii="宋体" w:hAnsi="宋体"/>
          <w:bCs/>
          <w:color w:val="auto"/>
          <w:szCs w:val="21"/>
          <w:highlight w:val="none"/>
        </w:rPr>
      </w:pPr>
      <w:r>
        <w:rPr>
          <w:rFonts w:ascii="宋体" w:hAnsi="宋体"/>
          <w:bCs/>
          <w:color w:val="auto"/>
          <w:szCs w:val="21"/>
          <w:highlight w:val="none"/>
        </w:rPr>
        <w:t>4.</w:t>
      </w:r>
      <w:r>
        <w:rPr>
          <w:rFonts w:hint="eastAsia" w:ascii="宋体" w:hAnsi="宋体"/>
          <w:bCs/>
          <w:color w:val="auto"/>
          <w:szCs w:val="21"/>
          <w:highlight w:val="none"/>
        </w:rPr>
        <w:t>资金来源：</w:t>
      </w:r>
      <w:r>
        <w:rPr>
          <w:rFonts w:hint="eastAsia" w:ascii="宋体" w:hAnsi="宋体"/>
          <w:bCs/>
          <w:color w:val="auto"/>
          <w:szCs w:val="21"/>
          <w:highlight w:val="none"/>
          <w:u w:val="single"/>
        </w:rPr>
        <w:t xml:space="preserve"> </w:t>
      </w:r>
      <w:r>
        <w:rPr>
          <w:rFonts w:hint="eastAsia" w:ascii="宋体" w:hAnsi="宋体"/>
          <w:bCs/>
          <w:color w:val="auto"/>
          <w:szCs w:val="21"/>
          <w:highlight w:val="none"/>
          <w:u w:val="single"/>
          <w:lang w:val="en-US" w:eastAsia="zh-CN"/>
        </w:rPr>
        <w:t xml:space="preserve">   </w:t>
      </w:r>
      <w:r>
        <w:rPr>
          <w:rFonts w:hint="eastAsia" w:ascii="宋体" w:hAnsi="宋体"/>
          <w:bCs/>
          <w:color w:val="auto"/>
          <w:szCs w:val="21"/>
          <w:highlight w:val="none"/>
          <w:u w:val="single"/>
        </w:rPr>
        <w:t xml:space="preserve"> </w:t>
      </w:r>
      <w:r>
        <w:rPr>
          <w:rFonts w:hint="eastAsia" w:ascii="宋体" w:hAnsi="宋体"/>
          <w:bCs/>
          <w:color w:val="auto"/>
          <w:szCs w:val="21"/>
          <w:highlight w:val="none"/>
        </w:rPr>
        <w:t>。</w:t>
      </w:r>
    </w:p>
    <w:p>
      <w:pPr>
        <w:spacing w:line="360" w:lineRule="auto"/>
        <w:ind w:firstLine="420" w:firstLineChars="200"/>
        <w:rPr>
          <w:rFonts w:ascii="宋体" w:hAnsi="宋体"/>
          <w:bCs/>
          <w:color w:val="auto"/>
          <w:szCs w:val="21"/>
          <w:highlight w:val="none"/>
        </w:rPr>
      </w:pPr>
      <w:r>
        <w:rPr>
          <w:rFonts w:ascii="宋体" w:hAnsi="宋体"/>
          <w:bCs/>
          <w:color w:val="auto"/>
          <w:szCs w:val="21"/>
          <w:highlight w:val="none"/>
        </w:rPr>
        <w:t>5.</w:t>
      </w:r>
      <w:r>
        <w:rPr>
          <w:rFonts w:hint="eastAsia" w:ascii="宋体" w:hAnsi="宋体"/>
          <w:bCs/>
          <w:color w:val="auto"/>
          <w:szCs w:val="21"/>
          <w:highlight w:val="none"/>
        </w:rPr>
        <w:t>工程内容：</w:t>
      </w:r>
      <w:r>
        <w:rPr>
          <w:rFonts w:hint="eastAsia" w:ascii="宋体" w:hAnsi="宋体"/>
          <w:bCs/>
          <w:color w:val="auto"/>
          <w:szCs w:val="21"/>
          <w:highlight w:val="none"/>
          <w:u w:val="single"/>
        </w:rPr>
        <w:t xml:space="preserve">      </w:t>
      </w:r>
      <w:r>
        <w:rPr>
          <w:rFonts w:hint="eastAsia" w:ascii="宋体" w:hAnsi="宋体" w:cs="宋体"/>
          <w:color w:val="auto"/>
          <w:szCs w:val="21"/>
          <w:highlight w:val="none"/>
          <w:u w:val="single"/>
        </w:rPr>
        <w:t>。</w:t>
      </w:r>
    </w:p>
    <w:p>
      <w:pPr>
        <w:spacing w:line="360" w:lineRule="auto"/>
        <w:ind w:firstLine="420" w:firstLineChars="200"/>
        <w:rPr>
          <w:rFonts w:ascii="宋体" w:hAnsi="宋体"/>
          <w:bCs/>
          <w:color w:val="auto"/>
          <w:szCs w:val="30"/>
          <w:highlight w:val="none"/>
        </w:rPr>
      </w:pPr>
      <w:r>
        <w:rPr>
          <w:rFonts w:hint="eastAsia" w:ascii="宋体" w:hAnsi="宋体"/>
          <w:color w:val="auto"/>
          <w:szCs w:val="32"/>
          <w:highlight w:val="none"/>
        </w:rPr>
        <w:t>群体工程应附《承包人承揽工程项目一览表》（附件</w:t>
      </w:r>
      <w:r>
        <w:rPr>
          <w:rFonts w:ascii="宋体" w:hAnsi="宋体"/>
          <w:color w:val="auto"/>
          <w:szCs w:val="32"/>
          <w:highlight w:val="none"/>
        </w:rPr>
        <w:t>1</w:t>
      </w:r>
      <w:r>
        <w:rPr>
          <w:rFonts w:hint="eastAsia" w:ascii="宋体" w:hAnsi="宋体"/>
          <w:color w:val="auto"/>
          <w:szCs w:val="32"/>
          <w:highlight w:val="none"/>
        </w:rPr>
        <w:t>）。</w:t>
      </w:r>
    </w:p>
    <w:p>
      <w:pPr>
        <w:spacing w:line="360" w:lineRule="auto"/>
        <w:ind w:firstLine="420" w:firstLineChars="200"/>
        <w:rPr>
          <w:rFonts w:ascii="宋体" w:hAnsi="宋体"/>
          <w:bCs/>
          <w:color w:val="auto"/>
          <w:szCs w:val="30"/>
          <w:highlight w:val="none"/>
        </w:rPr>
      </w:pPr>
      <w:r>
        <w:rPr>
          <w:rFonts w:ascii="宋体" w:hAnsi="宋体"/>
          <w:bCs/>
          <w:color w:val="auto"/>
          <w:szCs w:val="30"/>
          <w:highlight w:val="none"/>
        </w:rPr>
        <w:t>6.</w:t>
      </w:r>
      <w:r>
        <w:rPr>
          <w:rFonts w:hint="eastAsia" w:ascii="宋体" w:hAnsi="宋体"/>
          <w:bCs/>
          <w:color w:val="auto"/>
          <w:szCs w:val="30"/>
          <w:highlight w:val="none"/>
        </w:rPr>
        <w:t>工程承包范围：</w:t>
      </w:r>
      <w:r>
        <w:rPr>
          <w:rFonts w:hint="eastAsia"/>
          <w:bCs/>
          <w:color w:val="auto"/>
          <w:szCs w:val="30"/>
          <w:highlight w:val="none"/>
          <w:u w:val="single"/>
        </w:rPr>
        <w:t>同工程内容</w:t>
      </w:r>
      <w:r>
        <w:rPr>
          <w:rFonts w:hint="eastAsia" w:ascii="宋体" w:hAnsi="宋体"/>
          <w:color w:val="auto"/>
          <w:szCs w:val="30"/>
          <w:highlight w:val="none"/>
        </w:rPr>
        <w:t>。</w:t>
      </w:r>
    </w:p>
    <w:p>
      <w:pPr>
        <w:keepNext/>
        <w:keepLines/>
        <w:spacing w:line="360" w:lineRule="auto"/>
        <w:outlineLvl w:val="3"/>
        <w:rPr>
          <w:rFonts w:ascii="宋体" w:hAnsi="宋体"/>
          <w:b/>
          <w:color w:val="auto"/>
          <w:szCs w:val="32"/>
          <w:highlight w:val="none"/>
        </w:rPr>
      </w:pPr>
      <w:bookmarkStart w:id="36" w:name="_Toc351203482"/>
      <w:r>
        <w:rPr>
          <w:rFonts w:hint="eastAsia" w:ascii="宋体" w:hAnsi="宋体"/>
          <w:b/>
          <w:color w:val="auto"/>
          <w:szCs w:val="32"/>
          <w:highlight w:val="none"/>
        </w:rPr>
        <w:t>二、合同工期</w:t>
      </w:r>
      <w:bookmarkEnd w:id="36"/>
    </w:p>
    <w:p>
      <w:pPr>
        <w:spacing w:line="360" w:lineRule="auto"/>
        <w:ind w:firstLine="420" w:firstLineChars="200"/>
        <w:rPr>
          <w:rFonts w:hint="default" w:ascii="宋体" w:hAnsi="宋体" w:eastAsia="宋体"/>
          <w:color w:val="auto"/>
          <w:szCs w:val="30"/>
          <w:highlight w:val="none"/>
          <w:lang w:val="en-US" w:eastAsia="zh-CN"/>
        </w:rPr>
      </w:pPr>
      <w:r>
        <w:rPr>
          <w:rFonts w:hint="eastAsia" w:ascii="宋体" w:hAnsi="宋体"/>
          <w:color w:val="auto"/>
          <w:szCs w:val="30"/>
          <w:highlight w:val="none"/>
        </w:rPr>
        <w:t>计划开工日期：</w:t>
      </w:r>
      <w:r>
        <w:rPr>
          <w:rFonts w:hint="eastAsia" w:ascii="宋体" w:hAnsi="宋体"/>
          <w:color w:val="auto"/>
          <w:szCs w:val="30"/>
          <w:highlight w:val="none"/>
          <w:lang w:val="en-US" w:eastAsia="zh-CN"/>
        </w:rPr>
        <w:t>得到甲方通知</w:t>
      </w:r>
      <w:r>
        <w:rPr>
          <w:rFonts w:hint="eastAsia" w:ascii="宋体" w:hAnsi="宋体"/>
          <w:color w:val="auto"/>
          <w:szCs w:val="30"/>
          <w:highlight w:val="none"/>
          <w:u w:val="single"/>
          <w:lang w:val="en-US" w:eastAsia="zh-CN"/>
        </w:rPr>
        <w:t xml:space="preserve">       </w:t>
      </w:r>
      <w:r>
        <w:rPr>
          <w:rFonts w:hint="eastAsia" w:ascii="宋体" w:hAnsi="宋体"/>
          <w:color w:val="auto"/>
          <w:szCs w:val="30"/>
          <w:highlight w:val="none"/>
          <w:lang w:val="en-US" w:eastAsia="zh-CN"/>
        </w:rPr>
        <w:t>天内</w:t>
      </w:r>
    </w:p>
    <w:p>
      <w:pPr>
        <w:spacing w:line="360" w:lineRule="auto"/>
        <w:ind w:firstLine="420" w:firstLineChars="200"/>
        <w:rPr>
          <w:rFonts w:ascii="宋体" w:hAnsi="宋体"/>
          <w:color w:val="auto"/>
          <w:szCs w:val="30"/>
          <w:highlight w:val="none"/>
        </w:rPr>
      </w:pPr>
      <w:r>
        <w:rPr>
          <w:rFonts w:hint="eastAsia" w:ascii="宋体" w:hAnsi="宋体"/>
          <w:color w:val="auto"/>
          <w:szCs w:val="30"/>
          <w:highlight w:val="none"/>
        </w:rPr>
        <w:t>工期总日历天数：</w:t>
      </w:r>
      <w:r>
        <w:rPr>
          <w:rFonts w:hint="eastAsia" w:ascii="宋体" w:hAnsi="宋体"/>
          <w:color w:val="auto"/>
          <w:szCs w:val="30"/>
          <w:highlight w:val="none"/>
          <w:u w:val="single"/>
        </w:rPr>
        <w:t xml:space="preserve">       </w:t>
      </w:r>
      <w:r>
        <w:rPr>
          <w:rFonts w:hint="eastAsia" w:ascii="宋体" w:hAnsi="宋体"/>
          <w:color w:val="auto"/>
          <w:szCs w:val="30"/>
          <w:highlight w:val="none"/>
        </w:rPr>
        <w:t>日历天。工期总日历天数与根据前述计划开竣工日期计算的工期天数不一致的，以工期总日历天数为准。</w:t>
      </w:r>
    </w:p>
    <w:p>
      <w:pPr>
        <w:keepNext/>
        <w:keepLines/>
        <w:spacing w:line="360" w:lineRule="auto"/>
        <w:outlineLvl w:val="3"/>
        <w:rPr>
          <w:rFonts w:ascii="宋体" w:hAnsi="宋体"/>
          <w:b/>
          <w:color w:val="auto"/>
          <w:szCs w:val="32"/>
          <w:highlight w:val="none"/>
        </w:rPr>
      </w:pPr>
      <w:bookmarkStart w:id="37" w:name="_Toc351203483"/>
      <w:r>
        <w:rPr>
          <w:rFonts w:hint="eastAsia" w:ascii="宋体" w:hAnsi="宋体"/>
          <w:b/>
          <w:color w:val="auto"/>
          <w:szCs w:val="32"/>
          <w:highlight w:val="none"/>
        </w:rPr>
        <w:t>三、质量标准</w:t>
      </w:r>
      <w:bookmarkEnd w:id="37"/>
    </w:p>
    <w:p>
      <w:pPr>
        <w:spacing w:line="360" w:lineRule="auto"/>
        <w:ind w:firstLine="420" w:firstLineChars="200"/>
        <w:rPr>
          <w:rFonts w:ascii="宋体" w:hAnsi="宋体"/>
          <w:color w:val="auto"/>
          <w:szCs w:val="30"/>
          <w:highlight w:val="none"/>
        </w:rPr>
      </w:pPr>
      <w:r>
        <w:rPr>
          <w:rFonts w:hint="eastAsia" w:ascii="宋体" w:hAnsi="宋体"/>
          <w:color w:val="auto"/>
          <w:szCs w:val="30"/>
          <w:highlight w:val="none"/>
        </w:rPr>
        <w:t>工程质量符合标准。</w:t>
      </w:r>
    </w:p>
    <w:p>
      <w:pPr>
        <w:keepNext/>
        <w:keepLines/>
        <w:spacing w:line="360" w:lineRule="auto"/>
        <w:outlineLvl w:val="3"/>
        <w:rPr>
          <w:rFonts w:ascii="宋体" w:hAnsi="宋体"/>
          <w:b/>
          <w:color w:val="auto"/>
          <w:szCs w:val="32"/>
          <w:highlight w:val="none"/>
        </w:rPr>
      </w:pPr>
      <w:bookmarkStart w:id="38" w:name="_Toc351203484"/>
      <w:r>
        <w:rPr>
          <w:rFonts w:hint="eastAsia" w:ascii="宋体" w:hAnsi="宋体"/>
          <w:b/>
          <w:color w:val="auto"/>
          <w:szCs w:val="32"/>
          <w:highlight w:val="none"/>
        </w:rPr>
        <w:t>四、签约合同价与合同价格形式</w:t>
      </w:r>
      <w:bookmarkEnd w:id="38"/>
      <w:r>
        <w:rPr>
          <w:rFonts w:ascii="宋体" w:hAnsi="宋体"/>
          <w:b/>
          <w:color w:val="auto"/>
          <w:szCs w:val="32"/>
          <w:highlight w:val="none"/>
        </w:rPr>
        <w:tab/>
      </w:r>
    </w:p>
    <w:p>
      <w:pPr>
        <w:spacing w:line="360" w:lineRule="auto"/>
        <w:ind w:firstLine="420" w:firstLineChars="200"/>
        <w:rPr>
          <w:rFonts w:ascii="宋体" w:hAnsi="宋体"/>
          <w:color w:val="auto"/>
          <w:szCs w:val="30"/>
          <w:highlight w:val="none"/>
        </w:rPr>
      </w:pPr>
      <w:r>
        <w:rPr>
          <w:rFonts w:ascii="宋体" w:hAnsi="宋体"/>
          <w:color w:val="auto"/>
          <w:szCs w:val="30"/>
          <w:highlight w:val="none"/>
        </w:rPr>
        <w:t>1.</w:t>
      </w:r>
      <w:r>
        <w:rPr>
          <w:rFonts w:hint="eastAsia" w:ascii="宋体" w:hAnsi="宋体"/>
          <w:color w:val="auto"/>
          <w:szCs w:val="30"/>
          <w:highlight w:val="none"/>
        </w:rPr>
        <w:t>签约合同价为：</w:t>
      </w:r>
    </w:p>
    <w:p>
      <w:pPr>
        <w:spacing w:line="360" w:lineRule="auto"/>
        <w:ind w:firstLine="420" w:firstLineChars="200"/>
        <w:rPr>
          <w:rFonts w:ascii="宋体" w:hAnsi="宋体"/>
          <w:color w:val="auto"/>
          <w:szCs w:val="30"/>
          <w:highlight w:val="none"/>
        </w:rPr>
      </w:pPr>
      <w:r>
        <w:rPr>
          <w:rFonts w:hint="eastAsia" w:ascii="宋体" w:hAnsi="宋体"/>
          <w:color w:val="auto"/>
          <w:szCs w:val="30"/>
          <w:highlight w:val="none"/>
        </w:rPr>
        <w:t>人民币（大写：</w:t>
      </w:r>
      <w:r>
        <w:rPr>
          <w:rFonts w:hint="eastAsia" w:ascii="宋体" w:hAnsi="宋体"/>
          <w:color w:val="auto"/>
          <w:szCs w:val="30"/>
          <w:highlight w:val="none"/>
          <w:u w:val="single"/>
        </w:rPr>
        <w:t xml:space="preserve">         </w:t>
      </w:r>
      <w:r>
        <w:rPr>
          <w:rFonts w:hint="eastAsia" w:ascii="宋体" w:hAnsi="宋体"/>
          <w:color w:val="auto"/>
          <w:szCs w:val="30"/>
          <w:highlight w:val="none"/>
        </w:rPr>
        <w:t>）</w:t>
      </w:r>
      <w:r>
        <w:rPr>
          <w:rFonts w:ascii="宋体" w:hAnsi="宋体"/>
          <w:color w:val="auto"/>
          <w:szCs w:val="30"/>
          <w:highlight w:val="none"/>
        </w:rPr>
        <w:t>(¥</w:t>
      </w:r>
      <w:r>
        <w:rPr>
          <w:rFonts w:hint="eastAsia" w:ascii="宋体" w:hAnsi="宋体"/>
          <w:color w:val="auto"/>
          <w:szCs w:val="30"/>
          <w:highlight w:val="none"/>
        </w:rPr>
        <w:t>:</w:t>
      </w:r>
      <w:r>
        <w:rPr>
          <w:rFonts w:hint="eastAsia" w:ascii="宋体" w:hAnsi="宋体"/>
          <w:color w:val="auto"/>
          <w:szCs w:val="30"/>
          <w:highlight w:val="none"/>
          <w:u w:val="single"/>
        </w:rPr>
        <w:t xml:space="preserve">             </w:t>
      </w:r>
      <w:r>
        <w:rPr>
          <w:rFonts w:hint="eastAsia" w:ascii="宋体" w:hAnsi="宋体"/>
          <w:color w:val="auto"/>
          <w:szCs w:val="30"/>
          <w:highlight w:val="none"/>
        </w:rPr>
        <w:t xml:space="preserve"> 元</w:t>
      </w:r>
      <w:r>
        <w:rPr>
          <w:rFonts w:ascii="宋体" w:hAnsi="宋体"/>
          <w:color w:val="auto"/>
          <w:szCs w:val="30"/>
          <w:highlight w:val="none"/>
        </w:rPr>
        <w:t>)</w:t>
      </w:r>
      <w:r>
        <w:rPr>
          <w:rFonts w:hint="eastAsia" w:ascii="宋体" w:hAnsi="宋体"/>
          <w:color w:val="auto"/>
          <w:szCs w:val="30"/>
          <w:highlight w:val="none"/>
        </w:rPr>
        <w:t>；</w:t>
      </w:r>
    </w:p>
    <w:p>
      <w:pPr>
        <w:spacing w:line="360" w:lineRule="auto"/>
        <w:ind w:firstLine="420" w:firstLineChars="200"/>
        <w:rPr>
          <w:rFonts w:ascii="宋体" w:hAnsi="宋体"/>
          <w:color w:val="auto"/>
          <w:szCs w:val="30"/>
          <w:highlight w:val="none"/>
        </w:rPr>
      </w:pPr>
      <w:r>
        <w:rPr>
          <w:rFonts w:hint="eastAsia" w:ascii="宋体" w:hAnsi="宋体"/>
          <w:color w:val="auto"/>
          <w:szCs w:val="30"/>
          <w:highlight w:val="none"/>
        </w:rPr>
        <w:t>其中：</w:t>
      </w:r>
    </w:p>
    <w:p>
      <w:pPr>
        <w:spacing w:line="360" w:lineRule="auto"/>
        <w:ind w:firstLine="420" w:firstLineChars="200"/>
        <w:rPr>
          <w:rFonts w:ascii="宋体" w:hAnsi="宋体"/>
          <w:color w:val="auto"/>
          <w:szCs w:val="30"/>
          <w:highlight w:val="none"/>
        </w:rPr>
      </w:pPr>
      <w:r>
        <w:rPr>
          <w:rFonts w:hint="eastAsia" w:ascii="宋体" w:hAnsi="宋体"/>
          <w:color w:val="auto"/>
          <w:szCs w:val="30"/>
          <w:highlight w:val="none"/>
        </w:rPr>
        <w:t>（</w:t>
      </w:r>
      <w:r>
        <w:rPr>
          <w:rFonts w:ascii="宋体" w:hAnsi="宋体"/>
          <w:color w:val="auto"/>
          <w:szCs w:val="30"/>
          <w:highlight w:val="none"/>
        </w:rPr>
        <w:t>4</w:t>
      </w:r>
      <w:r>
        <w:rPr>
          <w:rFonts w:hint="eastAsia" w:ascii="宋体" w:hAnsi="宋体"/>
          <w:color w:val="auto"/>
          <w:szCs w:val="30"/>
          <w:highlight w:val="none"/>
        </w:rPr>
        <w:t>）暂列金额：</w:t>
      </w:r>
    </w:p>
    <w:p>
      <w:pPr>
        <w:spacing w:line="360" w:lineRule="auto"/>
        <w:ind w:firstLine="420" w:firstLineChars="200"/>
        <w:rPr>
          <w:rFonts w:ascii="宋体" w:hAnsi="宋体"/>
          <w:color w:val="auto"/>
          <w:szCs w:val="30"/>
          <w:highlight w:val="none"/>
        </w:rPr>
      </w:pPr>
      <w:r>
        <w:rPr>
          <w:rFonts w:hint="eastAsia" w:ascii="宋体" w:hAnsi="宋体"/>
          <w:color w:val="auto"/>
          <w:szCs w:val="30"/>
          <w:highlight w:val="none"/>
        </w:rPr>
        <w:t>人民币（大写）</w:t>
      </w:r>
      <w:r>
        <w:rPr>
          <w:rFonts w:hint="eastAsia" w:ascii="宋体" w:hAnsi="宋体"/>
          <w:bCs/>
          <w:color w:val="auto"/>
          <w:szCs w:val="30"/>
          <w:highlight w:val="none"/>
          <w:u w:val="single"/>
        </w:rPr>
        <w:t xml:space="preserve">                                 </w:t>
      </w:r>
      <w:r>
        <w:rPr>
          <w:rFonts w:ascii="宋体" w:hAnsi="宋体"/>
          <w:color w:val="auto"/>
          <w:szCs w:val="30"/>
          <w:highlight w:val="none"/>
        </w:rPr>
        <w:t xml:space="preserve"> (¥</w:t>
      </w:r>
      <w:r>
        <w:rPr>
          <w:rFonts w:hint="eastAsia" w:ascii="宋体" w:hAnsi="宋体"/>
          <w:bCs/>
          <w:color w:val="auto"/>
          <w:szCs w:val="30"/>
          <w:highlight w:val="none"/>
          <w:u w:val="single"/>
        </w:rPr>
        <w:t xml:space="preserve">              </w:t>
      </w:r>
      <w:r>
        <w:rPr>
          <w:rFonts w:hint="eastAsia" w:ascii="宋体" w:hAnsi="宋体"/>
          <w:color w:val="auto"/>
          <w:szCs w:val="30"/>
          <w:highlight w:val="none"/>
        </w:rPr>
        <w:t>元</w:t>
      </w:r>
      <w:r>
        <w:rPr>
          <w:rFonts w:ascii="宋体" w:hAnsi="宋体"/>
          <w:color w:val="auto"/>
          <w:szCs w:val="30"/>
          <w:highlight w:val="none"/>
        </w:rPr>
        <w:t>)</w:t>
      </w:r>
      <w:r>
        <w:rPr>
          <w:rFonts w:hint="eastAsia" w:ascii="宋体" w:hAnsi="宋体"/>
          <w:color w:val="auto"/>
          <w:szCs w:val="30"/>
          <w:highlight w:val="none"/>
        </w:rPr>
        <w:t>。</w:t>
      </w:r>
    </w:p>
    <w:p>
      <w:pPr>
        <w:spacing w:line="360" w:lineRule="auto"/>
        <w:ind w:firstLine="420" w:firstLineChars="200"/>
        <w:rPr>
          <w:rFonts w:ascii="宋体" w:hAnsi="宋体"/>
          <w:color w:val="auto"/>
          <w:szCs w:val="30"/>
          <w:highlight w:val="none"/>
        </w:rPr>
      </w:pPr>
      <w:r>
        <w:rPr>
          <w:rFonts w:ascii="宋体" w:hAnsi="宋体"/>
          <w:color w:val="auto"/>
          <w:szCs w:val="30"/>
          <w:highlight w:val="none"/>
        </w:rPr>
        <w:t>2.</w:t>
      </w:r>
      <w:r>
        <w:rPr>
          <w:rFonts w:hint="eastAsia" w:ascii="宋体" w:hAnsi="宋体"/>
          <w:color w:val="auto"/>
          <w:szCs w:val="30"/>
          <w:highlight w:val="none"/>
        </w:rPr>
        <w:t>合同价格形式：</w:t>
      </w:r>
      <w:r>
        <w:rPr>
          <w:rFonts w:hint="eastAsia" w:ascii="宋体" w:hAnsi="宋体" w:cs="宋体"/>
          <w:b/>
          <w:color w:val="auto"/>
          <w:szCs w:val="21"/>
          <w:highlight w:val="none"/>
          <w:u w:val="single"/>
        </w:rPr>
        <w:t xml:space="preserve">固定单价合同 </w:t>
      </w:r>
      <w:r>
        <w:rPr>
          <w:rFonts w:hint="eastAsia" w:ascii="宋体" w:hAnsi="宋体"/>
          <w:color w:val="auto"/>
          <w:szCs w:val="30"/>
          <w:highlight w:val="none"/>
        </w:rPr>
        <w:t>。</w:t>
      </w:r>
    </w:p>
    <w:p>
      <w:pPr>
        <w:keepNext/>
        <w:keepLines/>
        <w:spacing w:line="360" w:lineRule="auto"/>
        <w:outlineLvl w:val="3"/>
        <w:rPr>
          <w:rFonts w:ascii="宋体" w:hAnsi="宋体"/>
          <w:b/>
          <w:color w:val="auto"/>
          <w:szCs w:val="32"/>
          <w:highlight w:val="none"/>
        </w:rPr>
      </w:pPr>
      <w:bookmarkStart w:id="39" w:name="_Toc351203485"/>
      <w:r>
        <w:rPr>
          <w:rFonts w:hint="eastAsia" w:ascii="宋体" w:hAnsi="宋体"/>
          <w:b/>
          <w:color w:val="auto"/>
          <w:szCs w:val="32"/>
          <w:highlight w:val="none"/>
        </w:rPr>
        <w:t>五、</w:t>
      </w:r>
      <w:bookmarkEnd w:id="39"/>
      <w:r>
        <w:rPr>
          <w:rFonts w:hint="eastAsia" w:ascii="宋体" w:hAnsi="宋体"/>
          <w:b/>
          <w:color w:val="auto"/>
          <w:szCs w:val="32"/>
          <w:highlight w:val="none"/>
        </w:rPr>
        <w:t>项目经理</w:t>
      </w:r>
    </w:p>
    <w:p>
      <w:pPr>
        <w:spacing w:line="360" w:lineRule="auto"/>
        <w:ind w:firstLine="420" w:firstLineChars="200"/>
        <w:rPr>
          <w:rFonts w:ascii="宋体" w:hAnsi="宋体" w:cs="宋体"/>
          <w:color w:val="auto"/>
          <w:szCs w:val="21"/>
          <w:highlight w:val="none"/>
        </w:rPr>
      </w:pPr>
      <w:r>
        <w:rPr>
          <w:rFonts w:hint="eastAsia" w:ascii="宋体" w:hAnsi="宋体"/>
          <w:color w:val="auto"/>
          <w:szCs w:val="30"/>
          <w:highlight w:val="none"/>
        </w:rPr>
        <w:t>承包人项</w:t>
      </w:r>
      <w:r>
        <w:rPr>
          <w:rFonts w:hint="eastAsia" w:ascii="宋体" w:hAnsi="宋体"/>
          <w:color w:val="auto"/>
          <w:szCs w:val="21"/>
          <w:highlight w:val="none"/>
        </w:rPr>
        <w:t>目经理：</w:t>
      </w:r>
      <w:r>
        <w:rPr>
          <w:rFonts w:hint="eastAsia" w:ascii="宋体" w:hAnsi="宋体" w:cs="宋体"/>
          <w:color w:val="auto"/>
          <w:szCs w:val="21"/>
          <w:highlight w:val="none"/>
        </w:rPr>
        <w:t>。</w:t>
      </w:r>
    </w:p>
    <w:p>
      <w:pPr>
        <w:keepNext/>
        <w:keepLines/>
        <w:spacing w:line="360" w:lineRule="auto"/>
        <w:outlineLvl w:val="3"/>
        <w:rPr>
          <w:rFonts w:ascii="宋体" w:hAnsi="宋体"/>
          <w:b/>
          <w:color w:val="auto"/>
          <w:szCs w:val="32"/>
          <w:highlight w:val="none"/>
        </w:rPr>
      </w:pPr>
      <w:bookmarkStart w:id="40" w:name="_Toc351203486"/>
      <w:r>
        <w:rPr>
          <w:rFonts w:hint="eastAsia" w:ascii="宋体" w:hAnsi="宋体"/>
          <w:b/>
          <w:color w:val="auto"/>
          <w:szCs w:val="32"/>
          <w:highlight w:val="none"/>
        </w:rPr>
        <w:t>六、合同文件构成</w:t>
      </w:r>
      <w:bookmarkEnd w:id="40"/>
    </w:p>
    <w:p>
      <w:pPr>
        <w:spacing w:line="360" w:lineRule="auto"/>
        <w:ind w:firstLine="420" w:firstLineChars="200"/>
        <w:rPr>
          <w:rFonts w:ascii="宋体" w:hAnsi="宋体"/>
          <w:bCs/>
          <w:color w:val="auto"/>
          <w:szCs w:val="30"/>
          <w:highlight w:val="none"/>
        </w:rPr>
      </w:pPr>
      <w:r>
        <w:rPr>
          <w:rFonts w:hint="eastAsia" w:ascii="宋体" w:hAnsi="宋体"/>
          <w:bCs/>
          <w:color w:val="auto"/>
          <w:szCs w:val="30"/>
          <w:highlight w:val="none"/>
        </w:rPr>
        <w:t>本协议书与下列文件一起构成合同文件：</w:t>
      </w:r>
    </w:p>
    <w:p>
      <w:pPr>
        <w:autoSpaceDE w:val="0"/>
        <w:autoSpaceDN w:val="0"/>
        <w:adjustRightInd w:val="0"/>
        <w:spacing w:line="360" w:lineRule="auto"/>
        <w:ind w:firstLine="420" w:firstLineChars="200"/>
        <w:jc w:val="left"/>
        <w:rPr>
          <w:rFonts w:ascii="宋体" w:hAnsi="宋体"/>
          <w:color w:val="auto"/>
          <w:szCs w:val="30"/>
          <w:highlight w:val="none"/>
        </w:rPr>
      </w:pPr>
      <w:r>
        <w:rPr>
          <w:rFonts w:hint="eastAsia" w:ascii="宋体" w:hAnsi="宋体"/>
          <w:color w:val="auto"/>
          <w:szCs w:val="30"/>
          <w:highlight w:val="none"/>
        </w:rPr>
        <w:t>（</w:t>
      </w:r>
      <w:r>
        <w:rPr>
          <w:rFonts w:ascii="宋体" w:hAnsi="宋体"/>
          <w:color w:val="auto"/>
          <w:szCs w:val="30"/>
          <w:highlight w:val="none"/>
        </w:rPr>
        <w:t>1</w:t>
      </w:r>
      <w:r>
        <w:rPr>
          <w:rFonts w:hint="eastAsia" w:ascii="宋体" w:hAnsi="宋体"/>
          <w:color w:val="auto"/>
          <w:szCs w:val="30"/>
          <w:highlight w:val="none"/>
        </w:rPr>
        <w:t>）中标通知书（如果有）；</w:t>
      </w:r>
    </w:p>
    <w:p>
      <w:pPr>
        <w:autoSpaceDE w:val="0"/>
        <w:autoSpaceDN w:val="0"/>
        <w:adjustRightInd w:val="0"/>
        <w:spacing w:line="360" w:lineRule="auto"/>
        <w:ind w:firstLine="420" w:firstLineChars="200"/>
        <w:jc w:val="left"/>
        <w:rPr>
          <w:rFonts w:ascii="宋体" w:hAnsi="宋体"/>
          <w:color w:val="auto"/>
          <w:szCs w:val="30"/>
          <w:highlight w:val="none"/>
        </w:rPr>
      </w:pPr>
      <w:r>
        <w:rPr>
          <w:rFonts w:hint="eastAsia" w:ascii="宋体" w:hAnsi="宋体"/>
          <w:color w:val="auto"/>
          <w:szCs w:val="30"/>
          <w:highlight w:val="none"/>
        </w:rPr>
        <w:t>（</w:t>
      </w:r>
      <w:r>
        <w:rPr>
          <w:rFonts w:ascii="宋体" w:hAnsi="宋体"/>
          <w:color w:val="auto"/>
          <w:szCs w:val="30"/>
          <w:highlight w:val="none"/>
        </w:rPr>
        <w:t>2</w:t>
      </w:r>
      <w:r>
        <w:rPr>
          <w:rFonts w:hint="eastAsia" w:ascii="宋体" w:hAnsi="宋体"/>
          <w:color w:val="auto"/>
          <w:szCs w:val="30"/>
          <w:highlight w:val="none"/>
        </w:rPr>
        <w:t>）投标函及其附录（如果有）；</w:t>
      </w:r>
    </w:p>
    <w:p>
      <w:pPr>
        <w:autoSpaceDE w:val="0"/>
        <w:autoSpaceDN w:val="0"/>
        <w:adjustRightInd w:val="0"/>
        <w:spacing w:line="360" w:lineRule="auto"/>
        <w:ind w:firstLine="420" w:firstLineChars="200"/>
        <w:jc w:val="left"/>
        <w:rPr>
          <w:rFonts w:ascii="宋体" w:hAnsi="宋体"/>
          <w:color w:val="auto"/>
          <w:szCs w:val="30"/>
          <w:highlight w:val="none"/>
        </w:rPr>
      </w:pPr>
      <w:r>
        <w:rPr>
          <w:rFonts w:hint="eastAsia" w:ascii="宋体" w:hAnsi="宋体"/>
          <w:color w:val="auto"/>
          <w:szCs w:val="30"/>
          <w:highlight w:val="none"/>
        </w:rPr>
        <w:t>（</w:t>
      </w:r>
      <w:r>
        <w:rPr>
          <w:rFonts w:ascii="宋体" w:hAnsi="宋体"/>
          <w:color w:val="auto"/>
          <w:szCs w:val="30"/>
          <w:highlight w:val="none"/>
        </w:rPr>
        <w:t>3</w:t>
      </w:r>
      <w:r>
        <w:rPr>
          <w:rFonts w:hint="eastAsia" w:ascii="宋体" w:hAnsi="宋体"/>
          <w:color w:val="auto"/>
          <w:szCs w:val="30"/>
          <w:highlight w:val="none"/>
        </w:rPr>
        <w:t>）专用合同条款及其附件；</w:t>
      </w:r>
    </w:p>
    <w:p>
      <w:pPr>
        <w:autoSpaceDE w:val="0"/>
        <w:autoSpaceDN w:val="0"/>
        <w:adjustRightInd w:val="0"/>
        <w:spacing w:line="360" w:lineRule="auto"/>
        <w:ind w:firstLine="420" w:firstLineChars="200"/>
        <w:jc w:val="left"/>
        <w:rPr>
          <w:rFonts w:ascii="宋体" w:hAnsi="宋体"/>
          <w:color w:val="auto"/>
          <w:szCs w:val="30"/>
          <w:highlight w:val="none"/>
        </w:rPr>
      </w:pPr>
      <w:r>
        <w:rPr>
          <w:rFonts w:hint="eastAsia" w:ascii="宋体" w:hAnsi="宋体"/>
          <w:color w:val="auto"/>
          <w:szCs w:val="30"/>
          <w:highlight w:val="none"/>
        </w:rPr>
        <w:t>（</w:t>
      </w:r>
      <w:r>
        <w:rPr>
          <w:rFonts w:ascii="宋体" w:hAnsi="宋体"/>
          <w:color w:val="auto"/>
          <w:szCs w:val="30"/>
          <w:highlight w:val="none"/>
        </w:rPr>
        <w:t>4</w:t>
      </w:r>
      <w:r>
        <w:rPr>
          <w:rFonts w:hint="eastAsia" w:ascii="宋体" w:hAnsi="宋体"/>
          <w:color w:val="auto"/>
          <w:szCs w:val="30"/>
          <w:highlight w:val="none"/>
        </w:rPr>
        <w:t>）通用合同条款；</w:t>
      </w:r>
    </w:p>
    <w:p>
      <w:pPr>
        <w:autoSpaceDE w:val="0"/>
        <w:autoSpaceDN w:val="0"/>
        <w:adjustRightInd w:val="0"/>
        <w:spacing w:line="360" w:lineRule="auto"/>
        <w:ind w:firstLine="420" w:firstLineChars="200"/>
        <w:jc w:val="left"/>
        <w:rPr>
          <w:rFonts w:ascii="宋体" w:hAnsi="宋体"/>
          <w:color w:val="auto"/>
          <w:szCs w:val="30"/>
          <w:highlight w:val="none"/>
        </w:rPr>
      </w:pPr>
      <w:r>
        <w:rPr>
          <w:rFonts w:hint="eastAsia" w:ascii="宋体" w:hAnsi="宋体"/>
          <w:color w:val="auto"/>
          <w:szCs w:val="30"/>
          <w:highlight w:val="none"/>
        </w:rPr>
        <w:t>（</w:t>
      </w:r>
      <w:r>
        <w:rPr>
          <w:rFonts w:ascii="宋体" w:hAnsi="宋体"/>
          <w:color w:val="auto"/>
          <w:szCs w:val="30"/>
          <w:highlight w:val="none"/>
        </w:rPr>
        <w:t>5</w:t>
      </w:r>
      <w:r>
        <w:rPr>
          <w:rFonts w:hint="eastAsia" w:ascii="宋体" w:hAnsi="宋体"/>
          <w:color w:val="auto"/>
          <w:szCs w:val="30"/>
          <w:highlight w:val="none"/>
        </w:rPr>
        <w:t>）技术标准和要求；</w:t>
      </w:r>
    </w:p>
    <w:p>
      <w:pPr>
        <w:autoSpaceDE w:val="0"/>
        <w:autoSpaceDN w:val="0"/>
        <w:adjustRightInd w:val="0"/>
        <w:spacing w:line="360" w:lineRule="auto"/>
        <w:ind w:firstLine="420" w:firstLineChars="200"/>
        <w:jc w:val="left"/>
        <w:rPr>
          <w:rFonts w:ascii="宋体" w:hAnsi="宋体"/>
          <w:color w:val="auto"/>
          <w:szCs w:val="30"/>
          <w:highlight w:val="none"/>
        </w:rPr>
      </w:pPr>
      <w:r>
        <w:rPr>
          <w:rFonts w:hint="eastAsia" w:ascii="宋体" w:hAnsi="宋体"/>
          <w:color w:val="auto"/>
          <w:szCs w:val="30"/>
          <w:highlight w:val="none"/>
        </w:rPr>
        <w:t>（</w:t>
      </w:r>
      <w:r>
        <w:rPr>
          <w:rFonts w:ascii="宋体" w:hAnsi="宋体"/>
          <w:color w:val="auto"/>
          <w:szCs w:val="30"/>
          <w:highlight w:val="none"/>
        </w:rPr>
        <w:t>6</w:t>
      </w:r>
      <w:r>
        <w:rPr>
          <w:rFonts w:hint="eastAsia" w:ascii="宋体" w:hAnsi="宋体"/>
          <w:color w:val="auto"/>
          <w:szCs w:val="30"/>
          <w:highlight w:val="none"/>
        </w:rPr>
        <w:t>）图纸；</w:t>
      </w:r>
    </w:p>
    <w:p>
      <w:pPr>
        <w:autoSpaceDE w:val="0"/>
        <w:autoSpaceDN w:val="0"/>
        <w:adjustRightInd w:val="0"/>
        <w:spacing w:line="360" w:lineRule="auto"/>
        <w:ind w:firstLine="420" w:firstLineChars="200"/>
        <w:jc w:val="left"/>
        <w:rPr>
          <w:rFonts w:ascii="宋体" w:hAnsi="宋体"/>
          <w:color w:val="auto"/>
          <w:szCs w:val="30"/>
          <w:highlight w:val="none"/>
        </w:rPr>
      </w:pPr>
      <w:r>
        <w:rPr>
          <w:rFonts w:hint="eastAsia" w:ascii="宋体" w:hAnsi="宋体"/>
          <w:color w:val="auto"/>
          <w:szCs w:val="30"/>
          <w:highlight w:val="none"/>
        </w:rPr>
        <w:t>（</w:t>
      </w:r>
      <w:r>
        <w:rPr>
          <w:rFonts w:ascii="宋体" w:hAnsi="宋体"/>
          <w:color w:val="auto"/>
          <w:szCs w:val="30"/>
          <w:highlight w:val="none"/>
        </w:rPr>
        <w:t>7</w:t>
      </w:r>
      <w:r>
        <w:rPr>
          <w:rFonts w:hint="eastAsia" w:ascii="宋体" w:hAnsi="宋体"/>
          <w:color w:val="auto"/>
          <w:szCs w:val="30"/>
          <w:highlight w:val="none"/>
        </w:rPr>
        <w:t>）已标价工程量清单或预算书；</w:t>
      </w:r>
    </w:p>
    <w:p>
      <w:pPr>
        <w:autoSpaceDE w:val="0"/>
        <w:autoSpaceDN w:val="0"/>
        <w:adjustRightInd w:val="0"/>
        <w:spacing w:line="360" w:lineRule="auto"/>
        <w:ind w:firstLine="420" w:firstLineChars="200"/>
        <w:jc w:val="left"/>
        <w:rPr>
          <w:rFonts w:ascii="宋体" w:hAnsi="宋体"/>
          <w:color w:val="auto"/>
          <w:szCs w:val="30"/>
          <w:highlight w:val="none"/>
        </w:rPr>
      </w:pPr>
      <w:r>
        <w:rPr>
          <w:rFonts w:hint="eastAsia" w:ascii="宋体" w:hAnsi="宋体"/>
          <w:color w:val="auto"/>
          <w:szCs w:val="30"/>
          <w:highlight w:val="none"/>
        </w:rPr>
        <w:t>（</w:t>
      </w:r>
      <w:r>
        <w:rPr>
          <w:rFonts w:ascii="宋体" w:hAnsi="宋体"/>
          <w:color w:val="auto"/>
          <w:szCs w:val="30"/>
          <w:highlight w:val="none"/>
        </w:rPr>
        <w:t>8</w:t>
      </w:r>
      <w:r>
        <w:rPr>
          <w:rFonts w:hint="eastAsia" w:ascii="宋体" w:hAnsi="宋体"/>
          <w:color w:val="auto"/>
          <w:szCs w:val="30"/>
          <w:highlight w:val="none"/>
        </w:rPr>
        <w:t>）其他合同文件。</w:t>
      </w:r>
    </w:p>
    <w:p>
      <w:pPr>
        <w:autoSpaceDE w:val="0"/>
        <w:autoSpaceDN w:val="0"/>
        <w:adjustRightInd w:val="0"/>
        <w:spacing w:line="360" w:lineRule="auto"/>
        <w:ind w:firstLine="420" w:firstLineChars="200"/>
        <w:jc w:val="left"/>
        <w:rPr>
          <w:rFonts w:ascii="宋体" w:hAnsi="宋体"/>
          <w:color w:val="auto"/>
          <w:szCs w:val="30"/>
          <w:highlight w:val="none"/>
        </w:rPr>
      </w:pPr>
      <w:r>
        <w:rPr>
          <w:rFonts w:hint="eastAsia" w:ascii="宋体" w:hAnsi="宋体"/>
          <w:color w:val="auto"/>
          <w:szCs w:val="30"/>
          <w:highlight w:val="none"/>
        </w:rPr>
        <w:t>在合同订立及履行过程中形成的与合同有关的文件均构成合同文件组成部分。</w:t>
      </w:r>
    </w:p>
    <w:p>
      <w:pPr>
        <w:autoSpaceDE w:val="0"/>
        <w:autoSpaceDN w:val="0"/>
        <w:adjustRightInd w:val="0"/>
        <w:spacing w:line="360" w:lineRule="auto"/>
        <w:ind w:firstLine="420" w:firstLineChars="200"/>
        <w:jc w:val="left"/>
        <w:rPr>
          <w:rFonts w:ascii="宋体" w:hAnsi="宋体"/>
          <w:color w:val="auto"/>
          <w:szCs w:val="30"/>
          <w:highlight w:val="none"/>
        </w:rPr>
      </w:pPr>
      <w:r>
        <w:rPr>
          <w:rFonts w:hint="eastAsia" w:ascii="宋体" w:hAnsi="宋体"/>
          <w:color w:val="auto"/>
          <w:szCs w:val="30"/>
          <w:highlight w:val="none"/>
        </w:rPr>
        <w:t>上述各项合同文件包括合同当事人就该项合同文件所作出的补充和修改，属于同一类内容的文件，应以最新签署的为准。专用合同条款及其附件须经合同当事人签字或盖章。</w:t>
      </w:r>
    </w:p>
    <w:p>
      <w:pPr>
        <w:keepNext/>
        <w:keepLines/>
        <w:spacing w:line="360" w:lineRule="auto"/>
        <w:outlineLvl w:val="3"/>
        <w:rPr>
          <w:rFonts w:ascii="宋体" w:hAnsi="宋体"/>
          <w:b/>
          <w:bCs/>
          <w:color w:val="auto"/>
          <w:szCs w:val="32"/>
          <w:highlight w:val="none"/>
        </w:rPr>
      </w:pPr>
      <w:bookmarkStart w:id="41" w:name="_Toc351203487"/>
      <w:r>
        <w:rPr>
          <w:rFonts w:hint="eastAsia" w:ascii="宋体" w:hAnsi="宋体"/>
          <w:b/>
          <w:bCs/>
          <w:color w:val="auto"/>
          <w:szCs w:val="32"/>
          <w:highlight w:val="none"/>
        </w:rPr>
        <w:t>七、承诺</w:t>
      </w:r>
      <w:bookmarkEnd w:id="41"/>
    </w:p>
    <w:p>
      <w:pPr>
        <w:spacing w:line="360" w:lineRule="auto"/>
        <w:ind w:firstLine="420" w:firstLineChars="200"/>
        <w:rPr>
          <w:rFonts w:ascii="宋体" w:hAnsi="宋体"/>
          <w:bCs/>
          <w:color w:val="auto"/>
          <w:szCs w:val="30"/>
          <w:highlight w:val="none"/>
        </w:rPr>
      </w:pPr>
      <w:r>
        <w:rPr>
          <w:rFonts w:ascii="宋体" w:hAnsi="宋体"/>
          <w:bCs/>
          <w:color w:val="auto"/>
          <w:szCs w:val="30"/>
          <w:highlight w:val="none"/>
        </w:rPr>
        <w:t>1.</w:t>
      </w:r>
      <w:r>
        <w:rPr>
          <w:rFonts w:hint="eastAsia" w:ascii="宋体" w:hAnsi="宋体"/>
          <w:bCs/>
          <w:color w:val="auto"/>
          <w:szCs w:val="30"/>
          <w:highlight w:val="none"/>
        </w:rPr>
        <w:t>发包人承诺按照法律规定履行项目审批手续、筹集工程建设资金并按照合同约定的期限和方式支付合同价款。</w:t>
      </w:r>
    </w:p>
    <w:p>
      <w:pPr>
        <w:spacing w:line="360" w:lineRule="auto"/>
        <w:ind w:firstLine="420" w:firstLineChars="200"/>
        <w:rPr>
          <w:rFonts w:ascii="宋体" w:hAnsi="宋体"/>
          <w:bCs/>
          <w:color w:val="auto"/>
          <w:szCs w:val="30"/>
          <w:highlight w:val="none"/>
        </w:rPr>
      </w:pPr>
      <w:r>
        <w:rPr>
          <w:rFonts w:ascii="宋体" w:hAnsi="宋体"/>
          <w:bCs/>
          <w:color w:val="auto"/>
          <w:szCs w:val="30"/>
          <w:highlight w:val="none"/>
        </w:rPr>
        <w:t>2.</w:t>
      </w:r>
      <w:r>
        <w:rPr>
          <w:rFonts w:hint="eastAsia" w:ascii="宋体" w:hAnsi="宋体"/>
          <w:bCs/>
          <w:color w:val="auto"/>
          <w:szCs w:val="30"/>
          <w:highlight w:val="none"/>
        </w:rPr>
        <w:t>承包人承诺按照法律规定及合同约定组织完成工程施工，确保工程质量和安全，不进行转包及违法分包，并在缺陷责任期及保修期内承担相应的工程维修责任。</w:t>
      </w:r>
    </w:p>
    <w:p>
      <w:pPr>
        <w:spacing w:line="360" w:lineRule="auto"/>
        <w:ind w:firstLine="420" w:firstLineChars="200"/>
        <w:rPr>
          <w:rFonts w:ascii="宋体" w:hAnsi="宋体"/>
          <w:bCs/>
          <w:color w:val="auto"/>
          <w:szCs w:val="30"/>
          <w:highlight w:val="none"/>
        </w:rPr>
      </w:pPr>
      <w:r>
        <w:rPr>
          <w:rFonts w:ascii="宋体" w:hAnsi="宋体"/>
          <w:bCs/>
          <w:color w:val="auto"/>
          <w:szCs w:val="30"/>
          <w:highlight w:val="none"/>
        </w:rPr>
        <w:t>3.</w:t>
      </w:r>
      <w:r>
        <w:rPr>
          <w:rFonts w:hint="eastAsia" w:ascii="宋体" w:hAnsi="宋体"/>
          <w:bCs/>
          <w:color w:val="auto"/>
          <w:szCs w:val="30"/>
          <w:highlight w:val="none"/>
        </w:rPr>
        <w:t>发包人和承包人通过招投标形式签订合同的，双方理解并承诺不再就同一工程另行签订与合同实质性内容相背离的协议。</w:t>
      </w:r>
    </w:p>
    <w:p>
      <w:pPr>
        <w:spacing w:line="360" w:lineRule="auto"/>
        <w:rPr>
          <w:rFonts w:ascii="宋体" w:hAnsi="宋体"/>
          <w:b/>
          <w:color w:val="auto"/>
          <w:szCs w:val="32"/>
          <w:highlight w:val="none"/>
        </w:rPr>
      </w:pPr>
      <w:bookmarkStart w:id="42" w:name="_Toc351203488"/>
      <w:r>
        <w:rPr>
          <w:rFonts w:hint="eastAsia" w:ascii="宋体" w:hAnsi="宋体"/>
          <w:b/>
          <w:color w:val="auto"/>
          <w:szCs w:val="32"/>
          <w:highlight w:val="none"/>
        </w:rPr>
        <w:t>八、词语含义</w:t>
      </w:r>
      <w:bookmarkEnd w:id="42"/>
    </w:p>
    <w:p>
      <w:pPr>
        <w:spacing w:line="360" w:lineRule="auto"/>
        <w:ind w:firstLine="420" w:firstLineChars="200"/>
        <w:rPr>
          <w:rFonts w:ascii="宋体" w:hAnsi="宋体"/>
          <w:bCs/>
          <w:color w:val="auto"/>
          <w:szCs w:val="30"/>
          <w:highlight w:val="none"/>
        </w:rPr>
      </w:pPr>
      <w:r>
        <w:rPr>
          <w:rFonts w:hint="eastAsia" w:ascii="宋体" w:hAnsi="宋体"/>
          <w:bCs/>
          <w:color w:val="auto"/>
          <w:szCs w:val="30"/>
          <w:highlight w:val="none"/>
        </w:rPr>
        <w:t>本协议书中词语含义与第二部分通用合同条款中赋予的含义相同。</w:t>
      </w:r>
    </w:p>
    <w:p>
      <w:pPr>
        <w:keepNext/>
        <w:keepLines/>
        <w:spacing w:line="360" w:lineRule="auto"/>
        <w:outlineLvl w:val="3"/>
        <w:rPr>
          <w:rFonts w:ascii="宋体" w:hAnsi="宋体"/>
          <w:b/>
          <w:color w:val="auto"/>
          <w:szCs w:val="32"/>
          <w:highlight w:val="none"/>
        </w:rPr>
      </w:pPr>
      <w:bookmarkStart w:id="43" w:name="_Toc351203489"/>
      <w:r>
        <w:rPr>
          <w:rFonts w:hint="eastAsia" w:ascii="宋体" w:hAnsi="宋体"/>
          <w:b/>
          <w:color w:val="auto"/>
          <w:szCs w:val="32"/>
          <w:highlight w:val="none"/>
        </w:rPr>
        <w:t>九、签订时间</w:t>
      </w:r>
      <w:bookmarkEnd w:id="43"/>
    </w:p>
    <w:p>
      <w:pPr>
        <w:spacing w:line="360" w:lineRule="auto"/>
        <w:ind w:firstLine="420" w:firstLineChars="200"/>
        <w:rPr>
          <w:rFonts w:ascii="宋体" w:hAnsi="宋体"/>
          <w:bCs/>
          <w:color w:val="auto"/>
          <w:szCs w:val="30"/>
          <w:highlight w:val="none"/>
        </w:rPr>
      </w:pPr>
      <w:r>
        <w:rPr>
          <w:rFonts w:hint="eastAsia" w:ascii="宋体" w:hAnsi="宋体"/>
          <w:bCs/>
          <w:color w:val="auto"/>
          <w:szCs w:val="30"/>
          <w:highlight w:val="none"/>
        </w:rPr>
        <w:t>本合同于</w:t>
      </w:r>
      <w:r>
        <w:rPr>
          <w:rFonts w:hint="eastAsia" w:ascii="宋体" w:hAnsi="宋体"/>
          <w:bCs/>
          <w:color w:val="auto"/>
          <w:szCs w:val="30"/>
          <w:highlight w:val="none"/>
          <w:u w:val="single"/>
        </w:rPr>
        <w:t>2023</w:t>
      </w:r>
      <w:r>
        <w:rPr>
          <w:rFonts w:hint="eastAsia" w:ascii="宋体" w:hAnsi="宋体"/>
          <w:bCs/>
          <w:color w:val="auto"/>
          <w:szCs w:val="30"/>
          <w:highlight w:val="none"/>
        </w:rPr>
        <w:t>年</w:t>
      </w:r>
      <w:r>
        <w:rPr>
          <w:rFonts w:hint="eastAsia" w:ascii="宋体" w:hAnsi="宋体"/>
          <w:bCs/>
          <w:color w:val="auto"/>
          <w:szCs w:val="30"/>
          <w:highlight w:val="none"/>
          <w:u w:val="single"/>
        </w:rPr>
        <w:t xml:space="preserve">  </w:t>
      </w:r>
      <w:r>
        <w:rPr>
          <w:rFonts w:hint="eastAsia" w:ascii="宋体" w:hAnsi="宋体"/>
          <w:bCs/>
          <w:color w:val="auto"/>
          <w:szCs w:val="30"/>
          <w:highlight w:val="none"/>
        </w:rPr>
        <w:t>月</w:t>
      </w:r>
      <w:r>
        <w:rPr>
          <w:rFonts w:hint="eastAsia" w:ascii="宋体" w:hAnsi="宋体"/>
          <w:bCs/>
          <w:color w:val="auto"/>
          <w:szCs w:val="30"/>
          <w:highlight w:val="none"/>
          <w:u w:val="single"/>
        </w:rPr>
        <w:t xml:space="preserve">  </w:t>
      </w:r>
      <w:r>
        <w:rPr>
          <w:rFonts w:hint="eastAsia" w:ascii="宋体" w:hAnsi="宋体"/>
          <w:bCs/>
          <w:color w:val="auto"/>
          <w:szCs w:val="30"/>
          <w:highlight w:val="none"/>
        </w:rPr>
        <w:t>日签订。</w:t>
      </w:r>
    </w:p>
    <w:p>
      <w:pPr>
        <w:keepNext/>
        <w:keepLines/>
        <w:spacing w:line="360" w:lineRule="auto"/>
        <w:outlineLvl w:val="3"/>
        <w:rPr>
          <w:rFonts w:ascii="宋体" w:hAnsi="宋体"/>
          <w:b/>
          <w:color w:val="auto"/>
          <w:szCs w:val="32"/>
          <w:highlight w:val="none"/>
        </w:rPr>
      </w:pPr>
      <w:bookmarkStart w:id="44" w:name="_Toc351203490"/>
      <w:r>
        <w:rPr>
          <w:rFonts w:hint="eastAsia" w:ascii="宋体" w:hAnsi="宋体"/>
          <w:b/>
          <w:color w:val="auto"/>
          <w:szCs w:val="32"/>
          <w:highlight w:val="none"/>
        </w:rPr>
        <w:t>十、签订地点</w:t>
      </w:r>
      <w:bookmarkEnd w:id="44"/>
    </w:p>
    <w:p>
      <w:pPr>
        <w:spacing w:line="360" w:lineRule="auto"/>
        <w:ind w:firstLine="420" w:firstLineChars="200"/>
        <w:rPr>
          <w:rFonts w:ascii="宋体" w:hAnsi="宋体"/>
          <w:bCs/>
          <w:color w:val="auto"/>
          <w:szCs w:val="21"/>
          <w:highlight w:val="none"/>
        </w:rPr>
      </w:pPr>
      <w:r>
        <w:rPr>
          <w:rFonts w:hint="eastAsia" w:ascii="宋体" w:hAnsi="宋体"/>
          <w:bCs/>
          <w:color w:val="auto"/>
          <w:szCs w:val="21"/>
          <w:highlight w:val="none"/>
        </w:rPr>
        <w:t>本合同在</w:t>
      </w:r>
      <w:r>
        <w:rPr>
          <w:rFonts w:hint="eastAsia" w:ascii="宋体" w:hAnsi="宋体"/>
          <w:bCs/>
          <w:color w:val="auto"/>
          <w:szCs w:val="30"/>
          <w:highlight w:val="none"/>
          <w:u w:val="single"/>
        </w:rPr>
        <w:t xml:space="preserve">                                 </w:t>
      </w:r>
      <w:r>
        <w:rPr>
          <w:rFonts w:hint="eastAsia" w:ascii="宋体" w:hAnsi="宋体"/>
          <w:bCs/>
          <w:color w:val="auto"/>
          <w:szCs w:val="21"/>
          <w:highlight w:val="none"/>
        </w:rPr>
        <w:t>签订。</w:t>
      </w:r>
    </w:p>
    <w:p>
      <w:pPr>
        <w:keepNext/>
        <w:keepLines/>
        <w:spacing w:line="360" w:lineRule="auto"/>
        <w:outlineLvl w:val="3"/>
        <w:rPr>
          <w:rFonts w:ascii="宋体" w:hAnsi="宋体"/>
          <w:b/>
          <w:color w:val="auto"/>
          <w:szCs w:val="32"/>
          <w:highlight w:val="none"/>
        </w:rPr>
      </w:pPr>
      <w:bookmarkStart w:id="45" w:name="_Toc351203491"/>
      <w:r>
        <w:rPr>
          <w:rFonts w:hint="eastAsia" w:ascii="宋体" w:hAnsi="宋体"/>
          <w:b/>
          <w:color w:val="auto"/>
          <w:szCs w:val="32"/>
          <w:highlight w:val="none"/>
        </w:rPr>
        <w:t>十一、补充协议</w:t>
      </w:r>
      <w:bookmarkEnd w:id="45"/>
    </w:p>
    <w:p>
      <w:pPr>
        <w:spacing w:line="360" w:lineRule="auto"/>
        <w:ind w:firstLine="420" w:firstLineChars="200"/>
        <w:rPr>
          <w:rFonts w:ascii="宋体" w:hAnsi="宋体"/>
          <w:b/>
          <w:bCs/>
          <w:color w:val="auto"/>
          <w:szCs w:val="30"/>
          <w:highlight w:val="none"/>
        </w:rPr>
      </w:pPr>
      <w:r>
        <w:rPr>
          <w:rFonts w:hint="eastAsia" w:ascii="宋体" w:hAnsi="宋体"/>
          <w:bCs/>
          <w:color w:val="auto"/>
          <w:szCs w:val="30"/>
          <w:highlight w:val="none"/>
        </w:rPr>
        <w:t>合同未尽事宜，合同当事人另行签订补充协议，补充协议是合同的组成部分。</w:t>
      </w:r>
    </w:p>
    <w:p>
      <w:pPr>
        <w:keepNext/>
        <w:keepLines/>
        <w:spacing w:line="360" w:lineRule="auto"/>
        <w:outlineLvl w:val="3"/>
        <w:rPr>
          <w:rFonts w:ascii="宋体" w:hAnsi="宋体"/>
          <w:b/>
          <w:color w:val="auto"/>
          <w:szCs w:val="32"/>
          <w:highlight w:val="none"/>
        </w:rPr>
      </w:pPr>
      <w:bookmarkStart w:id="46" w:name="_Toc351203492"/>
      <w:r>
        <w:rPr>
          <w:rFonts w:hint="eastAsia" w:ascii="宋体" w:hAnsi="宋体"/>
          <w:b/>
          <w:color w:val="auto"/>
          <w:szCs w:val="32"/>
          <w:highlight w:val="none"/>
        </w:rPr>
        <w:t>十二、合同生效</w:t>
      </w:r>
      <w:bookmarkEnd w:id="46"/>
    </w:p>
    <w:p>
      <w:pPr>
        <w:spacing w:line="360" w:lineRule="auto"/>
        <w:ind w:firstLine="420" w:firstLineChars="200"/>
        <w:rPr>
          <w:rFonts w:ascii="宋体" w:hAnsi="宋体"/>
          <w:bCs/>
          <w:color w:val="auto"/>
          <w:szCs w:val="30"/>
          <w:highlight w:val="none"/>
        </w:rPr>
      </w:pPr>
      <w:r>
        <w:rPr>
          <w:rFonts w:hint="eastAsia" w:ascii="宋体" w:hAnsi="宋体"/>
          <w:bCs/>
          <w:color w:val="auto"/>
          <w:szCs w:val="30"/>
          <w:highlight w:val="none"/>
        </w:rPr>
        <w:t>本合同自</w:t>
      </w:r>
      <w:r>
        <w:rPr>
          <w:rFonts w:hint="eastAsia" w:ascii="宋体" w:hAnsi="宋体" w:cs="宋体"/>
          <w:b/>
          <w:bCs/>
          <w:color w:val="auto"/>
          <w:szCs w:val="21"/>
          <w:highlight w:val="none"/>
          <w:u w:val="single"/>
        </w:rPr>
        <w:t>本合同自双方签字、盖章后，且承包人向发包人提交符合要求的履约保证金后</w:t>
      </w:r>
      <w:r>
        <w:rPr>
          <w:rFonts w:hint="eastAsia" w:ascii="宋体" w:hAnsi="宋体"/>
          <w:bCs/>
          <w:color w:val="auto"/>
          <w:szCs w:val="30"/>
          <w:highlight w:val="none"/>
        </w:rPr>
        <w:t>生效。</w:t>
      </w:r>
    </w:p>
    <w:p>
      <w:pPr>
        <w:keepNext/>
        <w:keepLines/>
        <w:spacing w:line="360" w:lineRule="auto"/>
        <w:outlineLvl w:val="3"/>
        <w:rPr>
          <w:rFonts w:ascii="宋体" w:hAnsi="宋体"/>
          <w:b/>
          <w:color w:val="auto"/>
          <w:szCs w:val="32"/>
          <w:highlight w:val="none"/>
        </w:rPr>
      </w:pPr>
      <w:bookmarkStart w:id="47" w:name="_Toc351203493"/>
      <w:r>
        <w:rPr>
          <w:rFonts w:hint="eastAsia" w:ascii="宋体" w:hAnsi="宋体"/>
          <w:b/>
          <w:color w:val="auto"/>
          <w:szCs w:val="32"/>
          <w:highlight w:val="none"/>
        </w:rPr>
        <w:t>十三、合同份数</w:t>
      </w:r>
      <w:bookmarkEnd w:id="47"/>
    </w:p>
    <w:p>
      <w:pPr>
        <w:spacing w:line="360" w:lineRule="auto"/>
        <w:ind w:firstLine="420" w:firstLineChars="200"/>
        <w:rPr>
          <w:rFonts w:ascii="宋体" w:hAnsi="宋体"/>
          <w:bCs/>
          <w:color w:val="auto"/>
          <w:szCs w:val="30"/>
          <w:highlight w:val="none"/>
        </w:rPr>
      </w:pPr>
      <w:r>
        <w:rPr>
          <w:rFonts w:hint="eastAsia" w:ascii="宋体" w:hAnsi="宋体"/>
          <w:bCs/>
          <w:color w:val="auto"/>
          <w:szCs w:val="30"/>
          <w:highlight w:val="none"/>
        </w:rPr>
        <w:t>本合同一式</w:t>
      </w:r>
      <w:r>
        <w:rPr>
          <w:rFonts w:hint="eastAsia" w:ascii="宋体" w:hAnsi="宋体" w:cs="宋体"/>
          <w:color w:val="auto"/>
          <w:kern w:val="0"/>
          <w:sz w:val="23"/>
          <w:szCs w:val="23"/>
          <w:highlight w:val="none"/>
          <w:u w:val="single"/>
        </w:rPr>
        <w:t>捌</w:t>
      </w:r>
      <w:r>
        <w:rPr>
          <w:rFonts w:hint="eastAsia" w:ascii="宋体" w:hAnsi="宋体"/>
          <w:bCs/>
          <w:color w:val="auto"/>
          <w:szCs w:val="30"/>
          <w:highlight w:val="none"/>
        </w:rPr>
        <w:t>份，均具有同等法律效力，发包人执</w:t>
      </w:r>
      <w:r>
        <w:rPr>
          <w:rFonts w:hint="eastAsia" w:ascii="宋体" w:hAnsi="宋体"/>
          <w:bCs/>
          <w:color w:val="auto"/>
          <w:szCs w:val="30"/>
          <w:highlight w:val="none"/>
          <w:u w:val="single"/>
        </w:rPr>
        <w:t xml:space="preserve"> 肆 </w:t>
      </w:r>
      <w:r>
        <w:rPr>
          <w:rFonts w:hint="eastAsia" w:ascii="宋体" w:hAnsi="宋体"/>
          <w:bCs/>
          <w:color w:val="auto"/>
          <w:szCs w:val="30"/>
          <w:highlight w:val="none"/>
        </w:rPr>
        <w:t>份，承包人执</w:t>
      </w:r>
      <w:r>
        <w:rPr>
          <w:rFonts w:hint="eastAsia" w:ascii="宋体" w:hAnsi="宋体"/>
          <w:bCs/>
          <w:color w:val="auto"/>
          <w:szCs w:val="30"/>
          <w:highlight w:val="none"/>
          <w:u w:val="single"/>
        </w:rPr>
        <w:t xml:space="preserve"> 肆 </w:t>
      </w:r>
      <w:r>
        <w:rPr>
          <w:rFonts w:hint="eastAsia" w:ascii="宋体" w:hAnsi="宋体"/>
          <w:bCs/>
          <w:color w:val="auto"/>
          <w:szCs w:val="30"/>
          <w:highlight w:val="none"/>
        </w:rPr>
        <w:t>份。</w:t>
      </w:r>
    </w:p>
    <w:p>
      <w:pPr>
        <w:spacing w:line="360" w:lineRule="auto"/>
        <w:ind w:firstLine="420" w:firstLineChars="200"/>
        <w:rPr>
          <w:rFonts w:ascii="宋体" w:hAnsi="宋体"/>
          <w:bCs/>
          <w:color w:val="auto"/>
          <w:szCs w:val="30"/>
          <w:highlight w:val="none"/>
        </w:rPr>
      </w:pPr>
    </w:p>
    <w:p>
      <w:pPr>
        <w:spacing w:line="360" w:lineRule="auto"/>
        <w:ind w:firstLine="420" w:firstLineChars="200"/>
        <w:rPr>
          <w:rFonts w:ascii="宋体" w:hAnsi="宋体"/>
          <w:bCs/>
          <w:color w:val="auto"/>
          <w:szCs w:val="30"/>
          <w:highlight w:val="none"/>
        </w:rPr>
      </w:pPr>
    </w:p>
    <w:p>
      <w:pPr>
        <w:spacing w:line="360" w:lineRule="auto"/>
        <w:rPr>
          <w:rFonts w:ascii="宋体" w:hAnsi="宋体"/>
          <w:color w:val="auto"/>
          <w:szCs w:val="30"/>
          <w:highlight w:val="none"/>
        </w:rPr>
      </w:pPr>
      <w:r>
        <w:rPr>
          <w:rFonts w:hint="eastAsia" w:ascii="宋体" w:hAnsi="宋体"/>
          <w:color w:val="auto"/>
          <w:szCs w:val="30"/>
          <w:highlight w:val="none"/>
        </w:rPr>
        <w:t>发包人：</w:t>
      </w:r>
      <w:r>
        <w:rPr>
          <w:rFonts w:ascii="宋体" w:hAnsi="宋体"/>
          <w:color w:val="auto"/>
          <w:szCs w:val="30"/>
          <w:highlight w:val="none"/>
        </w:rPr>
        <w:t xml:space="preserve">  (</w:t>
      </w:r>
      <w:r>
        <w:rPr>
          <w:rFonts w:hint="eastAsia" w:ascii="宋体" w:hAnsi="宋体"/>
          <w:color w:val="auto"/>
          <w:szCs w:val="30"/>
          <w:highlight w:val="none"/>
        </w:rPr>
        <w:t>公章</w:t>
      </w:r>
      <w:r>
        <w:rPr>
          <w:rFonts w:ascii="宋体" w:hAnsi="宋体"/>
          <w:color w:val="auto"/>
          <w:szCs w:val="30"/>
          <w:highlight w:val="none"/>
        </w:rPr>
        <w:t xml:space="preserve">)          </w:t>
      </w:r>
      <w:r>
        <w:rPr>
          <w:rFonts w:hint="eastAsia" w:ascii="宋体" w:hAnsi="宋体"/>
          <w:color w:val="auto"/>
          <w:szCs w:val="30"/>
          <w:highlight w:val="none"/>
        </w:rPr>
        <w:t xml:space="preserve">                承包人：</w:t>
      </w:r>
      <w:r>
        <w:rPr>
          <w:rFonts w:ascii="宋体" w:hAnsi="宋体"/>
          <w:color w:val="auto"/>
          <w:szCs w:val="30"/>
          <w:highlight w:val="none"/>
        </w:rPr>
        <w:t xml:space="preserve">  (</w:t>
      </w:r>
      <w:r>
        <w:rPr>
          <w:rFonts w:hint="eastAsia" w:ascii="宋体" w:hAnsi="宋体"/>
          <w:color w:val="auto"/>
          <w:szCs w:val="30"/>
          <w:highlight w:val="none"/>
        </w:rPr>
        <w:t>公章</w:t>
      </w:r>
      <w:r>
        <w:rPr>
          <w:rFonts w:ascii="宋体" w:hAnsi="宋体"/>
          <w:color w:val="auto"/>
          <w:szCs w:val="30"/>
          <w:highlight w:val="none"/>
        </w:rPr>
        <w:t>)</w:t>
      </w:r>
    </w:p>
    <w:p>
      <w:pPr>
        <w:spacing w:line="360" w:lineRule="auto"/>
        <w:rPr>
          <w:rFonts w:ascii="宋体" w:hAnsi="宋体"/>
          <w:color w:val="auto"/>
          <w:szCs w:val="30"/>
          <w:highlight w:val="none"/>
          <w:u w:val="single"/>
        </w:rPr>
      </w:pPr>
    </w:p>
    <w:p>
      <w:pPr>
        <w:spacing w:line="360" w:lineRule="auto"/>
        <w:rPr>
          <w:rFonts w:ascii="宋体" w:hAnsi="宋体"/>
          <w:color w:val="auto"/>
          <w:szCs w:val="30"/>
          <w:highlight w:val="none"/>
        </w:rPr>
      </w:pPr>
      <w:r>
        <w:rPr>
          <w:rFonts w:hint="eastAsia" w:ascii="宋体" w:hAnsi="宋体"/>
          <w:color w:val="auto"/>
          <w:szCs w:val="30"/>
          <w:highlight w:val="none"/>
        </w:rPr>
        <w:t xml:space="preserve">法定代表人：                </w:t>
      </w:r>
      <w:r>
        <w:rPr>
          <w:rFonts w:hint="eastAsia" w:ascii="宋体" w:hAnsi="宋体"/>
          <w:color w:val="auto"/>
          <w:szCs w:val="30"/>
          <w:highlight w:val="none"/>
          <w:lang w:val="en-US" w:eastAsia="zh-CN"/>
        </w:rPr>
        <w:t xml:space="preserve">             </w:t>
      </w:r>
      <w:r>
        <w:rPr>
          <w:rFonts w:hint="eastAsia" w:ascii="宋体" w:hAnsi="宋体"/>
          <w:color w:val="auto"/>
          <w:szCs w:val="30"/>
          <w:highlight w:val="none"/>
        </w:rPr>
        <w:t xml:space="preserve"> 法定代表人：</w:t>
      </w:r>
    </w:p>
    <w:p>
      <w:pPr>
        <w:spacing w:line="360" w:lineRule="auto"/>
        <w:ind w:firstLine="420" w:firstLineChars="200"/>
        <w:rPr>
          <w:rFonts w:ascii="宋体" w:hAnsi="宋体"/>
          <w:color w:val="auto"/>
          <w:szCs w:val="30"/>
          <w:highlight w:val="none"/>
        </w:rPr>
      </w:pPr>
      <w:r>
        <w:rPr>
          <w:rFonts w:hint="eastAsia" w:ascii="宋体" w:hAnsi="宋体"/>
          <w:color w:val="auto"/>
          <w:szCs w:val="30"/>
          <w:highlight w:val="none"/>
        </w:rPr>
        <w:t xml:space="preserve">（签字）                 </w:t>
      </w:r>
      <w:r>
        <w:rPr>
          <w:rFonts w:hint="eastAsia" w:ascii="宋体" w:hAnsi="宋体"/>
          <w:color w:val="auto"/>
          <w:szCs w:val="30"/>
          <w:highlight w:val="none"/>
          <w:lang w:val="en-US" w:eastAsia="zh-CN"/>
        </w:rPr>
        <w:t xml:space="preserve">                </w:t>
      </w:r>
      <w:r>
        <w:rPr>
          <w:rFonts w:hint="eastAsia" w:ascii="宋体" w:hAnsi="宋体"/>
          <w:color w:val="auto"/>
          <w:szCs w:val="30"/>
          <w:highlight w:val="none"/>
        </w:rPr>
        <w:t>（签字）</w:t>
      </w:r>
    </w:p>
    <w:p>
      <w:pPr>
        <w:spacing w:line="360" w:lineRule="auto"/>
        <w:rPr>
          <w:rFonts w:ascii="宋体" w:hAnsi="宋体"/>
          <w:color w:val="auto"/>
          <w:szCs w:val="30"/>
          <w:highlight w:val="none"/>
          <w:u w:val="single"/>
        </w:rPr>
      </w:pPr>
    </w:p>
    <w:p>
      <w:pPr>
        <w:spacing w:line="360" w:lineRule="auto"/>
        <w:rPr>
          <w:rFonts w:ascii="宋体" w:hAnsi="宋体"/>
          <w:bCs/>
          <w:color w:val="auto"/>
          <w:szCs w:val="30"/>
          <w:highlight w:val="none"/>
          <w:u w:val="single"/>
        </w:rPr>
      </w:pPr>
      <w:r>
        <w:rPr>
          <w:rFonts w:hint="eastAsia" w:ascii="宋体" w:hAnsi="宋体"/>
          <w:color w:val="auto"/>
          <w:szCs w:val="30"/>
          <w:highlight w:val="none"/>
        </w:rPr>
        <w:t>地址：</w:t>
      </w:r>
      <w:r>
        <w:rPr>
          <w:rFonts w:hint="eastAsia" w:ascii="宋体" w:hAnsi="宋体"/>
          <w:bCs/>
          <w:color w:val="auto"/>
          <w:szCs w:val="30"/>
          <w:highlight w:val="none"/>
          <w:u w:val="single"/>
        </w:rPr>
        <w:t xml:space="preserve">                         </w:t>
      </w:r>
      <w:r>
        <w:rPr>
          <w:rFonts w:hint="eastAsia" w:ascii="宋体" w:hAnsi="宋体"/>
          <w:color w:val="auto"/>
          <w:szCs w:val="30"/>
          <w:highlight w:val="none"/>
        </w:rPr>
        <w:t xml:space="preserve">        地   址：</w:t>
      </w:r>
      <w:r>
        <w:rPr>
          <w:rFonts w:hint="eastAsia" w:ascii="宋体" w:hAnsi="宋体"/>
          <w:bCs/>
          <w:color w:val="auto"/>
          <w:szCs w:val="30"/>
          <w:highlight w:val="none"/>
          <w:u w:val="single"/>
        </w:rPr>
        <w:t xml:space="preserve">                          </w:t>
      </w:r>
    </w:p>
    <w:p>
      <w:pPr>
        <w:spacing w:line="360" w:lineRule="auto"/>
        <w:rPr>
          <w:rFonts w:hint="eastAsia" w:ascii="宋体" w:hAnsi="宋体"/>
          <w:bCs/>
          <w:color w:val="auto"/>
          <w:szCs w:val="30"/>
          <w:highlight w:val="none"/>
          <w:u w:val="single"/>
        </w:rPr>
      </w:pPr>
      <w:r>
        <w:rPr>
          <w:rFonts w:hint="eastAsia" w:ascii="宋体" w:hAnsi="宋体"/>
          <w:color w:val="auto"/>
          <w:szCs w:val="30"/>
          <w:highlight w:val="none"/>
        </w:rPr>
        <w:t xml:space="preserve">邮政编码： </w:t>
      </w:r>
      <w:r>
        <w:rPr>
          <w:rFonts w:hint="eastAsia" w:ascii="宋体" w:hAnsi="宋体"/>
          <w:bCs/>
          <w:color w:val="auto"/>
          <w:szCs w:val="30"/>
          <w:highlight w:val="none"/>
          <w:u w:val="single"/>
        </w:rPr>
        <w:t xml:space="preserve">                    </w:t>
      </w:r>
      <w:r>
        <w:rPr>
          <w:rFonts w:hint="eastAsia" w:ascii="宋体" w:hAnsi="宋体"/>
          <w:color w:val="auto"/>
          <w:szCs w:val="30"/>
          <w:highlight w:val="none"/>
        </w:rPr>
        <w:t xml:space="preserve"> </w:t>
      </w:r>
      <w:r>
        <w:rPr>
          <w:rFonts w:hint="eastAsia" w:ascii="宋体" w:hAnsi="宋体"/>
          <w:color w:val="auto"/>
          <w:szCs w:val="30"/>
          <w:highlight w:val="none"/>
          <w:lang w:val="en-US" w:eastAsia="zh-CN"/>
        </w:rPr>
        <w:t xml:space="preserve">      </w:t>
      </w:r>
      <w:r>
        <w:rPr>
          <w:rFonts w:hint="eastAsia" w:ascii="宋体" w:hAnsi="宋体"/>
          <w:color w:val="auto"/>
          <w:szCs w:val="30"/>
          <w:highlight w:val="none"/>
        </w:rPr>
        <w:t xml:space="preserve"> 邮政编码： </w:t>
      </w:r>
      <w:r>
        <w:rPr>
          <w:rFonts w:hint="eastAsia" w:ascii="宋体" w:hAnsi="宋体"/>
          <w:bCs/>
          <w:color w:val="auto"/>
          <w:szCs w:val="30"/>
          <w:highlight w:val="none"/>
          <w:u w:val="single"/>
        </w:rPr>
        <w:t xml:space="preserve">                        </w:t>
      </w:r>
    </w:p>
    <w:p>
      <w:pPr>
        <w:spacing w:line="360" w:lineRule="auto"/>
        <w:rPr>
          <w:rFonts w:ascii="宋体" w:hAnsi="宋体"/>
          <w:color w:val="auto"/>
          <w:szCs w:val="30"/>
          <w:highlight w:val="none"/>
        </w:rPr>
      </w:pPr>
      <w:r>
        <w:rPr>
          <w:rFonts w:hint="eastAsia" w:ascii="宋体" w:hAnsi="宋体"/>
          <w:color w:val="auto"/>
          <w:szCs w:val="30"/>
          <w:highlight w:val="none"/>
          <w:lang w:val="en-US" w:eastAsia="zh-CN"/>
        </w:rPr>
        <w:t>授权代表签字</w:t>
      </w:r>
      <w:r>
        <w:rPr>
          <w:rFonts w:hint="eastAsia" w:ascii="宋体" w:hAnsi="宋体"/>
          <w:color w:val="auto"/>
          <w:szCs w:val="30"/>
          <w:highlight w:val="none"/>
        </w:rPr>
        <w:t>：</w:t>
      </w:r>
      <w:r>
        <w:rPr>
          <w:rFonts w:hint="eastAsia" w:ascii="宋体" w:hAnsi="宋体"/>
          <w:bCs/>
          <w:color w:val="auto"/>
          <w:szCs w:val="30"/>
          <w:highlight w:val="none"/>
          <w:u w:val="single"/>
        </w:rPr>
        <w:t xml:space="preserve">                </w:t>
      </w:r>
      <w:r>
        <w:rPr>
          <w:rFonts w:hint="eastAsia" w:ascii="宋体" w:hAnsi="宋体"/>
          <w:bCs/>
          <w:color w:val="auto"/>
          <w:szCs w:val="30"/>
          <w:highlight w:val="none"/>
          <w:u w:val="single"/>
          <w:lang w:val="en-US" w:eastAsia="zh-CN"/>
        </w:rPr>
        <w:t xml:space="preserve"> </w:t>
      </w:r>
      <w:r>
        <w:rPr>
          <w:rFonts w:hint="eastAsia" w:ascii="宋体" w:hAnsi="宋体"/>
          <w:color w:val="auto"/>
          <w:szCs w:val="30"/>
          <w:highlight w:val="none"/>
        </w:rPr>
        <w:t xml:space="preserve"> </w:t>
      </w:r>
      <w:r>
        <w:rPr>
          <w:rFonts w:hint="eastAsia" w:ascii="宋体" w:hAnsi="宋体"/>
          <w:color w:val="auto"/>
          <w:szCs w:val="30"/>
          <w:highlight w:val="none"/>
          <w:lang w:val="en-US" w:eastAsia="zh-CN"/>
        </w:rPr>
        <w:t xml:space="preserve">       授权代表签字</w:t>
      </w:r>
      <w:r>
        <w:rPr>
          <w:rFonts w:hint="eastAsia" w:ascii="宋体" w:hAnsi="宋体"/>
          <w:color w:val="auto"/>
          <w:szCs w:val="30"/>
          <w:highlight w:val="none"/>
        </w:rPr>
        <w:t>：</w:t>
      </w:r>
      <w:r>
        <w:rPr>
          <w:rFonts w:hint="eastAsia" w:ascii="宋体" w:hAnsi="宋体"/>
          <w:bCs/>
          <w:color w:val="auto"/>
          <w:szCs w:val="30"/>
          <w:highlight w:val="none"/>
          <w:u w:val="single"/>
        </w:rPr>
        <w:t xml:space="preserve">                     </w:t>
      </w:r>
    </w:p>
    <w:p>
      <w:pPr>
        <w:spacing w:line="360" w:lineRule="auto"/>
        <w:rPr>
          <w:rFonts w:ascii="宋体" w:hAnsi="宋体"/>
          <w:color w:val="auto"/>
          <w:szCs w:val="30"/>
          <w:highlight w:val="none"/>
        </w:rPr>
      </w:pPr>
      <w:r>
        <w:rPr>
          <w:rFonts w:hint="eastAsia" w:ascii="宋体" w:hAnsi="宋体"/>
          <w:color w:val="auto"/>
          <w:szCs w:val="30"/>
          <w:highlight w:val="none"/>
        </w:rPr>
        <w:t>电    话：</w:t>
      </w:r>
      <w:r>
        <w:rPr>
          <w:rFonts w:hint="eastAsia" w:ascii="宋体" w:hAnsi="宋体"/>
          <w:bCs/>
          <w:color w:val="auto"/>
          <w:szCs w:val="30"/>
          <w:highlight w:val="none"/>
          <w:u w:val="single"/>
        </w:rPr>
        <w:t xml:space="preserve">                     </w:t>
      </w:r>
      <w:r>
        <w:rPr>
          <w:rFonts w:hint="eastAsia" w:ascii="宋体" w:hAnsi="宋体"/>
          <w:bCs/>
          <w:color w:val="auto"/>
          <w:szCs w:val="30"/>
          <w:highlight w:val="none"/>
          <w:u w:val="none"/>
          <w:lang w:val="en-US" w:eastAsia="zh-CN"/>
        </w:rPr>
        <w:t xml:space="preserve">        </w:t>
      </w:r>
      <w:r>
        <w:rPr>
          <w:rFonts w:hint="eastAsia" w:ascii="宋体" w:hAnsi="宋体"/>
          <w:color w:val="auto"/>
          <w:szCs w:val="30"/>
          <w:highlight w:val="none"/>
        </w:rPr>
        <w:t>电    话：</w:t>
      </w:r>
      <w:r>
        <w:rPr>
          <w:rFonts w:hint="eastAsia" w:ascii="宋体" w:hAnsi="宋体"/>
          <w:bCs/>
          <w:color w:val="auto"/>
          <w:szCs w:val="30"/>
          <w:highlight w:val="none"/>
          <w:u w:val="single"/>
        </w:rPr>
        <w:t xml:space="preserve">                         </w:t>
      </w:r>
    </w:p>
    <w:p>
      <w:pPr>
        <w:keepNext/>
        <w:keepLines/>
        <w:spacing w:line="360" w:lineRule="auto"/>
        <w:jc w:val="center"/>
        <w:outlineLvl w:val="2"/>
        <w:rPr>
          <w:rFonts w:hint="eastAsia" w:ascii="宋体" w:hAnsi="宋体"/>
          <w:b/>
          <w:bCs/>
          <w:color w:val="auto"/>
          <w:sz w:val="32"/>
          <w:szCs w:val="44"/>
          <w:highlight w:val="none"/>
        </w:rPr>
      </w:pPr>
      <w:bookmarkStart w:id="48" w:name="_Toc497907135"/>
      <w:bookmarkStart w:id="49" w:name="_Toc48580760"/>
      <w:bookmarkStart w:id="50" w:name="_Toc48580885"/>
    </w:p>
    <w:p>
      <w:pPr>
        <w:keepNext/>
        <w:keepLines/>
        <w:spacing w:line="360" w:lineRule="auto"/>
        <w:jc w:val="center"/>
        <w:outlineLvl w:val="2"/>
        <w:rPr>
          <w:rFonts w:hint="eastAsia" w:ascii="宋体" w:hAnsi="宋体"/>
          <w:b/>
          <w:bCs/>
          <w:color w:val="auto"/>
          <w:sz w:val="32"/>
          <w:szCs w:val="44"/>
          <w:highlight w:val="none"/>
        </w:rPr>
      </w:pPr>
    </w:p>
    <w:p>
      <w:pPr>
        <w:keepNext/>
        <w:keepLines/>
        <w:spacing w:line="360" w:lineRule="auto"/>
        <w:jc w:val="center"/>
        <w:outlineLvl w:val="2"/>
        <w:rPr>
          <w:rFonts w:hint="eastAsia" w:ascii="宋体" w:hAnsi="宋体"/>
          <w:b/>
          <w:bCs/>
          <w:color w:val="auto"/>
          <w:sz w:val="32"/>
          <w:szCs w:val="44"/>
          <w:highlight w:val="none"/>
        </w:rPr>
      </w:pPr>
    </w:p>
    <w:p>
      <w:pPr>
        <w:keepNext/>
        <w:keepLines/>
        <w:spacing w:line="360" w:lineRule="auto"/>
        <w:jc w:val="center"/>
        <w:outlineLvl w:val="2"/>
        <w:rPr>
          <w:rFonts w:hint="eastAsia" w:ascii="宋体" w:hAnsi="宋体"/>
          <w:b/>
          <w:bCs/>
          <w:color w:val="auto"/>
          <w:sz w:val="32"/>
          <w:szCs w:val="44"/>
          <w:highlight w:val="none"/>
        </w:rPr>
      </w:pPr>
    </w:p>
    <w:p>
      <w:pPr>
        <w:keepNext/>
        <w:keepLines/>
        <w:spacing w:line="360" w:lineRule="auto"/>
        <w:jc w:val="center"/>
        <w:outlineLvl w:val="2"/>
        <w:rPr>
          <w:rFonts w:hint="eastAsia" w:ascii="宋体" w:hAnsi="宋体"/>
          <w:b/>
          <w:bCs/>
          <w:color w:val="auto"/>
          <w:sz w:val="32"/>
          <w:szCs w:val="44"/>
          <w:highlight w:val="none"/>
        </w:rPr>
      </w:pPr>
    </w:p>
    <w:p>
      <w:pPr>
        <w:keepNext/>
        <w:keepLines/>
        <w:spacing w:line="360" w:lineRule="auto"/>
        <w:jc w:val="center"/>
        <w:outlineLvl w:val="2"/>
        <w:rPr>
          <w:rFonts w:hint="eastAsia" w:ascii="宋体" w:hAnsi="宋体"/>
          <w:b/>
          <w:bCs/>
          <w:color w:val="auto"/>
          <w:sz w:val="32"/>
          <w:szCs w:val="44"/>
          <w:highlight w:val="none"/>
        </w:rPr>
      </w:pPr>
    </w:p>
    <w:p>
      <w:pPr>
        <w:keepNext/>
        <w:keepLines/>
        <w:spacing w:line="360" w:lineRule="auto"/>
        <w:jc w:val="center"/>
        <w:outlineLvl w:val="2"/>
        <w:rPr>
          <w:rFonts w:hint="eastAsia" w:ascii="宋体" w:hAnsi="宋体"/>
          <w:b/>
          <w:bCs/>
          <w:color w:val="auto"/>
          <w:sz w:val="32"/>
          <w:szCs w:val="44"/>
          <w:highlight w:val="none"/>
        </w:rPr>
      </w:pPr>
    </w:p>
    <w:p>
      <w:pPr>
        <w:keepNext/>
        <w:keepLines/>
        <w:spacing w:line="360" w:lineRule="auto"/>
        <w:jc w:val="center"/>
        <w:outlineLvl w:val="2"/>
        <w:rPr>
          <w:rFonts w:hint="eastAsia" w:ascii="宋体" w:hAnsi="宋体"/>
          <w:b/>
          <w:bCs/>
          <w:color w:val="auto"/>
          <w:sz w:val="32"/>
          <w:szCs w:val="44"/>
          <w:highlight w:val="none"/>
        </w:rPr>
      </w:pPr>
    </w:p>
    <w:p>
      <w:pPr>
        <w:keepNext/>
        <w:keepLines/>
        <w:spacing w:line="360" w:lineRule="auto"/>
        <w:jc w:val="center"/>
        <w:outlineLvl w:val="2"/>
        <w:rPr>
          <w:rFonts w:hint="eastAsia" w:ascii="宋体" w:hAnsi="宋体"/>
          <w:b/>
          <w:bCs/>
          <w:color w:val="auto"/>
          <w:sz w:val="32"/>
          <w:szCs w:val="44"/>
          <w:highlight w:val="none"/>
        </w:rPr>
      </w:pPr>
    </w:p>
    <w:p>
      <w:pPr>
        <w:keepNext/>
        <w:keepLines/>
        <w:spacing w:line="360" w:lineRule="auto"/>
        <w:jc w:val="center"/>
        <w:outlineLvl w:val="2"/>
        <w:rPr>
          <w:rFonts w:hint="eastAsia" w:ascii="宋体" w:hAnsi="宋体"/>
          <w:b/>
          <w:bCs/>
          <w:color w:val="auto"/>
          <w:sz w:val="32"/>
          <w:szCs w:val="44"/>
          <w:highlight w:val="none"/>
        </w:rPr>
      </w:pPr>
    </w:p>
    <w:p>
      <w:pPr>
        <w:keepNext/>
        <w:keepLines/>
        <w:spacing w:line="360" w:lineRule="auto"/>
        <w:jc w:val="center"/>
        <w:outlineLvl w:val="2"/>
        <w:rPr>
          <w:rFonts w:hint="eastAsia" w:ascii="宋体" w:hAnsi="宋体"/>
          <w:b/>
          <w:bCs/>
          <w:color w:val="auto"/>
          <w:sz w:val="32"/>
          <w:szCs w:val="44"/>
          <w:highlight w:val="none"/>
        </w:rPr>
      </w:pPr>
    </w:p>
    <w:p>
      <w:pPr>
        <w:keepNext/>
        <w:keepLines/>
        <w:spacing w:line="360" w:lineRule="auto"/>
        <w:jc w:val="both"/>
        <w:outlineLvl w:val="2"/>
        <w:rPr>
          <w:rFonts w:hint="eastAsia" w:ascii="宋体" w:hAnsi="宋体"/>
          <w:b/>
          <w:bCs/>
          <w:color w:val="auto"/>
          <w:sz w:val="32"/>
          <w:szCs w:val="44"/>
          <w:highlight w:val="none"/>
        </w:rPr>
      </w:pPr>
    </w:p>
    <w:bookmarkEnd w:id="48"/>
    <w:bookmarkEnd w:id="49"/>
    <w:bookmarkEnd w:id="50"/>
    <w:p>
      <w:pPr>
        <w:spacing w:line="360" w:lineRule="auto"/>
        <w:ind w:firstLine="420" w:firstLineChars="200"/>
        <w:rPr>
          <w:rFonts w:ascii="宋体" w:hAnsi="宋体" w:cs="宋体"/>
          <w:color w:val="auto"/>
          <w:szCs w:val="21"/>
          <w:highlight w:val="none"/>
        </w:rPr>
      </w:pPr>
    </w:p>
    <w:p>
      <w:pPr>
        <w:keepNext/>
        <w:keepLines/>
        <w:spacing w:line="360" w:lineRule="auto"/>
        <w:jc w:val="center"/>
        <w:outlineLvl w:val="2"/>
        <w:rPr>
          <w:rFonts w:ascii="宋体" w:hAnsi="宋体"/>
          <w:b/>
          <w:bCs/>
          <w:color w:val="auto"/>
          <w:sz w:val="32"/>
          <w:szCs w:val="44"/>
          <w:highlight w:val="none"/>
        </w:rPr>
        <w:sectPr>
          <w:footerReference r:id="rId9" w:type="default"/>
          <w:pgSz w:w="11906" w:h="16838"/>
          <w:pgMar w:top="1440" w:right="1519" w:bottom="1440" w:left="1519" w:header="851" w:footer="992" w:gutter="0"/>
          <w:pgNumType w:start="1"/>
          <w:cols w:space="425" w:num="1"/>
          <w:docGrid w:type="lines" w:linePitch="312" w:charSpace="0"/>
        </w:sectPr>
      </w:pPr>
      <w:bookmarkStart w:id="51" w:name="_Toc48580761"/>
      <w:bookmarkStart w:id="52" w:name="_Toc48580886"/>
      <w:bookmarkStart w:id="53" w:name="_Toc497907136"/>
    </w:p>
    <w:p>
      <w:pPr>
        <w:keepNext/>
        <w:keepLines/>
        <w:spacing w:line="360" w:lineRule="auto"/>
        <w:jc w:val="center"/>
        <w:outlineLvl w:val="2"/>
        <w:rPr>
          <w:rFonts w:ascii="宋体" w:hAnsi="宋体"/>
          <w:b/>
          <w:bCs/>
          <w:color w:val="auto"/>
          <w:sz w:val="32"/>
          <w:szCs w:val="44"/>
          <w:highlight w:val="none"/>
        </w:rPr>
      </w:pPr>
      <w:r>
        <w:rPr>
          <w:rFonts w:hint="eastAsia" w:ascii="宋体" w:hAnsi="宋体"/>
          <w:b/>
          <w:bCs/>
          <w:color w:val="auto"/>
          <w:sz w:val="32"/>
          <w:szCs w:val="44"/>
          <w:highlight w:val="none"/>
        </w:rPr>
        <w:t>第三部分 专用合同条款</w:t>
      </w:r>
      <w:bookmarkEnd w:id="51"/>
      <w:bookmarkEnd w:id="52"/>
      <w:bookmarkEnd w:id="53"/>
    </w:p>
    <w:p>
      <w:pPr>
        <w:keepNext/>
        <w:keepLines/>
        <w:spacing w:before="120" w:after="120" w:line="400" w:lineRule="exact"/>
        <w:outlineLvl w:val="3"/>
        <w:rPr>
          <w:rFonts w:ascii="宋体" w:hAnsi="宋体"/>
          <w:bCs/>
          <w:color w:val="auto"/>
          <w:szCs w:val="21"/>
          <w:highlight w:val="none"/>
        </w:rPr>
      </w:pPr>
      <w:bookmarkStart w:id="54" w:name="_Toc351203633"/>
      <w:r>
        <w:rPr>
          <w:rFonts w:ascii="宋体" w:hAnsi="宋体"/>
          <w:bCs/>
          <w:color w:val="auto"/>
          <w:szCs w:val="21"/>
          <w:highlight w:val="none"/>
        </w:rPr>
        <w:t>1</w:t>
      </w:r>
      <w:bookmarkStart w:id="55" w:name="_Toc292559866"/>
      <w:bookmarkStart w:id="56" w:name="_Toc296890984"/>
      <w:bookmarkStart w:id="57" w:name="_Toc296944495"/>
      <w:bookmarkStart w:id="58" w:name="_Toc296503156"/>
      <w:bookmarkStart w:id="59" w:name="_Toc297048342"/>
      <w:bookmarkStart w:id="60" w:name="_Toc296346657"/>
      <w:bookmarkStart w:id="61" w:name="_Toc296891196"/>
      <w:bookmarkStart w:id="62" w:name="_Toc297120456"/>
      <w:bookmarkStart w:id="63" w:name="_Toc296347155"/>
      <w:bookmarkStart w:id="64" w:name="_Toc292559361"/>
      <w:r>
        <w:rPr>
          <w:rFonts w:ascii="宋体" w:hAnsi="宋体"/>
          <w:bCs/>
          <w:color w:val="auto"/>
          <w:szCs w:val="21"/>
          <w:highlight w:val="none"/>
        </w:rPr>
        <w:t xml:space="preserve">. </w:t>
      </w:r>
      <w:r>
        <w:rPr>
          <w:rFonts w:hint="eastAsia" w:ascii="宋体" w:hAnsi="宋体"/>
          <w:bCs/>
          <w:color w:val="auto"/>
          <w:szCs w:val="21"/>
          <w:highlight w:val="none"/>
        </w:rPr>
        <w:t>一般约定</w:t>
      </w:r>
      <w:bookmarkEnd w:id="54"/>
    </w:p>
    <w:bookmarkEnd w:id="55"/>
    <w:bookmarkEnd w:id="56"/>
    <w:bookmarkEnd w:id="57"/>
    <w:bookmarkEnd w:id="58"/>
    <w:bookmarkEnd w:id="59"/>
    <w:bookmarkEnd w:id="60"/>
    <w:bookmarkEnd w:id="61"/>
    <w:bookmarkEnd w:id="62"/>
    <w:bookmarkEnd w:id="63"/>
    <w:bookmarkEnd w:id="64"/>
    <w:p>
      <w:pPr>
        <w:spacing w:after="120" w:line="400" w:lineRule="exact"/>
        <w:ind w:firstLine="420" w:firstLineChars="200"/>
        <w:outlineLvl w:val="0"/>
        <w:rPr>
          <w:rFonts w:ascii="宋体" w:hAnsi="宋体"/>
          <w:color w:val="auto"/>
          <w:szCs w:val="21"/>
          <w:highlight w:val="none"/>
        </w:rPr>
      </w:pPr>
      <w:r>
        <w:rPr>
          <w:rFonts w:ascii="宋体" w:hAnsi="宋体"/>
          <w:color w:val="auto"/>
          <w:szCs w:val="21"/>
          <w:highlight w:val="none"/>
        </w:rPr>
        <w:t xml:space="preserve">1.1 </w:t>
      </w:r>
      <w:r>
        <w:rPr>
          <w:rFonts w:hint="eastAsia" w:ascii="宋体" w:hAnsi="宋体"/>
          <w:color w:val="auto"/>
          <w:szCs w:val="21"/>
          <w:highlight w:val="none"/>
        </w:rPr>
        <w:t>词语定义</w:t>
      </w:r>
    </w:p>
    <w:p>
      <w:pPr>
        <w:spacing w:line="400" w:lineRule="exact"/>
        <w:ind w:firstLine="420" w:firstLineChars="200"/>
        <w:rPr>
          <w:rFonts w:ascii="宋体" w:hAnsi="宋体"/>
          <w:color w:val="auto"/>
          <w:kern w:val="0"/>
          <w:szCs w:val="21"/>
          <w:highlight w:val="none"/>
        </w:rPr>
      </w:pPr>
      <w:r>
        <w:rPr>
          <w:rFonts w:ascii="宋体" w:hAnsi="宋体"/>
          <w:color w:val="auto"/>
          <w:kern w:val="0"/>
          <w:szCs w:val="21"/>
          <w:highlight w:val="none"/>
        </w:rPr>
        <w:t>1.1.1</w:t>
      </w:r>
      <w:r>
        <w:rPr>
          <w:rFonts w:hint="eastAsia" w:ascii="宋体" w:hAnsi="宋体"/>
          <w:color w:val="auto"/>
          <w:kern w:val="0"/>
          <w:szCs w:val="21"/>
          <w:highlight w:val="none"/>
        </w:rPr>
        <w:t>合同</w:t>
      </w:r>
    </w:p>
    <w:p>
      <w:pPr>
        <w:tabs>
          <w:tab w:val="left" w:pos="2410"/>
        </w:tabs>
        <w:spacing w:line="400" w:lineRule="exact"/>
        <w:ind w:firstLine="420" w:firstLineChars="200"/>
        <w:rPr>
          <w:rFonts w:ascii="宋体" w:hAnsi="宋体" w:cs="宋体"/>
          <w:color w:val="auto"/>
          <w:szCs w:val="21"/>
          <w:highlight w:val="none"/>
        </w:rPr>
      </w:pPr>
      <w:r>
        <w:rPr>
          <w:rFonts w:ascii="宋体" w:hAnsi="宋体"/>
          <w:color w:val="auto"/>
          <w:kern w:val="0"/>
          <w:szCs w:val="21"/>
          <w:highlight w:val="none"/>
        </w:rPr>
        <w:t>1.1.1.10</w:t>
      </w:r>
      <w:r>
        <w:rPr>
          <w:rFonts w:hint="eastAsia" w:ascii="宋体" w:hAnsi="宋体"/>
          <w:color w:val="auto"/>
          <w:kern w:val="0"/>
          <w:szCs w:val="21"/>
          <w:highlight w:val="none"/>
        </w:rPr>
        <w:t>其他合同文件包括：</w:t>
      </w:r>
      <w:r>
        <w:rPr>
          <w:rFonts w:hint="eastAsia" w:ascii="宋体" w:hAnsi="宋体" w:cs="宋体"/>
          <w:b/>
          <w:bCs/>
          <w:color w:val="auto"/>
          <w:szCs w:val="21"/>
          <w:highlight w:val="none"/>
          <w:u w:val="single"/>
        </w:rPr>
        <w:t>（1）协商备忘、合同补充文件；（2）招标文件及其附件（含答疑）；（3）发包人认可的设计变更；（4）经发包人确认有效的工程签证单（发包人签字盖章后方可生效）；（5）承诺书。</w:t>
      </w:r>
    </w:p>
    <w:p>
      <w:pPr>
        <w:spacing w:line="400" w:lineRule="exact"/>
        <w:ind w:firstLine="420" w:firstLineChars="200"/>
        <w:rPr>
          <w:rFonts w:ascii="宋体" w:hAnsi="宋体"/>
          <w:color w:val="auto"/>
          <w:szCs w:val="21"/>
          <w:highlight w:val="none"/>
        </w:rPr>
      </w:pPr>
      <w:r>
        <w:rPr>
          <w:rFonts w:ascii="宋体" w:hAnsi="宋体"/>
          <w:color w:val="auto"/>
          <w:szCs w:val="21"/>
          <w:highlight w:val="none"/>
        </w:rPr>
        <w:t xml:space="preserve">1.1.2 </w:t>
      </w:r>
      <w:r>
        <w:rPr>
          <w:rFonts w:hint="eastAsia" w:ascii="宋体" w:hAnsi="宋体"/>
          <w:color w:val="auto"/>
          <w:szCs w:val="21"/>
          <w:highlight w:val="none"/>
        </w:rPr>
        <w:t>合同当事人及其他相关方</w:t>
      </w:r>
    </w:p>
    <w:p>
      <w:pPr>
        <w:spacing w:line="400" w:lineRule="exact"/>
        <w:ind w:firstLine="420" w:firstLineChars="200"/>
        <w:rPr>
          <w:rFonts w:ascii="宋体" w:hAnsi="宋体"/>
          <w:color w:val="auto"/>
          <w:szCs w:val="21"/>
          <w:highlight w:val="none"/>
        </w:rPr>
      </w:pPr>
      <w:r>
        <w:rPr>
          <w:rFonts w:ascii="宋体" w:hAnsi="宋体"/>
          <w:color w:val="auto"/>
          <w:szCs w:val="21"/>
          <w:highlight w:val="none"/>
        </w:rPr>
        <w:t>1.1.2.4</w:t>
      </w:r>
      <w:r>
        <w:rPr>
          <w:rFonts w:hint="eastAsia" w:ascii="宋体" w:hAnsi="宋体"/>
          <w:color w:val="auto"/>
          <w:szCs w:val="21"/>
          <w:highlight w:val="none"/>
        </w:rPr>
        <w:t>监理人：</w:t>
      </w:r>
    </w:p>
    <w:p>
      <w:pPr>
        <w:spacing w:line="400" w:lineRule="exact"/>
        <w:ind w:firstLine="420" w:firstLineChars="200"/>
        <w:rPr>
          <w:rFonts w:ascii="宋体" w:hAnsi="宋体"/>
          <w:color w:val="auto"/>
          <w:szCs w:val="21"/>
          <w:highlight w:val="none"/>
        </w:rPr>
      </w:pPr>
      <w:r>
        <w:rPr>
          <w:rFonts w:hint="eastAsia" w:ascii="宋体" w:hAnsi="宋体"/>
          <w:color w:val="auto"/>
          <w:szCs w:val="21"/>
          <w:highlight w:val="none"/>
        </w:rPr>
        <w:t>名称：</w:t>
      </w:r>
      <w:r>
        <w:rPr>
          <w:rFonts w:ascii="宋体" w:hAnsi="宋体"/>
          <w:color w:val="auto"/>
          <w:szCs w:val="21"/>
          <w:highlight w:val="none"/>
          <w:u w:val="single"/>
        </w:rPr>
        <w:t xml:space="preserve">                </w:t>
      </w:r>
      <w:r>
        <w:rPr>
          <w:rFonts w:hint="eastAsia" w:ascii="宋体" w:hAnsi="宋体"/>
          <w:color w:val="auto"/>
          <w:szCs w:val="21"/>
          <w:highlight w:val="none"/>
        </w:rPr>
        <w:t>；</w:t>
      </w:r>
    </w:p>
    <w:p>
      <w:pPr>
        <w:spacing w:line="400" w:lineRule="exact"/>
        <w:ind w:firstLine="420" w:firstLineChars="200"/>
        <w:rPr>
          <w:rFonts w:ascii="宋体" w:hAnsi="宋体"/>
          <w:color w:val="auto"/>
          <w:szCs w:val="21"/>
          <w:highlight w:val="none"/>
        </w:rPr>
      </w:pPr>
      <w:r>
        <w:rPr>
          <w:rFonts w:hint="eastAsia" w:ascii="宋体" w:hAnsi="宋体"/>
          <w:color w:val="auto"/>
          <w:szCs w:val="21"/>
          <w:highlight w:val="none"/>
        </w:rPr>
        <w:t>资质类别和等级：</w:t>
      </w:r>
      <w:r>
        <w:rPr>
          <w:rFonts w:ascii="宋体" w:hAnsi="宋体"/>
          <w:color w:val="auto"/>
          <w:szCs w:val="21"/>
          <w:highlight w:val="none"/>
          <w:u w:val="single"/>
        </w:rPr>
        <w:t>               </w:t>
      </w:r>
      <w:r>
        <w:rPr>
          <w:rFonts w:hint="eastAsia" w:ascii="宋体" w:hAnsi="宋体"/>
          <w:color w:val="auto"/>
          <w:szCs w:val="21"/>
          <w:highlight w:val="none"/>
        </w:rPr>
        <w:t>；</w:t>
      </w:r>
    </w:p>
    <w:p>
      <w:pPr>
        <w:spacing w:line="400" w:lineRule="exact"/>
        <w:ind w:firstLine="420" w:firstLineChars="200"/>
        <w:rPr>
          <w:rFonts w:ascii="宋体" w:hAnsi="宋体"/>
          <w:color w:val="auto"/>
          <w:szCs w:val="21"/>
          <w:highlight w:val="none"/>
        </w:rPr>
      </w:pPr>
      <w:r>
        <w:rPr>
          <w:rFonts w:hint="eastAsia" w:ascii="宋体" w:hAnsi="宋体"/>
          <w:color w:val="auto"/>
          <w:szCs w:val="21"/>
          <w:highlight w:val="none"/>
        </w:rPr>
        <w:t>联系电话：</w:t>
      </w:r>
      <w:r>
        <w:rPr>
          <w:rFonts w:ascii="宋体" w:hAnsi="宋体"/>
          <w:color w:val="auto"/>
          <w:szCs w:val="21"/>
          <w:highlight w:val="none"/>
          <w:u w:val="single"/>
        </w:rPr>
        <w:t>                </w:t>
      </w:r>
      <w:r>
        <w:rPr>
          <w:rFonts w:hint="eastAsia" w:ascii="宋体" w:hAnsi="宋体"/>
          <w:color w:val="auto"/>
          <w:szCs w:val="21"/>
          <w:highlight w:val="none"/>
        </w:rPr>
        <w:t>；</w:t>
      </w:r>
    </w:p>
    <w:p>
      <w:pPr>
        <w:spacing w:line="400" w:lineRule="exact"/>
        <w:ind w:firstLine="420" w:firstLineChars="200"/>
        <w:rPr>
          <w:rFonts w:ascii="宋体" w:hAnsi="宋体"/>
          <w:color w:val="auto"/>
          <w:szCs w:val="21"/>
          <w:highlight w:val="none"/>
        </w:rPr>
      </w:pPr>
      <w:r>
        <w:rPr>
          <w:rFonts w:hint="eastAsia" w:ascii="宋体" w:hAnsi="宋体"/>
          <w:color w:val="auto"/>
          <w:szCs w:val="21"/>
          <w:highlight w:val="none"/>
        </w:rPr>
        <w:t>电子信箱：</w:t>
      </w:r>
      <w:r>
        <w:rPr>
          <w:rFonts w:ascii="宋体" w:hAnsi="宋体"/>
          <w:color w:val="auto"/>
          <w:szCs w:val="21"/>
          <w:highlight w:val="none"/>
          <w:u w:val="single"/>
        </w:rPr>
        <w:t></w:t>
      </w:r>
      <w:r>
        <w:rPr>
          <w:rFonts w:hint="eastAsia" w:ascii="宋体" w:hAnsi="宋体"/>
          <w:color w:val="auto"/>
          <w:szCs w:val="21"/>
          <w:highlight w:val="none"/>
          <w:u w:val="single"/>
          <w:lang w:val="en-US" w:eastAsia="zh-CN"/>
        </w:rPr>
        <w:t>/</w:t>
      </w:r>
      <w:r>
        <w:rPr>
          <w:rFonts w:ascii="宋体" w:hAnsi="宋体"/>
          <w:color w:val="auto"/>
          <w:szCs w:val="21"/>
          <w:highlight w:val="none"/>
          <w:u w:val="single"/>
        </w:rPr>
        <w:t>                </w:t>
      </w:r>
      <w:r>
        <w:rPr>
          <w:rFonts w:hint="eastAsia" w:ascii="宋体" w:hAnsi="宋体"/>
          <w:color w:val="auto"/>
          <w:szCs w:val="21"/>
          <w:highlight w:val="none"/>
        </w:rPr>
        <w:t>；</w:t>
      </w:r>
    </w:p>
    <w:p>
      <w:pPr>
        <w:spacing w:line="400" w:lineRule="exact"/>
        <w:ind w:firstLine="420" w:firstLineChars="200"/>
        <w:rPr>
          <w:rFonts w:ascii="宋体" w:hAnsi="宋体"/>
          <w:color w:val="auto"/>
          <w:szCs w:val="21"/>
          <w:highlight w:val="none"/>
        </w:rPr>
      </w:pPr>
      <w:r>
        <w:rPr>
          <w:rFonts w:hint="eastAsia" w:ascii="宋体" w:hAnsi="宋体"/>
          <w:color w:val="auto"/>
          <w:szCs w:val="21"/>
          <w:highlight w:val="none"/>
        </w:rPr>
        <w:t>通信地址：</w:t>
      </w:r>
      <w:r>
        <w:rPr>
          <w:rFonts w:ascii="宋体" w:hAnsi="宋体"/>
          <w:color w:val="auto"/>
          <w:szCs w:val="21"/>
          <w:highlight w:val="none"/>
          <w:u w:val="single"/>
        </w:rPr>
        <w:t>    </w:t>
      </w:r>
      <w:r>
        <w:rPr>
          <w:rFonts w:hint="eastAsia" w:ascii="宋体" w:hAnsi="宋体"/>
          <w:color w:val="auto"/>
          <w:szCs w:val="21"/>
          <w:highlight w:val="none"/>
          <w:u w:val="single"/>
          <w:lang w:val="en-US" w:eastAsia="zh-CN"/>
        </w:rPr>
        <w:t>/</w:t>
      </w:r>
      <w:r>
        <w:rPr>
          <w:rFonts w:ascii="宋体" w:hAnsi="宋体"/>
          <w:color w:val="auto"/>
          <w:szCs w:val="21"/>
          <w:highlight w:val="none"/>
          <w:u w:val="single"/>
        </w:rPr>
        <w:t>            </w:t>
      </w:r>
      <w:r>
        <w:rPr>
          <w:rFonts w:hint="eastAsia" w:ascii="宋体" w:hAnsi="宋体"/>
          <w:color w:val="auto"/>
          <w:szCs w:val="21"/>
          <w:highlight w:val="none"/>
        </w:rPr>
        <w:t>。</w:t>
      </w:r>
    </w:p>
    <w:p>
      <w:pPr>
        <w:spacing w:line="400" w:lineRule="exact"/>
        <w:ind w:firstLine="420" w:firstLineChars="200"/>
        <w:rPr>
          <w:rFonts w:ascii="宋体" w:hAnsi="宋体"/>
          <w:color w:val="auto"/>
          <w:szCs w:val="21"/>
          <w:highlight w:val="none"/>
        </w:rPr>
      </w:pPr>
      <w:r>
        <w:rPr>
          <w:rFonts w:ascii="宋体" w:hAnsi="宋体"/>
          <w:color w:val="auto"/>
          <w:szCs w:val="21"/>
          <w:highlight w:val="none"/>
        </w:rPr>
        <w:t xml:space="preserve">1.1.2.5 </w:t>
      </w:r>
      <w:r>
        <w:rPr>
          <w:rFonts w:hint="eastAsia" w:ascii="宋体" w:hAnsi="宋体"/>
          <w:color w:val="auto"/>
          <w:szCs w:val="21"/>
          <w:highlight w:val="none"/>
        </w:rPr>
        <w:t>设计人：</w:t>
      </w:r>
    </w:p>
    <w:p>
      <w:pPr>
        <w:spacing w:line="400" w:lineRule="exact"/>
        <w:ind w:firstLine="420" w:firstLineChars="200"/>
        <w:rPr>
          <w:rFonts w:ascii="宋体" w:hAnsi="宋体"/>
          <w:color w:val="auto"/>
          <w:szCs w:val="21"/>
          <w:highlight w:val="none"/>
        </w:rPr>
      </w:pPr>
      <w:r>
        <w:rPr>
          <w:rFonts w:hint="eastAsia" w:ascii="宋体" w:hAnsi="宋体"/>
          <w:color w:val="auto"/>
          <w:szCs w:val="21"/>
          <w:highlight w:val="none"/>
        </w:rPr>
        <w:t>名称：</w:t>
      </w:r>
      <w:r>
        <w:rPr>
          <w:rFonts w:ascii="宋体" w:hAnsi="宋体"/>
          <w:color w:val="auto"/>
          <w:szCs w:val="21"/>
          <w:highlight w:val="none"/>
          <w:u w:val="single"/>
        </w:rPr>
        <w:t xml:space="preserve">                 </w:t>
      </w:r>
      <w:r>
        <w:rPr>
          <w:rFonts w:hint="eastAsia" w:ascii="宋体" w:hAnsi="宋体"/>
          <w:color w:val="auto"/>
          <w:szCs w:val="21"/>
          <w:highlight w:val="none"/>
        </w:rPr>
        <w:t>；</w:t>
      </w:r>
    </w:p>
    <w:p>
      <w:pPr>
        <w:spacing w:line="400" w:lineRule="exact"/>
        <w:ind w:firstLine="420" w:firstLineChars="200"/>
        <w:rPr>
          <w:rFonts w:ascii="宋体" w:hAnsi="宋体"/>
          <w:color w:val="auto"/>
          <w:szCs w:val="21"/>
          <w:highlight w:val="none"/>
        </w:rPr>
      </w:pPr>
      <w:r>
        <w:rPr>
          <w:rFonts w:hint="eastAsia" w:ascii="宋体" w:hAnsi="宋体"/>
          <w:color w:val="auto"/>
          <w:szCs w:val="21"/>
          <w:highlight w:val="none"/>
        </w:rPr>
        <w:t>资质类别和等级：</w:t>
      </w:r>
      <w:r>
        <w:rPr>
          <w:rFonts w:ascii="宋体" w:hAnsi="宋体"/>
          <w:color w:val="auto"/>
          <w:szCs w:val="21"/>
          <w:highlight w:val="none"/>
          <w:u w:val="single"/>
        </w:rPr>
        <w:t>               </w:t>
      </w:r>
      <w:r>
        <w:rPr>
          <w:rFonts w:hint="eastAsia" w:ascii="宋体" w:hAnsi="宋体"/>
          <w:color w:val="auto"/>
          <w:szCs w:val="21"/>
          <w:highlight w:val="none"/>
        </w:rPr>
        <w:t>；</w:t>
      </w:r>
    </w:p>
    <w:p>
      <w:pPr>
        <w:spacing w:line="400" w:lineRule="exact"/>
        <w:ind w:firstLine="420" w:firstLineChars="200"/>
        <w:rPr>
          <w:rFonts w:ascii="宋体" w:hAnsi="宋体"/>
          <w:color w:val="auto"/>
          <w:szCs w:val="21"/>
          <w:highlight w:val="none"/>
        </w:rPr>
      </w:pPr>
      <w:r>
        <w:rPr>
          <w:rFonts w:hint="eastAsia" w:ascii="宋体" w:hAnsi="宋体"/>
          <w:color w:val="auto"/>
          <w:szCs w:val="21"/>
          <w:highlight w:val="none"/>
        </w:rPr>
        <w:t>联系电话：</w:t>
      </w:r>
      <w:r>
        <w:rPr>
          <w:rFonts w:ascii="宋体" w:hAnsi="宋体"/>
          <w:color w:val="auto"/>
          <w:szCs w:val="21"/>
          <w:highlight w:val="none"/>
          <w:u w:val="single"/>
        </w:rPr>
        <w:t>                 </w:t>
      </w:r>
      <w:r>
        <w:rPr>
          <w:rFonts w:hint="eastAsia" w:ascii="宋体" w:hAnsi="宋体"/>
          <w:color w:val="auto"/>
          <w:szCs w:val="21"/>
          <w:highlight w:val="none"/>
        </w:rPr>
        <w:t>；</w:t>
      </w:r>
    </w:p>
    <w:p>
      <w:pPr>
        <w:spacing w:line="400" w:lineRule="exact"/>
        <w:ind w:firstLine="420" w:firstLineChars="200"/>
        <w:rPr>
          <w:rFonts w:ascii="宋体" w:hAnsi="宋体"/>
          <w:color w:val="auto"/>
          <w:szCs w:val="21"/>
          <w:highlight w:val="none"/>
        </w:rPr>
      </w:pPr>
      <w:r>
        <w:rPr>
          <w:rFonts w:hint="eastAsia" w:ascii="宋体" w:hAnsi="宋体"/>
          <w:color w:val="auto"/>
          <w:szCs w:val="21"/>
          <w:highlight w:val="none"/>
        </w:rPr>
        <w:t>电子信箱：</w:t>
      </w:r>
      <w:r>
        <w:rPr>
          <w:rFonts w:ascii="宋体" w:hAnsi="宋体"/>
          <w:color w:val="auto"/>
          <w:szCs w:val="21"/>
          <w:highlight w:val="none"/>
          <w:u w:val="single"/>
        </w:rPr>
        <w:t></w:t>
      </w:r>
      <w:r>
        <w:rPr>
          <w:rFonts w:hint="eastAsia" w:ascii="宋体" w:hAnsi="宋体"/>
          <w:color w:val="auto"/>
          <w:szCs w:val="21"/>
          <w:highlight w:val="none"/>
          <w:u w:val="single"/>
          <w:lang w:val="en-US" w:eastAsia="zh-CN"/>
        </w:rPr>
        <w:t>/</w:t>
      </w:r>
      <w:r>
        <w:rPr>
          <w:rFonts w:ascii="宋体" w:hAnsi="宋体"/>
          <w:color w:val="auto"/>
          <w:szCs w:val="21"/>
          <w:highlight w:val="none"/>
          <w:u w:val="single"/>
        </w:rPr>
        <w:t xml:space="preserve">                    </w:t>
      </w:r>
      <w:r>
        <w:rPr>
          <w:rFonts w:hint="eastAsia" w:ascii="宋体" w:hAnsi="宋体"/>
          <w:color w:val="auto"/>
          <w:szCs w:val="21"/>
          <w:highlight w:val="none"/>
        </w:rPr>
        <w:t>；</w:t>
      </w:r>
    </w:p>
    <w:p>
      <w:pPr>
        <w:spacing w:line="400" w:lineRule="exact"/>
        <w:ind w:firstLine="420" w:firstLineChars="200"/>
        <w:rPr>
          <w:rFonts w:ascii="宋体" w:hAnsi="宋体"/>
          <w:color w:val="auto"/>
          <w:szCs w:val="21"/>
          <w:highlight w:val="none"/>
        </w:rPr>
      </w:pPr>
      <w:r>
        <w:rPr>
          <w:rFonts w:hint="eastAsia" w:ascii="宋体" w:hAnsi="宋体"/>
          <w:color w:val="auto"/>
          <w:szCs w:val="21"/>
          <w:highlight w:val="none"/>
        </w:rPr>
        <w:t>通信地址：</w:t>
      </w:r>
      <w:r>
        <w:rPr>
          <w:rFonts w:ascii="宋体" w:hAnsi="宋体"/>
          <w:color w:val="auto"/>
          <w:szCs w:val="21"/>
          <w:highlight w:val="none"/>
          <w:u w:val="single"/>
        </w:rPr>
        <w:t xml:space="preserve">    </w:t>
      </w:r>
      <w:r>
        <w:rPr>
          <w:rFonts w:hint="eastAsia" w:ascii="宋体" w:hAnsi="宋体"/>
          <w:color w:val="auto"/>
          <w:szCs w:val="21"/>
          <w:highlight w:val="none"/>
          <w:u w:val="single"/>
          <w:lang w:val="en-US" w:eastAsia="zh-CN"/>
        </w:rPr>
        <w:t>/</w:t>
      </w:r>
      <w:r>
        <w:rPr>
          <w:rFonts w:ascii="宋体" w:hAnsi="宋体"/>
          <w:color w:val="auto"/>
          <w:szCs w:val="21"/>
          <w:highlight w:val="none"/>
          <w:u w:val="single"/>
        </w:rPr>
        <w:t>            </w:t>
      </w:r>
      <w:r>
        <w:rPr>
          <w:rFonts w:hint="eastAsia" w:ascii="宋体" w:hAnsi="宋体"/>
          <w:color w:val="auto"/>
          <w:szCs w:val="21"/>
          <w:highlight w:val="none"/>
        </w:rPr>
        <w:t>。</w:t>
      </w:r>
    </w:p>
    <w:p>
      <w:pPr>
        <w:spacing w:line="400" w:lineRule="exact"/>
        <w:ind w:firstLine="420" w:firstLineChars="200"/>
        <w:rPr>
          <w:rFonts w:ascii="宋体" w:hAnsi="宋体"/>
          <w:color w:val="auto"/>
          <w:szCs w:val="21"/>
          <w:highlight w:val="none"/>
        </w:rPr>
      </w:pPr>
      <w:r>
        <w:rPr>
          <w:rFonts w:ascii="宋体" w:hAnsi="宋体"/>
          <w:color w:val="auto"/>
          <w:szCs w:val="21"/>
          <w:highlight w:val="none"/>
        </w:rPr>
        <w:t xml:space="preserve">1.1.3 </w:t>
      </w:r>
      <w:r>
        <w:rPr>
          <w:rFonts w:hint="eastAsia" w:ascii="宋体" w:hAnsi="宋体"/>
          <w:color w:val="auto"/>
          <w:szCs w:val="21"/>
          <w:highlight w:val="none"/>
        </w:rPr>
        <w:t>工程和设备</w:t>
      </w:r>
    </w:p>
    <w:p>
      <w:pPr>
        <w:tabs>
          <w:tab w:val="left" w:pos="2410"/>
        </w:tabs>
        <w:spacing w:line="40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1.1.3.7 作为施工现场组成部分的其他场所包括：</w:t>
      </w:r>
      <w:r>
        <w:rPr>
          <w:rFonts w:hint="eastAsia" w:ascii="宋体" w:hAnsi="宋体" w:cs="宋体"/>
          <w:color w:val="auto"/>
          <w:szCs w:val="21"/>
          <w:highlight w:val="none"/>
          <w:u w:val="single"/>
        </w:rPr>
        <w:t xml:space="preserve">   /   </w:t>
      </w:r>
      <w:r>
        <w:rPr>
          <w:rFonts w:hint="eastAsia" w:ascii="宋体" w:hAnsi="宋体" w:cs="宋体"/>
          <w:color w:val="auto"/>
          <w:szCs w:val="21"/>
          <w:highlight w:val="none"/>
        </w:rPr>
        <w:t>。</w:t>
      </w:r>
    </w:p>
    <w:p>
      <w:pPr>
        <w:tabs>
          <w:tab w:val="left" w:pos="2410"/>
        </w:tabs>
        <w:spacing w:line="400" w:lineRule="exact"/>
        <w:ind w:firstLine="420" w:firstLineChars="200"/>
        <w:jc w:val="left"/>
        <w:rPr>
          <w:rFonts w:ascii="宋体" w:hAnsi="宋体" w:cs="宋体"/>
          <w:color w:val="auto"/>
          <w:szCs w:val="21"/>
          <w:highlight w:val="none"/>
        </w:rPr>
      </w:pPr>
      <w:r>
        <w:rPr>
          <w:rFonts w:hint="eastAsia" w:ascii="宋体" w:hAnsi="宋体" w:cs="宋体"/>
          <w:color w:val="auto"/>
          <w:szCs w:val="21"/>
          <w:highlight w:val="none"/>
        </w:rPr>
        <w:t>1.1.3.9 永久占地包括：</w:t>
      </w:r>
      <w:r>
        <w:rPr>
          <w:rFonts w:hint="eastAsia" w:ascii="宋体" w:hAnsi="宋体" w:cs="宋体"/>
          <w:b/>
          <w:color w:val="auto"/>
          <w:szCs w:val="21"/>
          <w:highlight w:val="none"/>
          <w:u w:val="single"/>
        </w:rPr>
        <w:t xml:space="preserve">/ </w:t>
      </w:r>
      <w:r>
        <w:rPr>
          <w:rFonts w:hint="eastAsia" w:ascii="宋体" w:hAnsi="宋体" w:cs="宋体"/>
          <w:color w:val="auto"/>
          <w:szCs w:val="21"/>
          <w:highlight w:val="none"/>
        </w:rPr>
        <w:t>。</w:t>
      </w:r>
    </w:p>
    <w:p>
      <w:pPr>
        <w:tabs>
          <w:tab w:val="left" w:pos="2410"/>
        </w:tabs>
        <w:spacing w:line="400" w:lineRule="exact"/>
        <w:ind w:firstLine="420" w:firstLineChars="200"/>
        <w:jc w:val="left"/>
        <w:rPr>
          <w:rFonts w:ascii="宋体" w:hAnsi="宋体" w:cs="宋体"/>
          <w:color w:val="auto"/>
          <w:szCs w:val="21"/>
          <w:highlight w:val="none"/>
        </w:rPr>
      </w:pPr>
      <w:r>
        <w:rPr>
          <w:rFonts w:hint="eastAsia" w:ascii="宋体" w:hAnsi="宋体" w:cs="宋体"/>
          <w:color w:val="auto"/>
          <w:szCs w:val="21"/>
          <w:highlight w:val="none"/>
        </w:rPr>
        <w:t>1.1.3.10 临时占地包括：</w:t>
      </w:r>
      <w:r>
        <w:rPr>
          <w:rFonts w:hint="eastAsia" w:ascii="宋体" w:hAnsi="宋体" w:cs="宋体"/>
          <w:color w:val="auto"/>
          <w:szCs w:val="21"/>
          <w:highlight w:val="none"/>
          <w:u w:val="single"/>
        </w:rPr>
        <w:t xml:space="preserve">     /   </w:t>
      </w:r>
      <w:r>
        <w:rPr>
          <w:rFonts w:hint="eastAsia" w:ascii="宋体" w:hAnsi="宋体" w:cs="宋体"/>
          <w:color w:val="auto"/>
          <w:szCs w:val="21"/>
          <w:highlight w:val="none"/>
        </w:rPr>
        <w:t>。</w:t>
      </w:r>
    </w:p>
    <w:p>
      <w:pPr>
        <w:spacing w:after="120" w:line="400" w:lineRule="exact"/>
        <w:ind w:firstLine="420" w:firstLineChars="200"/>
        <w:rPr>
          <w:rFonts w:ascii="宋体" w:hAnsi="宋体"/>
          <w:color w:val="auto"/>
          <w:szCs w:val="21"/>
          <w:highlight w:val="none"/>
        </w:rPr>
      </w:pPr>
      <w:r>
        <w:rPr>
          <w:rFonts w:ascii="宋体" w:hAnsi="宋体"/>
          <w:color w:val="auto"/>
          <w:szCs w:val="21"/>
          <w:highlight w:val="none"/>
        </w:rPr>
        <w:t>1.3</w:t>
      </w:r>
      <w:r>
        <w:rPr>
          <w:rFonts w:hint="eastAsia" w:ascii="宋体" w:hAnsi="宋体"/>
          <w:color w:val="auto"/>
          <w:szCs w:val="21"/>
          <w:highlight w:val="none"/>
        </w:rPr>
        <w:t>法律</w:t>
      </w:r>
    </w:p>
    <w:p>
      <w:pPr>
        <w:tabs>
          <w:tab w:val="left" w:pos="2410"/>
        </w:tabs>
        <w:autoSpaceDE w:val="0"/>
        <w:autoSpaceDN w:val="0"/>
        <w:adjustRightInd w:val="0"/>
        <w:spacing w:line="400" w:lineRule="exact"/>
        <w:ind w:firstLine="420" w:firstLineChars="200"/>
        <w:jc w:val="left"/>
        <w:rPr>
          <w:rFonts w:ascii="宋体" w:hAnsi="宋体" w:cs="宋体"/>
          <w:color w:val="auto"/>
          <w:szCs w:val="21"/>
          <w:highlight w:val="none"/>
        </w:rPr>
      </w:pPr>
      <w:r>
        <w:rPr>
          <w:rFonts w:hint="eastAsia" w:ascii="宋体" w:hAnsi="宋体"/>
          <w:color w:val="auto"/>
          <w:szCs w:val="21"/>
          <w:highlight w:val="none"/>
        </w:rPr>
        <w:t>适用于合同的其他规范性文件：</w:t>
      </w:r>
      <w:r>
        <w:rPr>
          <w:rFonts w:hint="eastAsia" w:ascii="宋体" w:hAnsi="宋体" w:cs="宋体"/>
          <w:b/>
          <w:bCs/>
          <w:color w:val="auto"/>
          <w:szCs w:val="21"/>
          <w:highlight w:val="none"/>
          <w:u w:val="single"/>
        </w:rPr>
        <w:t>《中华人民共和国建筑法》、《中华人民共和国民法典》、《中华人民共和国招标投标法》、七部委第12号令《评标委员会和评标方法暂行规定》、建设部第89号令《房屋建筑和市政基础设施工程施工招标投标管理办法》、七部委第30号令、《建设工程质量管理条例》（国务院第279号令）、《江苏省工程建设管理条例》、《江苏省建筑市场管理条例》。</w:t>
      </w:r>
    </w:p>
    <w:p>
      <w:pPr>
        <w:autoSpaceDE w:val="0"/>
        <w:autoSpaceDN w:val="0"/>
        <w:adjustRightInd w:val="0"/>
        <w:spacing w:line="400" w:lineRule="exact"/>
        <w:ind w:firstLine="420" w:firstLineChars="200"/>
        <w:jc w:val="left"/>
        <w:rPr>
          <w:rFonts w:ascii="宋体" w:hAnsi="宋体"/>
          <w:color w:val="auto"/>
          <w:szCs w:val="21"/>
          <w:highlight w:val="none"/>
        </w:rPr>
      </w:pPr>
      <w:r>
        <w:rPr>
          <w:rFonts w:ascii="宋体" w:hAnsi="宋体"/>
          <w:color w:val="auto"/>
          <w:szCs w:val="21"/>
          <w:highlight w:val="none"/>
        </w:rPr>
        <w:t xml:space="preserve">1.4 </w:t>
      </w:r>
      <w:r>
        <w:rPr>
          <w:rFonts w:hint="eastAsia" w:ascii="宋体" w:hAnsi="宋体"/>
          <w:color w:val="auto"/>
          <w:szCs w:val="21"/>
          <w:highlight w:val="none"/>
        </w:rPr>
        <w:t>标准和规范</w:t>
      </w:r>
    </w:p>
    <w:p>
      <w:pPr>
        <w:tabs>
          <w:tab w:val="left" w:pos="2410"/>
        </w:tabs>
        <w:spacing w:line="400" w:lineRule="exact"/>
        <w:ind w:firstLine="420" w:firstLineChars="200"/>
        <w:rPr>
          <w:rFonts w:ascii="宋体" w:hAnsi="宋体" w:cs="宋体"/>
          <w:b/>
          <w:bCs/>
          <w:color w:val="auto"/>
          <w:szCs w:val="21"/>
          <w:highlight w:val="none"/>
          <w:u w:val="single"/>
        </w:rPr>
      </w:pPr>
      <w:r>
        <w:rPr>
          <w:rFonts w:ascii="宋体" w:hAnsi="宋体"/>
          <w:color w:val="auto"/>
          <w:szCs w:val="21"/>
          <w:highlight w:val="none"/>
        </w:rPr>
        <w:t>1.4.1</w:t>
      </w:r>
      <w:r>
        <w:rPr>
          <w:rFonts w:hint="eastAsia" w:ascii="宋体" w:hAnsi="宋体"/>
          <w:color w:val="auto"/>
          <w:szCs w:val="21"/>
          <w:highlight w:val="none"/>
        </w:rPr>
        <w:t>适用于工程的标准规范包括：</w:t>
      </w:r>
      <w:r>
        <w:rPr>
          <w:rFonts w:hint="eastAsia" w:ascii="宋体" w:hAnsi="宋体" w:cs="宋体"/>
          <w:b/>
          <w:bCs/>
          <w:color w:val="auto"/>
          <w:szCs w:val="21"/>
          <w:highlight w:val="none"/>
          <w:u w:val="single"/>
        </w:rPr>
        <w:t>国家、地方、行业现行的建设工程规范和标准；国家、地方、行业现行的有关材料、设备的规范和标准；现行的江苏省工程预算定额及相关规定。</w:t>
      </w:r>
    </w:p>
    <w:p>
      <w:pPr>
        <w:tabs>
          <w:tab w:val="left" w:pos="2410"/>
        </w:tabs>
        <w:spacing w:line="400" w:lineRule="exact"/>
        <w:ind w:firstLine="420" w:firstLineChars="200"/>
        <w:rPr>
          <w:rFonts w:ascii="宋体" w:hAnsi="宋体" w:cs="宋体"/>
          <w:color w:val="auto"/>
          <w:szCs w:val="21"/>
          <w:highlight w:val="none"/>
          <w:u w:val="single"/>
        </w:rPr>
      </w:pPr>
      <w:r>
        <w:rPr>
          <w:rFonts w:hint="eastAsia" w:ascii="宋体" w:hAnsi="宋体" w:cs="宋体"/>
          <w:color w:val="auto"/>
          <w:szCs w:val="21"/>
          <w:highlight w:val="none"/>
        </w:rPr>
        <w:t>1.4.2 发包人提供国外标准、规范的名称：</w:t>
      </w:r>
      <w:r>
        <w:rPr>
          <w:rFonts w:hint="eastAsia" w:ascii="宋体" w:hAnsi="宋体" w:cs="宋体"/>
          <w:b/>
          <w:bCs/>
          <w:color w:val="auto"/>
          <w:szCs w:val="21"/>
          <w:highlight w:val="none"/>
          <w:u w:val="single"/>
        </w:rPr>
        <w:t xml:space="preserve">无 </w:t>
      </w:r>
      <w:r>
        <w:rPr>
          <w:rFonts w:hint="eastAsia" w:ascii="宋体" w:hAnsi="宋体" w:cs="宋体"/>
          <w:color w:val="auto"/>
          <w:szCs w:val="21"/>
          <w:highlight w:val="none"/>
        </w:rPr>
        <w:t>；</w:t>
      </w:r>
    </w:p>
    <w:p>
      <w:pPr>
        <w:tabs>
          <w:tab w:val="left" w:pos="2410"/>
        </w:tabs>
        <w:spacing w:line="40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发包人提供国外标准、规范的份数：</w:t>
      </w:r>
      <w:r>
        <w:rPr>
          <w:rFonts w:hint="eastAsia" w:ascii="宋体" w:hAnsi="宋体" w:cs="宋体"/>
          <w:b/>
          <w:bCs/>
          <w:color w:val="auto"/>
          <w:szCs w:val="21"/>
          <w:highlight w:val="none"/>
          <w:u w:val="single"/>
        </w:rPr>
        <w:t>无</w:t>
      </w:r>
      <w:r>
        <w:rPr>
          <w:rFonts w:hint="eastAsia" w:ascii="宋体" w:hAnsi="宋体" w:cs="宋体"/>
          <w:color w:val="auto"/>
          <w:szCs w:val="21"/>
          <w:highlight w:val="none"/>
        </w:rPr>
        <w:t>；</w:t>
      </w:r>
    </w:p>
    <w:p>
      <w:pPr>
        <w:tabs>
          <w:tab w:val="left" w:pos="2410"/>
        </w:tabs>
        <w:spacing w:line="40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发包人提供国外标准、规范的名称：</w:t>
      </w:r>
      <w:r>
        <w:rPr>
          <w:rFonts w:hint="eastAsia" w:ascii="宋体" w:hAnsi="宋体" w:cs="宋体"/>
          <w:b/>
          <w:bCs/>
          <w:color w:val="auto"/>
          <w:szCs w:val="21"/>
          <w:highlight w:val="none"/>
          <w:u w:val="single"/>
        </w:rPr>
        <w:t>无</w:t>
      </w:r>
      <w:r>
        <w:rPr>
          <w:rFonts w:hint="eastAsia" w:ascii="宋体" w:hAnsi="宋体" w:cs="宋体"/>
          <w:color w:val="auto"/>
          <w:szCs w:val="21"/>
          <w:highlight w:val="none"/>
        </w:rPr>
        <w:t>。</w:t>
      </w:r>
    </w:p>
    <w:p>
      <w:pPr>
        <w:tabs>
          <w:tab w:val="left" w:pos="2410"/>
        </w:tabs>
        <w:spacing w:line="40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1.4.3发包人对工程的技术标准和功能要求的特殊要求：</w:t>
      </w:r>
      <w:r>
        <w:rPr>
          <w:rFonts w:hint="eastAsia" w:ascii="宋体" w:hAnsi="宋体" w:cs="宋体"/>
          <w:b/>
          <w:bCs/>
          <w:color w:val="auto"/>
          <w:szCs w:val="21"/>
          <w:highlight w:val="none"/>
          <w:u w:val="single"/>
        </w:rPr>
        <w:t>按设计要求执行</w:t>
      </w:r>
      <w:r>
        <w:rPr>
          <w:rFonts w:hint="eastAsia" w:ascii="宋体" w:hAnsi="宋体" w:cs="宋体"/>
          <w:color w:val="auto"/>
          <w:szCs w:val="21"/>
          <w:highlight w:val="none"/>
        </w:rPr>
        <w:t>。</w:t>
      </w:r>
    </w:p>
    <w:p>
      <w:pPr>
        <w:tabs>
          <w:tab w:val="left" w:pos="2410"/>
        </w:tabs>
        <w:spacing w:line="40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1.5 合同文件的优先顺序</w:t>
      </w:r>
    </w:p>
    <w:p>
      <w:pPr>
        <w:spacing w:line="400" w:lineRule="exact"/>
        <w:ind w:firstLine="420" w:firstLineChars="200"/>
        <w:rPr>
          <w:rFonts w:ascii="宋体" w:hAnsi="宋体"/>
          <w:color w:val="auto"/>
          <w:szCs w:val="21"/>
          <w:highlight w:val="none"/>
          <w:lang w:eastAsia="zh-TW"/>
        </w:rPr>
      </w:pPr>
      <w:r>
        <w:rPr>
          <w:rFonts w:hint="eastAsia" w:ascii="宋体" w:hAnsi="宋体" w:cs="宋体"/>
          <w:color w:val="auto"/>
          <w:szCs w:val="21"/>
          <w:highlight w:val="none"/>
        </w:rPr>
        <w:t>合同文件组成及优先顺序为：</w:t>
      </w:r>
      <w:r>
        <w:rPr>
          <w:rFonts w:hint="eastAsia" w:ascii="宋体" w:hAnsi="宋体"/>
          <w:b/>
          <w:bCs/>
          <w:color w:val="auto"/>
          <w:kern w:val="0"/>
          <w:szCs w:val="21"/>
          <w:highlight w:val="none"/>
          <w:u w:val="single"/>
        </w:rPr>
        <w:t>（</w:t>
      </w:r>
      <w:r>
        <w:rPr>
          <w:rFonts w:ascii="宋体" w:hAnsi="宋体"/>
          <w:b/>
          <w:bCs/>
          <w:color w:val="auto"/>
          <w:kern w:val="0"/>
          <w:szCs w:val="21"/>
          <w:highlight w:val="none"/>
          <w:u w:val="single"/>
        </w:rPr>
        <w:t>1）</w:t>
      </w:r>
      <w:r>
        <w:rPr>
          <w:rFonts w:hint="eastAsia" w:ascii="宋体" w:hAnsi="宋体" w:cs="宋体"/>
          <w:b/>
          <w:bCs/>
          <w:color w:val="auto"/>
          <w:szCs w:val="21"/>
          <w:highlight w:val="none"/>
          <w:u w:val="single"/>
        </w:rPr>
        <w:t>合同协议书</w:t>
      </w:r>
      <w:r>
        <w:rPr>
          <w:rFonts w:hint="eastAsia" w:ascii="宋体" w:hAnsi="宋体"/>
          <w:b/>
          <w:bCs/>
          <w:color w:val="auto"/>
          <w:kern w:val="0"/>
          <w:szCs w:val="21"/>
          <w:highlight w:val="none"/>
          <w:u w:val="single"/>
        </w:rPr>
        <w:t>；</w:t>
      </w:r>
      <w:r>
        <w:rPr>
          <w:rFonts w:ascii="宋体" w:hAnsi="宋体"/>
          <w:b/>
          <w:bCs/>
          <w:color w:val="auto"/>
          <w:kern w:val="0"/>
          <w:szCs w:val="21"/>
          <w:highlight w:val="none"/>
          <w:u w:val="single"/>
        </w:rPr>
        <w:t>（2）</w:t>
      </w:r>
      <w:r>
        <w:rPr>
          <w:rFonts w:hint="eastAsia" w:ascii="宋体" w:hAnsi="宋体"/>
          <w:b/>
          <w:bCs/>
          <w:color w:val="auto"/>
          <w:kern w:val="0"/>
          <w:szCs w:val="21"/>
          <w:highlight w:val="none"/>
          <w:u w:val="single"/>
          <w:lang w:eastAsia="zh-TW"/>
        </w:rPr>
        <w:t>中标通</w:t>
      </w:r>
      <w:r>
        <w:rPr>
          <w:rFonts w:hint="eastAsia" w:ascii="宋体" w:hAnsi="宋体"/>
          <w:b/>
          <w:bCs/>
          <w:color w:val="auto"/>
          <w:kern w:val="0"/>
          <w:szCs w:val="21"/>
          <w:highlight w:val="none"/>
          <w:u w:val="single"/>
        </w:rPr>
        <w:t>知</w:t>
      </w:r>
      <w:r>
        <w:rPr>
          <w:rFonts w:hint="eastAsia" w:ascii="宋体" w:hAnsi="宋体"/>
          <w:b/>
          <w:bCs/>
          <w:color w:val="auto"/>
          <w:kern w:val="0"/>
          <w:szCs w:val="21"/>
          <w:highlight w:val="none"/>
          <w:u w:val="single"/>
          <w:lang w:eastAsia="zh-TW"/>
        </w:rPr>
        <w:t>书</w:t>
      </w:r>
      <w:r>
        <w:rPr>
          <w:rFonts w:ascii="宋体" w:hAnsi="宋体"/>
          <w:b/>
          <w:bCs/>
          <w:color w:val="auto"/>
          <w:kern w:val="0"/>
          <w:szCs w:val="21"/>
          <w:highlight w:val="none"/>
          <w:u w:val="single"/>
        </w:rPr>
        <w:t>；（3）</w:t>
      </w:r>
      <w:r>
        <w:rPr>
          <w:rFonts w:hint="eastAsia" w:ascii="宋体" w:hAnsi="宋体" w:cs="宋体"/>
          <w:b/>
          <w:bCs/>
          <w:color w:val="auto"/>
          <w:szCs w:val="21"/>
          <w:highlight w:val="none"/>
          <w:u w:val="single"/>
        </w:rPr>
        <w:t>招标文件及修改、补充文件</w:t>
      </w:r>
      <w:r>
        <w:rPr>
          <w:rFonts w:hint="eastAsia" w:ascii="宋体" w:hAnsi="宋体"/>
          <w:b/>
          <w:bCs/>
          <w:color w:val="auto"/>
          <w:kern w:val="0"/>
          <w:szCs w:val="21"/>
          <w:highlight w:val="none"/>
          <w:u w:val="single"/>
        </w:rPr>
        <w:t>；（4） 本合同</w:t>
      </w:r>
      <w:r>
        <w:rPr>
          <w:rFonts w:hint="eastAsia" w:ascii="宋体" w:hAnsi="宋体"/>
          <w:b/>
          <w:bCs/>
          <w:color w:val="auto"/>
          <w:kern w:val="0"/>
          <w:szCs w:val="21"/>
          <w:highlight w:val="none"/>
          <w:u w:val="single"/>
          <w:lang w:eastAsia="zh-TW"/>
        </w:rPr>
        <w:t>专用条款</w:t>
      </w:r>
      <w:r>
        <w:rPr>
          <w:rFonts w:ascii="宋体" w:hAnsi="宋体"/>
          <w:b/>
          <w:bCs/>
          <w:color w:val="auto"/>
          <w:kern w:val="0"/>
          <w:szCs w:val="21"/>
          <w:highlight w:val="none"/>
          <w:u w:val="single"/>
        </w:rPr>
        <w:t>；（</w:t>
      </w:r>
      <w:r>
        <w:rPr>
          <w:rFonts w:hint="eastAsia" w:ascii="宋体" w:hAnsi="宋体"/>
          <w:b/>
          <w:bCs/>
          <w:color w:val="auto"/>
          <w:kern w:val="0"/>
          <w:szCs w:val="21"/>
          <w:highlight w:val="none"/>
          <w:u w:val="single"/>
        </w:rPr>
        <w:t>5</w:t>
      </w:r>
      <w:r>
        <w:rPr>
          <w:rFonts w:ascii="宋体" w:hAnsi="宋体"/>
          <w:b/>
          <w:bCs/>
          <w:color w:val="auto"/>
          <w:kern w:val="0"/>
          <w:szCs w:val="21"/>
          <w:highlight w:val="none"/>
          <w:u w:val="single"/>
        </w:rPr>
        <w:t>）</w:t>
      </w:r>
      <w:r>
        <w:rPr>
          <w:rFonts w:hint="eastAsia" w:ascii="宋体" w:hAnsi="宋体"/>
          <w:b/>
          <w:bCs/>
          <w:color w:val="auto"/>
          <w:kern w:val="0"/>
          <w:szCs w:val="21"/>
          <w:highlight w:val="none"/>
          <w:u w:val="single"/>
        </w:rPr>
        <w:t xml:space="preserve"> 本合同</w:t>
      </w:r>
      <w:r>
        <w:rPr>
          <w:rFonts w:hint="eastAsia" w:ascii="宋体" w:hAnsi="宋体"/>
          <w:b/>
          <w:bCs/>
          <w:color w:val="auto"/>
          <w:kern w:val="0"/>
          <w:szCs w:val="21"/>
          <w:highlight w:val="none"/>
          <w:u w:val="single"/>
          <w:lang w:eastAsia="zh-TW"/>
        </w:rPr>
        <w:t>通用条款</w:t>
      </w:r>
      <w:r>
        <w:rPr>
          <w:rFonts w:ascii="宋体" w:hAnsi="宋体"/>
          <w:b/>
          <w:bCs/>
          <w:color w:val="auto"/>
          <w:kern w:val="0"/>
          <w:szCs w:val="21"/>
          <w:highlight w:val="none"/>
          <w:u w:val="single"/>
        </w:rPr>
        <w:t>；（</w:t>
      </w:r>
      <w:r>
        <w:rPr>
          <w:rFonts w:hint="eastAsia" w:ascii="宋体" w:hAnsi="宋体"/>
          <w:b/>
          <w:bCs/>
          <w:color w:val="auto"/>
          <w:kern w:val="0"/>
          <w:szCs w:val="21"/>
          <w:highlight w:val="none"/>
          <w:u w:val="single"/>
        </w:rPr>
        <w:t>6</w:t>
      </w:r>
      <w:r>
        <w:rPr>
          <w:rFonts w:ascii="宋体" w:hAnsi="宋体"/>
          <w:b/>
          <w:bCs/>
          <w:color w:val="auto"/>
          <w:kern w:val="0"/>
          <w:szCs w:val="21"/>
          <w:highlight w:val="none"/>
          <w:u w:val="single"/>
        </w:rPr>
        <w:t>）</w:t>
      </w:r>
      <w:r>
        <w:rPr>
          <w:rFonts w:hint="eastAsia" w:ascii="宋体" w:hAnsi="宋体"/>
          <w:b/>
          <w:bCs/>
          <w:color w:val="auto"/>
          <w:kern w:val="0"/>
          <w:szCs w:val="21"/>
          <w:highlight w:val="none"/>
          <w:u w:val="single"/>
          <w:lang w:eastAsia="zh-TW"/>
        </w:rPr>
        <w:t>投标书及其附件</w:t>
      </w:r>
      <w:r>
        <w:rPr>
          <w:rFonts w:ascii="宋体" w:hAnsi="宋体"/>
          <w:b/>
          <w:bCs/>
          <w:color w:val="auto"/>
          <w:kern w:val="0"/>
          <w:szCs w:val="21"/>
          <w:highlight w:val="none"/>
          <w:u w:val="single"/>
        </w:rPr>
        <w:t>；（</w:t>
      </w:r>
      <w:r>
        <w:rPr>
          <w:rFonts w:hint="eastAsia" w:ascii="宋体" w:hAnsi="宋体"/>
          <w:b/>
          <w:bCs/>
          <w:color w:val="auto"/>
          <w:kern w:val="0"/>
          <w:szCs w:val="21"/>
          <w:highlight w:val="none"/>
          <w:u w:val="single"/>
        </w:rPr>
        <w:t>7</w:t>
      </w:r>
      <w:r>
        <w:rPr>
          <w:rFonts w:ascii="宋体" w:hAnsi="宋体"/>
          <w:b/>
          <w:bCs/>
          <w:color w:val="auto"/>
          <w:kern w:val="0"/>
          <w:szCs w:val="21"/>
          <w:highlight w:val="none"/>
          <w:u w:val="single"/>
        </w:rPr>
        <w:t>）</w:t>
      </w:r>
      <w:r>
        <w:rPr>
          <w:rFonts w:hint="eastAsia" w:ascii="宋体" w:hAnsi="宋体"/>
          <w:b/>
          <w:bCs/>
          <w:color w:val="auto"/>
          <w:kern w:val="0"/>
          <w:szCs w:val="21"/>
          <w:highlight w:val="none"/>
          <w:u w:val="single"/>
          <w:lang w:eastAsia="zh-TW"/>
        </w:rPr>
        <w:t>标准、规范及有关技术资料</w:t>
      </w:r>
      <w:r>
        <w:rPr>
          <w:rFonts w:ascii="宋体" w:hAnsi="宋体"/>
          <w:b/>
          <w:bCs/>
          <w:color w:val="auto"/>
          <w:kern w:val="0"/>
          <w:szCs w:val="21"/>
          <w:highlight w:val="none"/>
          <w:u w:val="single"/>
        </w:rPr>
        <w:t>；（</w:t>
      </w:r>
      <w:r>
        <w:rPr>
          <w:rFonts w:hint="eastAsia" w:ascii="宋体" w:hAnsi="宋体"/>
          <w:b/>
          <w:bCs/>
          <w:color w:val="auto"/>
          <w:kern w:val="0"/>
          <w:szCs w:val="21"/>
          <w:highlight w:val="none"/>
          <w:u w:val="single"/>
        </w:rPr>
        <w:t>8</w:t>
      </w:r>
      <w:r>
        <w:rPr>
          <w:rFonts w:ascii="宋体" w:hAnsi="宋体"/>
          <w:b/>
          <w:bCs/>
          <w:color w:val="auto"/>
          <w:kern w:val="0"/>
          <w:szCs w:val="21"/>
          <w:highlight w:val="none"/>
          <w:u w:val="single"/>
        </w:rPr>
        <w:t>）</w:t>
      </w:r>
      <w:r>
        <w:rPr>
          <w:rFonts w:hint="eastAsia" w:ascii="宋体" w:hAnsi="宋体"/>
          <w:b/>
          <w:bCs/>
          <w:color w:val="auto"/>
          <w:kern w:val="0"/>
          <w:szCs w:val="21"/>
          <w:highlight w:val="none"/>
          <w:u w:val="single"/>
          <w:lang w:eastAsia="zh-TW"/>
        </w:rPr>
        <w:t>图纸</w:t>
      </w:r>
      <w:r>
        <w:rPr>
          <w:rFonts w:hint="eastAsia" w:ascii="宋体" w:hAnsi="宋体"/>
          <w:b/>
          <w:bCs/>
          <w:color w:val="auto"/>
          <w:kern w:val="0"/>
          <w:szCs w:val="21"/>
          <w:highlight w:val="none"/>
          <w:u w:val="single"/>
        </w:rPr>
        <w:t>；（9</w:t>
      </w:r>
      <w:r>
        <w:rPr>
          <w:rFonts w:ascii="宋体" w:hAnsi="宋体"/>
          <w:b/>
          <w:bCs/>
          <w:color w:val="auto"/>
          <w:kern w:val="0"/>
          <w:szCs w:val="21"/>
          <w:highlight w:val="none"/>
          <w:u w:val="single"/>
        </w:rPr>
        <w:t>）</w:t>
      </w:r>
      <w:r>
        <w:rPr>
          <w:rFonts w:hint="eastAsia" w:ascii="宋体" w:hAnsi="宋体"/>
          <w:b/>
          <w:bCs/>
          <w:color w:val="auto"/>
          <w:kern w:val="0"/>
          <w:szCs w:val="21"/>
          <w:highlight w:val="none"/>
          <w:u w:val="single"/>
          <w:lang w:eastAsia="zh-TW"/>
        </w:rPr>
        <w:t>工程报</w:t>
      </w:r>
      <w:r>
        <w:rPr>
          <w:rFonts w:hint="eastAsia" w:ascii="宋体" w:hAnsi="宋体"/>
          <w:b/>
          <w:bCs/>
          <w:color w:val="auto"/>
          <w:kern w:val="0"/>
          <w:szCs w:val="21"/>
          <w:highlight w:val="none"/>
          <w:u w:val="single"/>
        </w:rPr>
        <w:t>价</w:t>
      </w:r>
      <w:r>
        <w:rPr>
          <w:rFonts w:hint="eastAsia" w:ascii="宋体" w:hAnsi="宋体"/>
          <w:b/>
          <w:bCs/>
          <w:color w:val="auto"/>
          <w:kern w:val="0"/>
          <w:szCs w:val="21"/>
          <w:highlight w:val="none"/>
          <w:u w:val="single"/>
          <w:lang w:eastAsia="zh-TW"/>
        </w:rPr>
        <w:t>单或预算书</w:t>
      </w:r>
      <w:r>
        <w:rPr>
          <w:rFonts w:hint="eastAsia" w:ascii="宋体" w:hAnsi="宋体"/>
          <w:b/>
          <w:bCs/>
          <w:color w:val="auto"/>
          <w:kern w:val="0"/>
          <w:szCs w:val="21"/>
          <w:highlight w:val="none"/>
          <w:u w:val="single"/>
        </w:rPr>
        <w:t>；</w:t>
      </w:r>
      <w:r>
        <w:rPr>
          <w:rFonts w:hint="eastAsia" w:ascii="宋体" w:hAnsi="宋体" w:cs="宋体"/>
          <w:b/>
          <w:bCs/>
          <w:color w:val="auto"/>
          <w:szCs w:val="21"/>
          <w:highlight w:val="none"/>
          <w:u w:val="single"/>
        </w:rPr>
        <w:t>（10）其他合同文件。</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1.6 图纸和</w:t>
      </w:r>
      <w:r>
        <w:rPr>
          <w:rFonts w:hint="eastAsia" w:ascii="宋体" w:hAnsi="宋体"/>
          <w:color w:val="auto"/>
          <w:szCs w:val="21"/>
          <w:highlight w:val="none"/>
        </w:rPr>
        <w:t>承包人</w:t>
      </w:r>
      <w:r>
        <w:rPr>
          <w:rFonts w:ascii="宋体" w:hAnsi="宋体"/>
          <w:color w:val="auto"/>
          <w:szCs w:val="21"/>
          <w:highlight w:val="none"/>
        </w:rPr>
        <w:t>文件</w:t>
      </w:r>
      <w:r>
        <w:rPr>
          <w:rFonts w:ascii="宋体" w:hAnsi="宋体"/>
          <w:color w:val="auto"/>
          <w:szCs w:val="21"/>
          <w:highlight w:val="none"/>
        </w:rPr>
        <w:tab/>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1.6.1 图纸的提供</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发包人向</w:t>
      </w:r>
      <w:r>
        <w:rPr>
          <w:rFonts w:hint="eastAsia" w:ascii="宋体" w:hAnsi="宋体"/>
          <w:color w:val="auto"/>
          <w:szCs w:val="21"/>
          <w:highlight w:val="none"/>
        </w:rPr>
        <w:t>承包人</w:t>
      </w:r>
      <w:r>
        <w:rPr>
          <w:rFonts w:ascii="宋体" w:hAnsi="宋体"/>
          <w:color w:val="auto"/>
          <w:szCs w:val="21"/>
          <w:highlight w:val="none"/>
        </w:rPr>
        <w:t>提供图纸的期限：</w:t>
      </w:r>
      <w:r>
        <w:rPr>
          <w:rFonts w:hint="eastAsia" w:ascii="宋体" w:hAnsi="宋体" w:cs="Arial"/>
          <w:color w:val="auto"/>
          <w:szCs w:val="21"/>
          <w:highlight w:val="none"/>
          <w:u w:val="single"/>
        </w:rPr>
        <w:t>发包人于工程开工前向承包人提供</w:t>
      </w:r>
      <w:r>
        <w:rPr>
          <w:rFonts w:hint="eastAsia"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发包人向</w:t>
      </w:r>
      <w:r>
        <w:rPr>
          <w:rFonts w:hint="eastAsia" w:ascii="宋体" w:hAnsi="宋体"/>
          <w:color w:val="auto"/>
          <w:szCs w:val="21"/>
          <w:highlight w:val="none"/>
        </w:rPr>
        <w:t>承包人</w:t>
      </w:r>
      <w:r>
        <w:rPr>
          <w:rFonts w:ascii="宋体" w:hAnsi="宋体"/>
          <w:color w:val="auto"/>
          <w:szCs w:val="21"/>
          <w:highlight w:val="none"/>
        </w:rPr>
        <w:t>提供图纸的数量：</w:t>
      </w:r>
      <w:r>
        <w:rPr>
          <w:rFonts w:hint="eastAsia" w:ascii="宋体" w:hAnsi="宋体" w:cs="Arial"/>
          <w:color w:val="auto"/>
          <w:szCs w:val="21"/>
          <w:highlight w:val="none"/>
          <w:u w:val="single"/>
        </w:rPr>
        <w:t>开工前甲方仅提供全套电子图</w:t>
      </w:r>
      <w:r>
        <w:rPr>
          <w:rFonts w:ascii="宋体" w:hAnsi="宋体"/>
          <w:color w:val="auto"/>
          <w:szCs w:val="21"/>
          <w:highlight w:val="none"/>
        </w:rPr>
        <w:t>；</w:t>
      </w:r>
    </w:p>
    <w:p>
      <w:pPr>
        <w:spacing w:line="440" w:lineRule="exact"/>
        <w:ind w:firstLine="420" w:firstLineChars="200"/>
        <w:rPr>
          <w:rFonts w:ascii="宋体" w:hAnsi="宋体" w:cs="Arial"/>
          <w:color w:val="auto"/>
          <w:szCs w:val="21"/>
          <w:highlight w:val="none"/>
          <w:u w:val="single"/>
        </w:rPr>
      </w:pPr>
      <w:r>
        <w:rPr>
          <w:rFonts w:ascii="宋体" w:hAnsi="宋体"/>
          <w:color w:val="auto"/>
          <w:szCs w:val="21"/>
          <w:highlight w:val="none"/>
        </w:rPr>
        <w:t>发包人向</w:t>
      </w:r>
      <w:r>
        <w:rPr>
          <w:rFonts w:hint="eastAsia" w:ascii="宋体" w:hAnsi="宋体"/>
          <w:color w:val="auto"/>
          <w:szCs w:val="21"/>
          <w:highlight w:val="none"/>
        </w:rPr>
        <w:t>承包人</w:t>
      </w:r>
      <w:r>
        <w:rPr>
          <w:rFonts w:ascii="宋体" w:hAnsi="宋体"/>
          <w:color w:val="auto"/>
          <w:szCs w:val="21"/>
          <w:highlight w:val="none"/>
        </w:rPr>
        <w:t>提供图纸的内容：</w:t>
      </w:r>
      <w:r>
        <w:rPr>
          <w:rFonts w:hint="eastAsia" w:ascii="宋体" w:hAnsi="宋体" w:cs="Arial"/>
          <w:color w:val="auto"/>
          <w:szCs w:val="21"/>
          <w:highlight w:val="none"/>
          <w:u w:val="single"/>
        </w:rPr>
        <w:t>未经发包人同意不得复制，不得向承包人以外的人员泄露有关图纸内容。</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 xml:space="preserve">1.6.4 </w:t>
      </w:r>
      <w:r>
        <w:rPr>
          <w:rFonts w:hint="eastAsia" w:ascii="宋体" w:hAnsi="宋体"/>
          <w:color w:val="auto"/>
          <w:szCs w:val="21"/>
          <w:highlight w:val="none"/>
        </w:rPr>
        <w:t>承包人</w:t>
      </w:r>
      <w:r>
        <w:rPr>
          <w:rFonts w:ascii="宋体" w:hAnsi="宋体"/>
          <w:color w:val="auto"/>
          <w:szCs w:val="21"/>
          <w:highlight w:val="none"/>
        </w:rPr>
        <w:t>文件</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需</w:t>
      </w:r>
      <w:r>
        <w:rPr>
          <w:rFonts w:ascii="宋体" w:hAnsi="宋体" w:cs="Arial"/>
          <w:color w:val="auto"/>
          <w:szCs w:val="21"/>
          <w:highlight w:val="none"/>
        </w:rPr>
        <w:t>要由</w:t>
      </w:r>
      <w:r>
        <w:rPr>
          <w:rFonts w:hint="eastAsia" w:ascii="宋体" w:hAnsi="宋体" w:cs="Arial"/>
          <w:color w:val="auto"/>
          <w:szCs w:val="21"/>
          <w:highlight w:val="none"/>
        </w:rPr>
        <w:t>承包人</w:t>
      </w:r>
      <w:r>
        <w:rPr>
          <w:rFonts w:ascii="宋体" w:hAnsi="宋体" w:cs="Arial"/>
          <w:color w:val="auto"/>
          <w:szCs w:val="21"/>
          <w:highlight w:val="none"/>
        </w:rPr>
        <w:t>提供的文件，包括：</w:t>
      </w:r>
      <w:r>
        <w:rPr>
          <w:rFonts w:hint="eastAsia" w:ascii="宋体" w:hAnsi="宋体" w:cs="Arial"/>
          <w:b/>
          <w:color w:val="auto"/>
          <w:szCs w:val="21"/>
          <w:highlight w:val="none"/>
          <w:u w:val="single"/>
        </w:rPr>
        <w:t>承包人在开工前必须提交详细的施工组织设计，报发包人及总监审批，施工组织设计经发包人及监理认可后方可开工。每周四向监理和发包人提供下一周详细的施工进度计划及本周施工进度报表；总进度计划在开工前3天提供。具体计划及时间要求根据工程需要补充明确；承包人不按时报送以上资料，造成发包人无法判断工程进展顺利进行的，发包人可按照现实情况发向承包人收取1000-2000元的违约金，并可拒付相应部分工程进</w:t>
      </w:r>
      <w:r>
        <w:rPr>
          <w:rFonts w:hint="eastAsia" w:ascii="宋体" w:hAnsi="宋体"/>
          <w:b/>
          <w:color w:val="auto"/>
          <w:szCs w:val="21"/>
          <w:highlight w:val="none"/>
          <w:u w:val="single"/>
        </w:rPr>
        <w:t>度款，责任由承包人承担</w:t>
      </w:r>
      <w:r>
        <w:rPr>
          <w:rFonts w:ascii="宋体" w:hAnsi="宋体"/>
          <w:b/>
          <w:color w:val="auto"/>
          <w:szCs w:val="21"/>
          <w:highlight w:val="none"/>
          <w:u w:val="single"/>
        </w:rPr>
        <w:t>；</w:t>
      </w:r>
    </w:p>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承包人提供的文件的数量为：</w:t>
      </w:r>
      <w:r>
        <w:rPr>
          <w:rFonts w:hint="eastAsia" w:ascii="宋体" w:hAnsi="宋体" w:cs="Arial"/>
          <w:b/>
          <w:color w:val="auto"/>
          <w:szCs w:val="21"/>
          <w:highlight w:val="none"/>
          <w:u w:val="single"/>
        </w:rPr>
        <w:t>视发包人需求</w:t>
      </w:r>
      <w:r>
        <w:rPr>
          <w:rFonts w:hint="eastAsia"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承包人提供的文件的形式为：</w:t>
      </w:r>
      <w:r>
        <w:rPr>
          <w:rFonts w:hint="eastAsia" w:ascii="宋体" w:hAnsi="宋体"/>
          <w:b/>
          <w:color w:val="auto"/>
          <w:szCs w:val="21"/>
          <w:highlight w:val="none"/>
          <w:u w:val="single"/>
        </w:rPr>
        <w:t>书面形式</w:t>
      </w:r>
      <w:r>
        <w:rPr>
          <w:rFonts w:hint="eastAsia" w:ascii="宋体" w:hAnsi="宋体"/>
          <w:color w:val="auto"/>
          <w:szCs w:val="21"/>
          <w:highlight w:val="none"/>
        </w:rPr>
        <w:t>；</w:t>
      </w:r>
    </w:p>
    <w:p>
      <w:pPr>
        <w:spacing w:line="440" w:lineRule="exact"/>
        <w:ind w:firstLine="420" w:firstLineChars="200"/>
        <w:jc w:val="left"/>
        <w:rPr>
          <w:rFonts w:ascii="宋体" w:hAnsi="宋体"/>
          <w:color w:val="auto"/>
          <w:kern w:val="0"/>
          <w:szCs w:val="21"/>
          <w:highlight w:val="none"/>
        </w:rPr>
      </w:pPr>
      <w:r>
        <w:rPr>
          <w:rFonts w:hint="eastAsia" w:ascii="宋体" w:hAnsi="宋体"/>
          <w:color w:val="auto"/>
          <w:szCs w:val="21"/>
          <w:highlight w:val="none"/>
        </w:rPr>
        <w:t>发包人审批承包人文件的期限：</w:t>
      </w:r>
      <w:r>
        <w:rPr>
          <w:rFonts w:hint="eastAsia" w:ascii="宋体" w:hAnsi="宋体"/>
          <w:b/>
          <w:color w:val="auto"/>
          <w:szCs w:val="21"/>
          <w:highlight w:val="none"/>
          <w:u w:val="single"/>
        </w:rPr>
        <w:t>收到文件后7天内</w:t>
      </w:r>
      <w:r>
        <w:rPr>
          <w:rFonts w:hint="eastAsia" w:ascii="宋体" w:hAnsi="宋体"/>
          <w:color w:val="auto"/>
          <w:kern w:val="0"/>
          <w:szCs w:val="21"/>
          <w:highlight w:val="none"/>
        </w:rPr>
        <w:t>。</w:t>
      </w:r>
    </w:p>
    <w:p>
      <w:pPr>
        <w:spacing w:line="440" w:lineRule="exact"/>
        <w:ind w:firstLine="420" w:firstLineChars="200"/>
        <w:jc w:val="left"/>
        <w:rPr>
          <w:rFonts w:ascii="宋体" w:hAnsi="宋体"/>
          <w:color w:val="auto"/>
          <w:kern w:val="0"/>
          <w:szCs w:val="21"/>
          <w:highlight w:val="none"/>
        </w:rPr>
      </w:pPr>
      <w:r>
        <w:rPr>
          <w:rFonts w:ascii="宋体" w:hAnsi="宋体"/>
          <w:color w:val="auto"/>
          <w:kern w:val="0"/>
          <w:szCs w:val="21"/>
          <w:highlight w:val="none"/>
        </w:rPr>
        <w:t xml:space="preserve">1.6.5 </w:t>
      </w:r>
      <w:r>
        <w:rPr>
          <w:rFonts w:hint="eastAsia" w:ascii="宋体" w:hAnsi="宋体"/>
          <w:color w:val="auto"/>
          <w:kern w:val="0"/>
          <w:szCs w:val="21"/>
          <w:highlight w:val="none"/>
        </w:rPr>
        <w:t>现场图纸准备</w:t>
      </w:r>
    </w:p>
    <w:p>
      <w:pPr>
        <w:spacing w:line="440" w:lineRule="exact"/>
        <w:ind w:firstLine="420" w:firstLineChars="200"/>
        <w:jc w:val="left"/>
        <w:rPr>
          <w:rFonts w:ascii="宋体" w:hAnsi="宋体"/>
          <w:color w:val="auto"/>
          <w:szCs w:val="21"/>
          <w:highlight w:val="none"/>
        </w:rPr>
      </w:pPr>
      <w:r>
        <w:rPr>
          <w:rFonts w:hint="eastAsia" w:ascii="宋体" w:hAnsi="宋体"/>
          <w:color w:val="auto"/>
          <w:kern w:val="0"/>
          <w:szCs w:val="21"/>
          <w:highlight w:val="none"/>
        </w:rPr>
        <w:t>关于现场</w:t>
      </w:r>
      <w:r>
        <w:rPr>
          <w:rFonts w:hint="eastAsia" w:ascii="宋体" w:hAnsi="宋体"/>
          <w:color w:val="auto"/>
          <w:szCs w:val="21"/>
          <w:highlight w:val="none"/>
        </w:rPr>
        <w:t>图纸准备的约定：</w:t>
      </w:r>
      <w:r>
        <w:rPr>
          <w:rFonts w:hint="eastAsia" w:ascii="宋体" w:hAnsi="宋体"/>
          <w:b/>
          <w:color w:val="auto"/>
          <w:szCs w:val="21"/>
          <w:highlight w:val="none"/>
          <w:u w:val="single"/>
        </w:rPr>
        <w:t>施工现场保留一套完整图纸供发包人、监理人及有关人员使用</w:t>
      </w:r>
      <w:r>
        <w:rPr>
          <w:rFonts w:hint="eastAsia" w:ascii="宋体" w:hAnsi="宋体"/>
          <w:color w:val="auto"/>
          <w:szCs w:val="21"/>
          <w:highlight w:val="none"/>
        </w:rPr>
        <w:t>。</w:t>
      </w:r>
    </w:p>
    <w:p>
      <w:pPr>
        <w:spacing w:line="440" w:lineRule="exact"/>
        <w:ind w:firstLine="420" w:firstLineChars="200"/>
        <w:jc w:val="left"/>
        <w:rPr>
          <w:rFonts w:ascii="宋体" w:hAnsi="宋体"/>
          <w:color w:val="auto"/>
          <w:kern w:val="0"/>
          <w:szCs w:val="21"/>
          <w:highlight w:val="none"/>
        </w:rPr>
      </w:pPr>
      <w:r>
        <w:rPr>
          <w:rFonts w:ascii="宋体" w:hAnsi="宋体"/>
          <w:color w:val="auto"/>
          <w:szCs w:val="21"/>
          <w:highlight w:val="none"/>
        </w:rPr>
        <w:t>1.7 联</w:t>
      </w:r>
      <w:r>
        <w:rPr>
          <w:rFonts w:hint="eastAsia" w:ascii="宋体" w:hAnsi="宋体"/>
          <w:color w:val="auto"/>
          <w:kern w:val="0"/>
          <w:szCs w:val="21"/>
          <w:highlight w:val="none"/>
        </w:rPr>
        <w:t>络</w:t>
      </w:r>
    </w:p>
    <w:p>
      <w:pPr>
        <w:spacing w:line="440" w:lineRule="exact"/>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1.7.1</w:t>
      </w:r>
      <w:r>
        <w:rPr>
          <w:rFonts w:ascii="宋体" w:hAnsi="宋体"/>
          <w:color w:val="auto"/>
          <w:szCs w:val="21"/>
          <w:highlight w:val="none"/>
        </w:rPr>
        <w:t>发包人和</w:t>
      </w:r>
      <w:r>
        <w:rPr>
          <w:rFonts w:hint="eastAsia" w:ascii="宋体" w:hAnsi="宋体"/>
          <w:color w:val="auto"/>
          <w:szCs w:val="21"/>
          <w:highlight w:val="none"/>
        </w:rPr>
        <w:t>承包人</w:t>
      </w:r>
      <w:r>
        <w:rPr>
          <w:rFonts w:ascii="宋体" w:hAnsi="宋体"/>
          <w:color w:val="auto"/>
          <w:szCs w:val="21"/>
          <w:highlight w:val="none"/>
        </w:rPr>
        <w:t>应当在</w:t>
      </w:r>
      <w:r>
        <w:rPr>
          <w:rFonts w:hint="eastAsia" w:ascii="宋体" w:hAnsi="宋体"/>
          <w:color w:val="auto"/>
          <w:szCs w:val="21"/>
          <w:highlight w:val="none"/>
          <w:u w:val="single"/>
        </w:rPr>
        <w:t xml:space="preserve">  3  </w:t>
      </w:r>
      <w:r>
        <w:rPr>
          <w:rFonts w:ascii="宋体" w:hAnsi="宋体"/>
          <w:color w:val="auto"/>
          <w:szCs w:val="21"/>
          <w:highlight w:val="none"/>
        </w:rPr>
        <w:t>天内将与合同有关的通知、批准、证明、证</w:t>
      </w:r>
      <w:r>
        <w:rPr>
          <w:rFonts w:ascii="宋体" w:hAnsi="宋体"/>
          <w:color w:val="auto"/>
          <w:kern w:val="0"/>
          <w:szCs w:val="21"/>
          <w:highlight w:val="none"/>
        </w:rPr>
        <w:t>书、指示、指令、</w:t>
      </w:r>
      <w:r>
        <w:rPr>
          <w:rFonts w:ascii="宋体" w:hAnsi="宋体"/>
          <w:color w:val="auto"/>
          <w:szCs w:val="21"/>
          <w:highlight w:val="none"/>
        </w:rPr>
        <w:t>要求、请求、同意、意见、确定和决定等书面函件送达对方当事人</w:t>
      </w:r>
      <w:r>
        <w:rPr>
          <w:rFonts w:hint="eastAsia" w:ascii="宋体" w:hAnsi="宋体"/>
          <w:color w:val="auto"/>
          <w:kern w:val="0"/>
          <w:szCs w:val="21"/>
          <w:highlight w:val="none"/>
        </w:rPr>
        <w:t>。</w:t>
      </w:r>
    </w:p>
    <w:p>
      <w:pPr>
        <w:spacing w:line="440" w:lineRule="exact"/>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1.7</w:t>
      </w:r>
      <w:r>
        <w:rPr>
          <w:rFonts w:ascii="宋体" w:hAnsi="宋体"/>
          <w:color w:val="auto"/>
          <w:szCs w:val="21"/>
          <w:highlight w:val="none"/>
        </w:rPr>
        <w:t>.2 发</w:t>
      </w:r>
      <w:r>
        <w:rPr>
          <w:rFonts w:ascii="宋体" w:hAnsi="宋体"/>
          <w:color w:val="auto"/>
          <w:kern w:val="0"/>
          <w:szCs w:val="21"/>
          <w:highlight w:val="none"/>
        </w:rPr>
        <w:t>包人接收文件的地点：</w:t>
      </w:r>
      <w:r>
        <w:rPr>
          <w:rFonts w:hint="eastAsia" w:ascii="宋体" w:hAnsi="宋体"/>
          <w:b/>
          <w:color w:val="auto"/>
          <w:szCs w:val="21"/>
          <w:highlight w:val="none"/>
          <w:u w:val="single"/>
        </w:rPr>
        <w:t>工地现场</w:t>
      </w:r>
      <w:r>
        <w:rPr>
          <w:rFonts w:hint="eastAsia" w:ascii="宋体" w:hAnsi="宋体"/>
          <w:color w:val="auto"/>
          <w:kern w:val="0"/>
          <w:szCs w:val="21"/>
          <w:highlight w:val="none"/>
        </w:rPr>
        <w:t>；</w:t>
      </w:r>
    </w:p>
    <w:p>
      <w:pPr>
        <w:spacing w:line="440" w:lineRule="exact"/>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发包人指定的接收人</w:t>
      </w:r>
      <w:r>
        <w:rPr>
          <w:rFonts w:ascii="宋体" w:hAnsi="宋体"/>
          <w:color w:val="auto"/>
          <w:szCs w:val="21"/>
          <w:highlight w:val="none"/>
        </w:rPr>
        <w:t>为：</w:t>
      </w:r>
      <w:r>
        <w:rPr>
          <w:rFonts w:hint="eastAsia" w:ascii="宋体" w:hAnsi="宋体"/>
          <w:color w:val="auto"/>
          <w:szCs w:val="21"/>
          <w:highlight w:val="none"/>
          <w:u w:val="single"/>
        </w:rPr>
        <w:t xml:space="preserve">      /     </w:t>
      </w:r>
      <w:r>
        <w:rPr>
          <w:rFonts w:hint="eastAsia" w:ascii="宋体" w:hAnsi="宋体"/>
          <w:color w:val="auto"/>
          <w:kern w:val="0"/>
          <w:szCs w:val="21"/>
          <w:highlight w:val="none"/>
        </w:rPr>
        <w:t>。</w:t>
      </w:r>
    </w:p>
    <w:p>
      <w:pPr>
        <w:spacing w:line="440" w:lineRule="exact"/>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承包人接收文件的地</w:t>
      </w:r>
      <w:r>
        <w:rPr>
          <w:rFonts w:ascii="宋体" w:hAnsi="宋体"/>
          <w:color w:val="auto"/>
          <w:szCs w:val="21"/>
          <w:highlight w:val="none"/>
        </w:rPr>
        <w:t>点：</w:t>
      </w:r>
      <w:r>
        <w:rPr>
          <w:rFonts w:hint="eastAsia" w:ascii="宋体" w:hAnsi="宋体"/>
          <w:b/>
          <w:bCs/>
          <w:color w:val="auto"/>
          <w:szCs w:val="21"/>
          <w:highlight w:val="none"/>
          <w:u w:val="single"/>
        </w:rPr>
        <w:t xml:space="preserve">工地现场  </w:t>
      </w:r>
      <w:r>
        <w:rPr>
          <w:rFonts w:hint="eastAsia" w:ascii="宋体" w:hAnsi="宋体"/>
          <w:color w:val="auto"/>
          <w:kern w:val="0"/>
          <w:szCs w:val="21"/>
          <w:highlight w:val="none"/>
        </w:rPr>
        <w:t>；</w:t>
      </w:r>
    </w:p>
    <w:p>
      <w:pPr>
        <w:spacing w:line="440" w:lineRule="exact"/>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承包人指定的</w:t>
      </w:r>
      <w:r>
        <w:rPr>
          <w:rFonts w:hint="eastAsia" w:ascii="宋体" w:hAnsi="宋体"/>
          <w:color w:val="auto"/>
          <w:szCs w:val="21"/>
          <w:highlight w:val="none"/>
        </w:rPr>
        <w:t xml:space="preserve">接收人为： </w:t>
      </w:r>
      <w:r>
        <w:rPr>
          <w:rFonts w:hint="eastAsia" w:ascii="宋体" w:hAnsi="宋体"/>
          <w:color w:val="auto"/>
          <w:szCs w:val="21"/>
          <w:highlight w:val="none"/>
          <w:u w:val="single"/>
        </w:rPr>
        <w:t xml:space="preserve">    /         </w:t>
      </w:r>
      <w:r>
        <w:rPr>
          <w:rFonts w:hint="eastAsia" w:ascii="宋体" w:hAnsi="宋体"/>
          <w:color w:val="auto"/>
          <w:kern w:val="0"/>
          <w:szCs w:val="21"/>
          <w:highlight w:val="none"/>
        </w:rPr>
        <w:t>。</w:t>
      </w:r>
    </w:p>
    <w:p>
      <w:pPr>
        <w:spacing w:line="440" w:lineRule="exact"/>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监理人接收文</w:t>
      </w:r>
      <w:r>
        <w:rPr>
          <w:rFonts w:hint="eastAsia" w:ascii="宋体" w:hAnsi="宋体"/>
          <w:color w:val="auto"/>
          <w:szCs w:val="21"/>
          <w:highlight w:val="none"/>
        </w:rPr>
        <w:t xml:space="preserve">件的地点： </w:t>
      </w:r>
      <w:r>
        <w:rPr>
          <w:rFonts w:hint="eastAsia" w:ascii="宋体" w:hAnsi="宋体"/>
          <w:b/>
          <w:bCs/>
          <w:color w:val="auto"/>
          <w:szCs w:val="21"/>
          <w:highlight w:val="none"/>
          <w:u w:val="single"/>
        </w:rPr>
        <w:t xml:space="preserve">   工地现场   </w:t>
      </w:r>
      <w:r>
        <w:rPr>
          <w:rFonts w:hint="eastAsia" w:ascii="宋体" w:hAnsi="宋体"/>
          <w:color w:val="auto"/>
          <w:kern w:val="0"/>
          <w:szCs w:val="21"/>
          <w:highlight w:val="none"/>
        </w:rPr>
        <w:t>；</w:t>
      </w:r>
    </w:p>
    <w:p>
      <w:pPr>
        <w:spacing w:line="440" w:lineRule="exact"/>
        <w:ind w:firstLine="420" w:firstLineChars="200"/>
        <w:jc w:val="left"/>
        <w:rPr>
          <w:rFonts w:ascii="宋体" w:hAnsi="宋体"/>
          <w:color w:val="auto"/>
          <w:szCs w:val="21"/>
          <w:highlight w:val="none"/>
        </w:rPr>
      </w:pPr>
      <w:r>
        <w:rPr>
          <w:rFonts w:hint="eastAsia" w:ascii="宋体" w:hAnsi="宋体"/>
          <w:color w:val="auto"/>
          <w:kern w:val="0"/>
          <w:szCs w:val="21"/>
          <w:highlight w:val="none"/>
        </w:rPr>
        <w:t>监理人指</w:t>
      </w:r>
      <w:r>
        <w:rPr>
          <w:rFonts w:ascii="宋体" w:hAnsi="宋体"/>
          <w:color w:val="auto"/>
          <w:kern w:val="0"/>
          <w:szCs w:val="21"/>
          <w:highlight w:val="none"/>
        </w:rPr>
        <w:t>定的接收人为：</w:t>
      </w:r>
      <w:r>
        <w:rPr>
          <w:rFonts w:hint="eastAsia" w:ascii="宋体" w:hAnsi="宋体"/>
          <w:color w:val="auto"/>
          <w:szCs w:val="21"/>
          <w:highlight w:val="none"/>
          <w:u w:val="single"/>
        </w:rPr>
        <w:t>/</w:t>
      </w:r>
      <w:r>
        <w:rPr>
          <w:rFonts w:hint="eastAsia"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1.10 交通运输</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w:t>
      </w:r>
      <w:bookmarkStart w:id="65" w:name="_Toc318581155"/>
      <w:bookmarkStart w:id="66" w:name="_Toc312677986"/>
      <w:bookmarkStart w:id="67" w:name="_Toc300934943"/>
      <w:bookmarkStart w:id="68" w:name="_Toc304295521"/>
      <w:bookmarkStart w:id="69" w:name="_Toc303539100"/>
      <w:r>
        <w:rPr>
          <w:rFonts w:hint="eastAsia" w:ascii="宋体" w:hAnsi="宋体"/>
          <w:color w:val="auto"/>
          <w:szCs w:val="21"/>
          <w:highlight w:val="none"/>
        </w:rPr>
        <w:t>.10.1 出入现场的权利</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关</w:t>
      </w:r>
      <w:r>
        <w:rPr>
          <w:rFonts w:ascii="宋体" w:hAnsi="宋体"/>
          <w:color w:val="auto"/>
          <w:szCs w:val="21"/>
          <w:highlight w:val="none"/>
        </w:rPr>
        <w:t>于出入现场的权利的约定：</w:t>
      </w:r>
      <w:r>
        <w:rPr>
          <w:rFonts w:hint="eastAsia" w:ascii="宋体" w:hAnsi="宋体"/>
          <w:color w:val="auto"/>
          <w:szCs w:val="21"/>
          <w:highlight w:val="none"/>
          <w:u w:val="single"/>
        </w:rPr>
        <w:t xml:space="preserve">  /  </w:t>
      </w:r>
      <w:r>
        <w:rPr>
          <w:rFonts w:hint="eastAsia" w:ascii="宋体" w:hAnsi="宋体"/>
          <w:color w:val="auto"/>
          <w:szCs w:val="21"/>
          <w:highlight w:val="none"/>
        </w:rPr>
        <w:t>。</w:t>
      </w:r>
    </w:p>
    <w:bookmarkEnd w:id="65"/>
    <w:bookmarkEnd w:id="66"/>
    <w:bookmarkEnd w:id="67"/>
    <w:bookmarkEnd w:id="68"/>
    <w:bookmarkEnd w:id="69"/>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w:t>
      </w:r>
      <w:bookmarkStart w:id="70" w:name="_Toc300934944"/>
      <w:bookmarkStart w:id="71" w:name="_Toc318581156"/>
      <w:bookmarkStart w:id="72" w:name="_Toc304295522"/>
      <w:bookmarkStart w:id="73" w:name="_Toc312677987"/>
      <w:bookmarkStart w:id="74" w:name="_Toc303539101"/>
      <w:r>
        <w:rPr>
          <w:rFonts w:hint="eastAsia" w:ascii="宋体" w:hAnsi="宋体"/>
          <w:color w:val="auto"/>
          <w:szCs w:val="21"/>
          <w:highlight w:val="none"/>
        </w:rPr>
        <w:t>.10.3 场内交通</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关于</w:t>
      </w:r>
      <w:r>
        <w:rPr>
          <w:rFonts w:ascii="宋体" w:hAnsi="宋体"/>
          <w:color w:val="auto"/>
          <w:kern w:val="0"/>
          <w:szCs w:val="21"/>
          <w:highlight w:val="none"/>
        </w:rPr>
        <w:t>场外交通和场内交通的边</w:t>
      </w:r>
      <w:r>
        <w:rPr>
          <w:rFonts w:ascii="宋体" w:hAnsi="宋体"/>
          <w:color w:val="auto"/>
          <w:szCs w:val="21"/>
          <w:highlight w:val="none"/>
        </w:rPr>
        <w:t>界的约定：</w:t>
      </w:r>
      <w:r>
        <w:rPr>
          <w:rFonts w:hint="eastAsia" w:ascii="宋体" w:hAnsi="宋体"/>
          <w:color w:val="auto"/>
          <w:szCs w:val="21"/>
          <w:highlight w:val="none"/>
          <w:u w:val="single"/>
        </w:rPr>
        <w:t xml:space="preserve">  /     </w:t>
      </w:r>
      <w:r>
        <w:rPr>
          <w:rFonts w:hint="eastAsia" w:ascii="宋体" w:hAnsi="宋体"/>
          <w:color w:val="auto"/>
          <w:szCs w:val="21"/>
          <w:highlight w:val="none"/>
        </w:rPr>
        <w:t>。</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rPr>
        <w:t>关于发包人向承包人免费提供</w:t>
      </w:r>
      <w:r>
        <w:rPr>
          <w:rFonts w:ascii="宋体" w:hAnsi="宋体"/>
          <w:color w:val="auto"/>
          <w:szCs w:val="21"/>
          <w:highlight w:val="none"/>
        </w:rPr>
        <w:t>满足工程施工需要的场内道路和交通设施的约定：</w:t>
      </w:r>
      <w:r>
        <w:rPr>
          <w:rFonts w:hint="eastAsia" w:ascii="宋体" w:hAnsi="宋体"/>
          <w:color w:val="auto"/>
          <w:szCs w:val="21"/>
          <w:highlight w:val="none"/>
          <w:u w:val="single"/>
        </w:rPr>
        <w:t xml:space="preserve">无  </w:t>
      </w:r>
      <w:r>
        <w:rPr>
          <w:rFonts w:ascii="宋体" w:hAnsi="宋体"/>
          <w:color w:val="auto"/>
          <w:szCs w:val="21"/>
          <w:highlight w:val="none"/>
          <w:u w:val="single"/>
        </w:rPr>
        <w:t>。</w:t>
      </w:r>
      <w:bookmarkEnd w:id="70"/>
      <w:bookmarkEnd w:id="71"/>
      <w:bookmarkEnd w:id="72"/>
      <w:bookmarkEnd w:id="73"/>
      <w:bookmarkEnd w:id="74"/>
      <w:bookmarkStart w:id="75" w:name="_Toc318581157"/>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1.10.4超大</w:t>
      </w:r>
      <w:r>
        <w:rPr>
          <w:rFonts w:hint="eastAsia" w:ascii="宋体" w:hAnsi="宋体"/>
          <w:color w:val="auto"/>
          <w:szCs w:val="21"/>
          <w:highlight w:val="none"/>
        </w:rPr>
        <w:t>件和超重件的运输</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运输超大件或</w:t>
      </w:r>
      <w:r>
        <w:rPr>
          <w:rFonts w:ascii="宋体" w:hAnsi="宋体"/>
          <w:color w:val="auto"/>
          <w:szCs w:val="21"/>
          <w:highlight w:val="none"/>
        </w:rPr>
        <w:t>超重件所需的道路和桥梁临时加固改造费用和其他有关费用由</w:t>
      </w:r>
      <w:r>
        <w:rPr>
          <w:rFonts w:hint="eastAsia" w:ascii="宋体" w:hAnsi="宋体"/>
          <w:color w:val="auto"/>
          <w:szCs w:val="21"/>
          <w:highlight w:val="none"/>
          <w:u w:val="single"/>
        </w:rPr>
        <w:t>承包人</w:t>
      </w:r>
      <w:r>
        <w:rPr>
          <w:rFonts w:ascii="宋体" w:hAnsi="宋体"/>
          <w:color w:val="auto"/>
          <w:szCs w:val="21"/>
          <w:highlight w:val="none"/>
        </w:rPr>
        <w:t>承担。</w:t>
      </w:r>
    </w:p>
    <w:bookmarkEnd w:id="75"/>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1.11 知识产</w:t>
      </w:r>
      <w:r>
        <w:rPr>
          <w:rFonts w:hint="eastAsia" w:ascii="宋体" w:hAnsi="宋体"/>
          <w:color w:val="auto"/>
          <w:szCs w:val="21"/>
          <w:highlight w:val="none"/>
        </w:rPr>
        <w:t>权</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1.11.1关于发包人提供给承包人的图纸、发包人为实施工程自行编制或委托编制的技术规范</w:t>
      </w:r>
      <w:r>
        <w:rPr>
          <w:rFonts w:ascii="宋体" w:hAnsi="宋体"/>
          <w:color w:val="auto"/>
          <w:szCs w:val="21"/>
          <w:highlight w:val="none"/>
        </w:rPr>
        <w:t>以及反映发包人关于合同要求或其他类似性质的文件的著作权的归属：</w:t>
      </w:r>
      <w:r>
        <w:rPr>
          <w:rFonts w:hint="eastAsia" w:ascii="宋体" w:hAnsi="宋体"/>
          <w:color w:val="auto"/>
          <w:szCs w:val="21"/>
          <w:highlight w:val="none"/>
          <w:u w:val="single"/>
        </w:rPr>
        <w:t>发包人</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关于发包人提供的上述文件的使用限制的要求：</w:t>
      </w:r>
      <w:r>
        <w:rPr>
          <w:rFonts w:hint="eastAsia" w:ascii="宋体" w:hAnsi="宋体"/>
          <w:color w:val="auto"/>
          <w:szCs w:val="21"/>
          <w:highlight w:val="none"/>
          <w:u w:val="single"/>
        </w:rPr>
        <w:t xml:space="preserve">  无</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1.11.2 关于</w:t>
      </w:r>
      <w:r>
        <w:rPr>
          <w:rFonts w:hint="eastAsia" w:ascii="宋体" w:hAnsi="宋体"/>
          <w:color w:val="auto"/>
          <w:szCs w:val="21"/>
          <w:highlight w:val="none"/>
        </w:rPr>
        <w:t>承包人</w:t>
      </w:r>
      <w:r>
        <w:rPr>
          <w:rFonts w:ascii="宋体" w:hAnsi="宋体"/>
          <w:color w:val="auto"/>
          <w:szCs w:val="21"/>
          <w:highlight w:val="none"/>
        </w:rPr>
        <w:t>为实施工程所编制文件的著作权的归属：</w:t>
      </w:r>
      <w:r>
        <w:rPr>
          <w:rFonts w:hint="eastAsia" w:ascii="宋体" w:hAnsi="宋体"/>
          <w:color w:val="auto"/>
          <w:szCs w:val="21"/>
          <w:highlight w:val="none"/>
          <w:u w:val="single"/>
        </w:rPr>
        <w:t>承包人</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关于</w:t>
      </w:r>
      <w:r>
        <w:rPr>
          <w:rFonts w:hint="eastAsia" w:ascii="宋体" w:hAnsi="宋体"/>
          <w:color w:val="auto"/>
          <w:szCs w:val="21"/>
          <w:highlight w:val="none"/>
        </w:rPr>
        <w:t>承包人</w:t>
      </w:r>
      <w:r>
        <w:rPr>
          <w:rFonts w:ascii="宋体" w:hAnsi="宋体"/>
          <w:color w:val="auto"/>
          <w:szCs w:val="21"/>
          <w:highlight w:val="none"/>
        </w:rPr>
        <w:t>提供的上述文件的使用限制的要求：</w:t>
      </w:r>
      <w:r>
        <w:rPr>
          <w:rFonts w:hint="eastAsia" w:ascii="宋体" w:hAnsi="宋体"/>
          <w:color w:val="auto"/>
          <w:szCs w:val="21"/>
          <w:highlight w:val="none"/>
          <w:u w:val="single"/>
        </w:rPr>
        <w:t>无</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 xml:space="preserve">1.11.4 </w:t>
      </w:r>
      <w:r>
        <w:rPr>
          <w:rFonts w:hint="eastAsia" w:ascii="宋体" w:hAnsi="宋体"/>
          <w:color w:val="auto"/>
          <w:szCs w:val="21"/>
          <w:highlight w:val="none"/>
        </w:rPr>
        <w:t>承包人</w:t>
      </w:r>
      <w:r>
        <w:rPr>
          <w:rFonts w:ascii="宋体" w:hAnsi="宋体"/>
          <w:color w:val="auto"/>
          <w:szCs w:val="21"/>
          <w:highlight w:val="none"/>
        </w:rPr>
        <w:t>在施工过程中所采用的专利、专有技术、技术秘密的使用费的承担方式：</w:t>
      </w:r>
      <w:r>
        <w:rPr>
          <w:rFonts w:hint="eastAsia" w:ascii="宋体" w:hAnsi="宋体"/>
          <w:color w:val="auto"/>
          <w:szCs w:val="21"/>
          <w:highlight w:val="none"/>
          <w:u w:val="single"/>
        </w:rPr>
        <w:t>由承包人支付</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1.13工程量清单错误的修正</w:t>
      </w:r>
    </w:p>
    <w:p>
      <w:pPr>
        <w:spacing w:line="440" w:lineRule="exact"/>
        <w:ind w:firstLine="420" w:firstLineChars="200"/>
        <w:jc w:val="left"/>
        <w:rPr>
          <w:rFonts w:ascii="宋体" w:hAnsi="宋体"/>
          <w:color w:val="auto"/>
          <w:szCs w:val="21"/>
          <w:highlight w:val="none"/>
        </w:rPr>
      </w:pPr>
      <w:bookmarkStart w:id="76" w:name="_Toc351203634"/>
      <w:r>
        <w:rPr>
          <w:rFonts w:hint="eastAsia" w:ascii="宋体" w:hAnsi="宋体"/>
          <w:color w:val="auto"/>
          <w:szCs w:val="21"/>
          <w:highlight w:val="none"/>
        </w:rPr>
        <w:t>出现工程量清单错误时，是否调整合同价格：按本合同条款中第12.1相应条款执行。</w:t>
      </w:r>
    </w:p>
    <w:p>
      <w:pPr>
        <w:pStyle w:val="6"/>
        <w:spacing w:before="120" w:after="120" w:line="440" w:lineRule="exact"/>
        <w:rPr>
          <w:rFonts w:ascii="宋体" w:hAnsi="宋体"/>
          <w:color w:val="auto"/>
          <w:szCs w:val="21"/>
          <w:highlight w:val="none"/>
        </w:rPr>
      </w:pPr>
      <w:r>
        <w:rPr>
          <w:rFonts w:ascii="宋体" w:hAnsi="宋体"/>
          <w:color w:val="auto"/>
          <w:szCs w:val="21"/>
          <w:highlight w:val="none"/>
        </w:rPr>
        <w:t>2</w:t>
      </w:r>
      <w:bookmarkStart w:id="77" w:name="_Toc292559362"/>
      <w:bookmarkStart w:id="78" w:name="_Toc296890985"/>
      <w:bookmarkStart w:id="79" w:name="_Toc292559867"/>
      <w:bookmarkStart w:id="80" w:name="_Toc297048343"/>
      <w:bookmarkStart w:id="81" w:name="_Toc296346658"/>
      <w:bookmarkStart w:id="82" w:name="_Toc296347156"/>
      <w:bookmarkStart w:id="83" w:name="_Toc297120457"/>
      <w:bookmarkStart w:id="84" w:name="_Toc296503157"/>
      <w:bookmarkStart w:id="85" w:name="_Toc296944496"/>
      <w:bookmarkStart w:id="86" w:name="_Toc296891197"/>
      <w:r>
        <w:rPr>
          <w:rFonts w:ascii="宋体" w:hAnsi="宋体"/>
          <w:color w:val="auto"/>
          <w:szCs w:val="21"/>
          <w:highlight w:val="none"/>
        </w:rPr>
        <w:t>. 发包人</w:t>
      </w:r>
      <w:bookmarkEnd w:id="76"/>
    </w:p>
    <w:bookmarkEnd w:id="77"/>
    <w:bookmarkEnd w:id="78"/>
    <w:bookmarkEnd w:id="79"/>
    <w:bookmarkEnd w:id="80"/>
    <w:bookmarkEnd w:id="81"/>
    <w:bookmarkEnd w:id="82"/>
    <w:bookmarkEnd w:id="83"/>
    <w:bookmarkEnd w:id="84"/>
    <w:bookmarkEnd w:id="85"/>
    <w:bookmarkEnd w:id="86"/>
    <w:p>
      <w:pPr>
        <w:spacing w:line="360" w:lineRule="auto"/>
        <w:ind w:firstLine="420" w:firstLineChars="200"/>
        <w:rPr>
          <w:rFonts w:hint="default" w:ascii="宋体" w:hAnsi="宋体" w:eastAsia="宋体"/>
          <w:color w:val="auto"/>
          <w:szCs w:val="21"/>
          <w:highlight w:val="none"/>
          <w:lang w:val="en-US" w:eastAsia="zh-CN"/>
        </w:rPr>
      </w:pPr>
      <w:r>
        <w:rPr>
          <w:rFonts w:ascii="宋体" w:hAnsi="宋体"/>
          <w:color w:val="auto"/>
          <w:szCs w:val="21"/>
          <w:highlight w:val="none"/>
        </w:rPr>
        <w:t>2.2 发包</w:t>
      </w:r>
      <w:r>
        <w:rPr>
          <w:rFonts w:hint="eastAsia" w:ascii="宋体" w:hAnsi="宋体"/>
          <w:color w:val="auto"/>
          <w:szCs w:val="21"/>
          <w:highlight w:val="none"/>
          <w:lang w:val="en-US" w:eastAsia="zh-CN"/>
        </w:rPr>
        <w:t>项目负责人</w:t>
      </w:r>
    </w:p>
    <w:p>
      <w:pPr>
        <w:spacing w:line="360" w:lineRule="auto"/>
        <w:ind w:firstLine="420" w:firstLineChars="200"/>
        <w:rPr>
          <w:rFonts w:ascii="宋体" w:hAnsi="宋体"/>
          <w:color w:val="auto"/>
          <w:szCs w:val="21"/>
          <w:highlight w:val="none"/>
        </w:rPr>
      </w:pPr>
      <w:r>
        <w:rPr>
          <w:rFonts w:ascii="宋体" w:hAnsi="宋体"/>
          <w:color w:val="auto"/>
          <w:szCs w:val="21"/>
          <w:highlight w:val="none"/>
        </w:rPr>
        <w:t>发包</w:t>
      </w:r>
      <w:r>
        <w:rPr>
          <w:rFonts w:hint="eastAsia" w:ascii="宋体" w:hAnsi="宋体"/>
          <w:color w:val="auto"/>
          <w:szCs w:val="21"/>
          <w:highlight w:val="none"/>
          <w:lang w:val="en-US" w:eastAsia="zh-CN"/>
        </w:rPr>
        <w:t>项目负责人</w:t>
      </w:r>
      <w:r>
        <w:rPr>
          <w:rFonts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ascii="宋体" w:hAnsi="宋体"/>
          <w:color w:val="auto"/>
          <w:szCs w:val="21"/>
          <w:highlight w:val="none"/>
        </w:rPr>
        <w:t>姓    名：</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ascii="宋体" w:hAnsi="宋体"/>
          <w:color w:val="auto"/>
          <w:szCs w:val="21"/>
          <w:highlight w:val="none"/>
        </w:rPr>
        <w:t>身份证号：</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ascii="宋体" w:hAnsi="宋体"/>
          <w:color w:val="auto"/>
          <w:szCs w:val="21"/>
          <w:highlight w:val="none"/>
        </w:rPr>
        <w:t>职    务：</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ascii="宋体" w:hAnsi="宋体"/>
          <w:color w:val="auto"/>
          <w:szCs w:val="21"/>
          <w:highlight w:val="none"/>
        </w:rPr>
        <w:t>联系电话：</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ascii="宋体" w:hAnsi="宋体"/>
          <w:color w:val="auto"/>
          <w:szCs w:val="21"/>
          <w:highlight w:val="none"/>
        </w:rPr>
        <w:t>电子信箱：</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ascii="宋体" w:hAnsi="宋体"/>
          <w:color w:val="auto"/>
          <w:szCs w:val="21"/>
          <w:highlight w:val="none"/>
        </w:rPr>
        <w:t>通信地址：</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发包人对发包人代表的授权范围如下：</w:t>
      </w:r>
      <w:r>
        <w:rPr>
          <w:rFonts w:hint="eastAsia" w:ascii="宋体" w:hAnsi="宋体" w:cs="Arial"/>
          <w:color w:val="auto"/>
          <w:szCs w:val="21"/>
          <w:highlight w:val="none"/>
          <w:u w:val="single"/>
        </w:rPr>
        <w:t>代表发包方行使本合同约定的发包方的权力和监理人需要取得发包人批准的权力</w:t>
      </w:r>
      <w:r>
        <w:rPr>
          <w:rFonts w:hint="eastAsia"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ascii="宋体" w:hAnsi="宋体"/>
          <w:color w:val="auto"/>
          <w:szCs w:val="21"/>
          <w:highlight w:val="none"/>
        </w:rPr>
        <w:t>2.4 施工现场、施工条件和基础资料的提供</w:t>
      </w:r>
    </w:p>
    <w:p>
      <w:pPr>
        <w:spacing w:line="360" w:lineRule="auto"/>
        <w:ind w:firstLine="420" w:firstLineChars="200"/>
        <w:rPr>
          <w:rFonts w:ascii="宋体" w:hAnsi="宋体"/>
          <w:color w:val="auto"/>
          <w:szCs w:val="21"/>
          <w:highlight w:val="none"/>
        </w:rPr>
      </w:pPr>
      <w:r>
        <w:rPr>
          <w:rFonts w:ascii="宋体" w:hAnsi="宋体"/>
          <w:color w:val="auto"/>
          <w:szCs w:val="21"/>
          <w:highlight w:val="none"/>
        </w:rPr>
        <w:t>2.4.1 提供施工现场</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关于发包人移交施工现场的期限要求</w:t>
      </w:r>
      <w:r>
        <w:rPr>
          <w:rFonts w:hint="eastAsia" w:ascii="宋体" w:hAnsi="宋体"/>
          <w:color w:val="auto"/>
          <w:szCs w:val="21"/>
          <w:highlight w:val="none"/>
          <w:u w:val="single"/>
        </w:rPr>
        <w:t>：</w:t>
      </w:r>
      <w:r>
        <w:rPr>
          <w:rFonts w:hint="eastAsia" w:ascii="宋体" w:hAnsi="宋体" w:cs="Arial"/>
          <w:color w:val="auto"/>
          <w:szCs w:val="21"/>
          <w:highlight w:val="none"/>
          <w:u w:val="single"/>
        </w:rPr>
        <w:t xml:space="preserve">以施工场地的现状为准 </w:t>
      </w:r>
      <w:r>
        <w:rPr>
          <w:rFonts w:hint="eastAsia"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2.4.2 提供施工条件</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关于发包人应负责提供施工所需要的条件，包括：</w:t>
      </w:r>
      <w:r>
        <w:rPr>
          <w:rFonts w:hint="eastAsia" w:ascii="宋体" w:hAnsi="宋体" w:cs="Arial"/>
          <w:color w:val="auto"/>
          <w:szCs w:val="21"/>
          <w:highlight w:val="none"/>
          <w:u w:val="single"/>
        </w:rPr>
        <w:t>发包人于开工前办理好施工所需证件、批件（承包人自身资质证件除外）</w:t>
      </w:r>
      <w:r>
        <w:rPr>
          <w:rFonts w:hint="eastAsia"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2.5 资金来源证明及支付担保</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发包人提供资金来源证</w:t>
      </w:r>
      <w:r>
        <w:rPr>
          <w:rFonts w:ascii="宋体" w:hAnsi="宋体"/>
          <w:color w:val="auto"/>
          <w:szCs w:val="21"/>
          <w:highlight w:val="none"/>
        </w:rPr>
        <w:t>明的期限要求：</w:t>
      </w:r>
      <w:r>
        <w:rPr>
          <w:rFonts w:hint="eastAsia" w:ascii="宋体" w:hAnsi="宋体"/>
          <w:color w:val="auto"/>
          <w:szCs w:val="21"/>
          <w:highlight w:val="none"/>
          <w:u w:val="single"/>
        </w:rPr>
        <w:t xml:space="preserve"> / </w:t>
      </w:r>
      <w:r>
        <w:rPr>
          <w:rFonts w:hint="eastAsia"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发包人是否提供支付</w:t>
      </w:r>
      <w:r>
        <w:rPr>
          <w:rFonts w:ascii="宋体" w:hAnsi="宋体"/>
          <w:color w:val="auto"/>
          <w:szCs w:val="21"/>
          <w:highlight w:val="none"/>
        </w:rPr>
        <w:t>担保：</w:t>
      </w:r>
      <w:r>
        <w:rPr>
          <w:rFonts w:hint="eastAsia" w:ascii="宋体" w:hAnsi="宋体"/>
          <w:color w:val="auto"/>
          <w:szCs w:val="21"/>
          <w:highlight w:val="none"/>
          <w:u w:val="single"/>
        </w:rPr>
        <w:t xml:space="preserve"> / </w:t>
      </w:r>
      <w:r>
        <w:rPr>
          <w:rFonts w:hint="eastAsia" w:ascii="宋体" w:hAnsi="宋体"/>
          <w:color w:val="auto"/>
          <w:szCs w:val="21"/>
          <w:highlight w:val="none"/>
        </w:rPr>
        <w:t>。</w:t>
      </w:r>
    </w:p>
    <w:p>
      <w:pPr>
        <w:spacing w:line="360" w:lineRule="auto"/>
        <w:ind w:firstLine="420" w:firstLineChars="200"/>
        <w:rPr>
          <w:rFonts w:ascii="宋体" w:hAnsi="宋体"/>
          <w:color w:val="auto"/>
          <w:szCs w:val="21"/>
          <w:highlight w:val="none"/>
          <w:u w:val="single"/>
        </w:rPr>
      </w:pPr>
      <w:r>
        <w:rPr>
          <w:rFonts w:hint="eastAsia" w:ascii="宋体" w:hAnsi="宋体"/>
          <w:color w:val="auto"/>
          <w:szCs w:val="21"/>
          <w:highlight w:val="none"/>
        </w:rPr>
        <w:t>发包人提供支付担保的</w:t>
      </w:r>
      <w:r>
        <w:rPr>
          <w:rFonts w:ascii="宋体" w:hAnsi="宋体"/>
          <w:color w:val="auto"/>
          <w:szCs w:val="21"/>
          <w:highlight w:val="none"/>
        </w:rPr>
        <w:t>形式：</w:t>
      </w:r>
      <w:r>
        <w:rPr>
          <w:rFonts w:hint="eastAsia" w:ascii="宋体" w:hAnsi="宋体"/>
          <w:color w:val="auto"/>
          <w:szCs w:val="21"/>
          <w:highlight w:val="none"/>
          <w:u w:val="single"/>
        </w:rPr>
        <w:t xml:space="preserve"> / </w:t>
      </w:r>
      <w:r>
        <w:rPr>
          <w:rFonts w:ascii="宋体" w:hAnsi="宋体"/>
          <w:color w:val="auto"/>
          <w:szCs w:val="21"/>
          <w:highlight w:val="none"/>
        </w:rPr>
        <w:t>。</w:t>
      </w:r>
    </w:p>
    <w:p>
      <w:pPr>
        <w:pStyle w:val="6"/>
        <w:spacing w:before="120" w:after="120" w:line="440" w:lineRule="exact"/>
        <w:rPr>
          <w:rFonts w:ascii="宋体" w:hAnsi="宋体"/>
          <w:color w:val="auto"/>
          <w:szCs w:val="21"/>
          <w:highlight w:val="none"/>
        </w:rPr>
      </w:pPr>
      <w:bookmarkStart w:id="87" w:name="_Toc351203635"/>
      <w:r>
        <w:rPr>
          <w:rFonts w:ascii="宋体" w:hAnsi="宋体"/>
          <w:color w:val="auto"/>
          <w:szCs w:val="21"/>
          <w:highlight w:val="none"/>
        </w:rPr>
        <w:t>3</w:t>
      </w:r>
      <w:bookmarkStart w:id="88" w:name="_Toc296346659"/>
      <w:bookmarkStart w:id="89" w:name="_Toc296347157"/>
      <w:bookmarkStart w:id="90" w:name="_Toc296890986"/>
      <w:bookmarkStart w:id="91" w:name="_Toc296891198"/>
      <w:bookmarkStart w:id="92" w:name="_Toc296944497"/>
      <w:bookmarkStart w:id="93" w:name="_Toc297120458"/>
      <w:bookmarkStart w:id="94" w:name="_Toc292559868"/>
      <w:bookmarkStart w:id="95" w:name="_Toc292559363"/>
      <w:bookmarkStart w:id="96" w:name="_Toc297048344"/>
      <w:bookmarkStart w:id="97" w:name="_Toc296503158"/>
      <w:r>
        <w:rPr>
          <w:rFonts w:ascii="宋体" w:hAnsi="宋体"/>
          <w:color w:val="auto"/>
          <w:szCs w:val="21"/>
          <w:highlight w:val="none"/>
        </w:rPr>
        <w:t xml:space="preserve">. </w:t>
      </w:r>
      <w:bookmarkEnd w:id="87"/>
      <w:r>
        <w:rPr>
          <w:rFonts w:hint="eastAsia" w:ascii="宋体" w:hAnsi="宋体"/>
          <w:color w:val="auto"/>
          <w:szCs w:val="21"/>
          <w:highlight w:val="none"/>
        </w:rPr>
        <w:t>承包人</w:t>
      </w:r>
    </w:p>
    <w:bookmarkEnd w:id="88"/>
    <w:bookmarkEnd w:id="89"/>
    <w:bookmarkEnd w:id="90"/>
    <w:bookmarkEnd w:id="91"/>
    <w:bookmarkEnd w:id="92"/>
    <w:bookmarkEnd w:id="93"/>
    <w:bookmarkEnd w:id="94"/>
    <w:bookmarkEnd w:id="95"/>
    <w:bookmarkEnd w:id="96"/>
    <w:bookmarkEnd w:id="97"/>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3.1 承包人的</w:t>
      </w:r>
      <w:r>
        <w:rPr>
          <w:rFonts w:ascii="宋体" w:hAnsi="宋体"/>
          <w:color w:val="auto"/>
          <w:szCs w:val="21"/>
          <w:highlight w:val="none"/>
        </w:rPr>
        <w:t>一般义</w:t>
      </w:r>
      <w:r>
        <w:rPr>
          <w:rFonts w:hint="eastAsia" w:ascii="宋体" w:hAnsi="宋体"/>
          <w:color w:val="auto"/>
          <w:szCs w:val="21"/>
          <w:highlight w:val="none"/>
        </w:rPr>
        <w:t>务</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（5）承包人提交的竣工资料的内容：</w:t>
      </w:r>
      <w:r>
        <w:rPr>
          <w:rFonts w:hint="eastAsia" w:ascii="宋体" w:hAnsi="宋体"/>
          <w:color w:val="auto"/>
          <w:szCs w:val="21"/>
          <w:highlight w:val="none"/>
          <w:u w:val="single"/>
        </w:rPr>
        <w:t>承包人在工程竣工后一月内提供监理工程师审查通过的完整的竣工图和竣工结算及其他资料。A. 施工中没有设计变更，施工后由承包人在发包人提供的施工图纸上加盖竣工图章，提交发包人；B. 施工中只有零星的少量设计变更，承包人在施工图变更位置注明，并连同经发包人同意的变更签证，竣工后由承包人加盖竣工图章交给发包人；3、施工中对原设计中变更较多，原施工图难于作为竣工图，应由承包人组织重新绘制竣工图，并承担相应费用</w:t>
      </w:r>
      <w:r>
        <w:rPr>
          <w:rFonts w:hint="eastAsia"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承包人需要提交的竣工资料套数：</w:t>
      </w:r>
      <w:r>
        <w:rPr>
          <w:rFonts w:hint="eastAsia" w:ascii="宋体" w:hAnsi="宋体" w:cs="Arial"/>
          <w:b/>
          <w:bCs/>
          <w:color w:val="auto"/>
          <w:szCs w:val="21"/>
          <w:highlight w:val="none"/>
          <w:u w:val="single"/>
        </w:rPr>
        <w:t>完整的工程技术资料贰份（包括竣工图及送审图纸）,其中两套必须是原件，此费用包含在合同价中，承包人自行考虑</w:t>
      </w:r>
      <w:r>
        <w:rPr>
          <w:rFonts w:hint="eastAsia" w:ascii="宋体" w:hAnsi="宋体"/>
          <w:b/>
          <w:bCs/>
          <w:color w:val="auto"/>
          <w:szCs w:val="21"/>
          <w:highlight w:val="none"/>
        </w:rPr>
        <w:t>。</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承包人提交的竣工资料的费用承担：</w:t>
      </w:r>
      <w:r>
        <w:rPr>
          <w:rFonts w:hint="eastAsia" w:ascii="宋体" w:hAnsi="宋体"/>
          <w:color w:val="auto"/>
          <w:szCs w:val="21"/>
          <w:highlight w:val="none"/>
          <w:u w:val="single"/>
        </w:rPr>
        <w:t xml:space="preserve"> 由承包人承担 </w:t>
      </w:r>
      <w:r>
        <w:rPr>
          <w:rFonts w:hint="eastAsia"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承包人提交的竣工资料</w:t>
      </w:r>
      <w:r>
        <w:rPr>
          <w:rFonts w:hint="eastAsia" w:ascii="宋体" w:hAnsi="宋体"/>
          <w:color w:val="auto"/>
          <w:kern w:val="0"/>
          <w:szCs w:val="21"/>
          <w:highlight w:val="none"/>
        </w:rPr>
        <w:t>移交时间：</w:t>
      </w:r>
      <w:r>
        <w:rPr>
          <w:rFonts w:hint="eastAsia" w:ascii="宋体" w:hAnsi="宋体"/>
          <w:color w:val="auto"/>
          <w:kern w:val="0"/>
          <w:szCs w:val="21"/>
          <w:highlight w:val="none"/>
          <w:u w:val="single"/>
        </w:rPr>
        <w:t>工程竣工验收合格</w:t>
      </w:r>
      <w:r>
        <w:rPr>
          <w:rFonts w:hint="eastAsia" w:ascii="宋体" w:hAnsi="宋体"/>
          <w:color w:val="auto"/>
          <w:kern w:val="0"/>
          <w:szCs w:val="21"/>
          <w:highlight w:val="none"/>
          <w:u w:val="single"/>
          <w:lang w:val="en-US" w:eastAsia="zh-CN"/>
        </w:rPr>
        <w:t>后</w:t>
      </w:r>
      <w:r>
        <w:rPr>
          <w:rFonts w:hint="eastAsia"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承包人提交的竣工资料形式要求：</w:t>
      </w:r>
      <w:r>
        <w:rPr>
          <w:rFonts w:hint="eastAsia" w:ascii="宋体" w:hAnsi="宋体" w:cs="Arial"/>
          <w:color w:val="auto"/>
          <w:szCs w:val="21"/>
          <w:highlight w:val="none"/>
          <w:u w:val="single"/>
        </w:rPr>
        <w:t>承包人提供的竣工图必须与实际相符合，否则由此对发包人所造成的所有损失由承包人承担。竣工时，承包人根据发包人的要求在竣工图标出各类管线的实际走向和定位</w:t>
      </w:r>
      <w:r>
        <w:rPr>
          <w:rFonts w:hint="eastAsia"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（6）承包人应履行的其他义</w:t>
      </w:r>
      <w:r>
        <w:rPr>
          <w:rFonts w:hint="eastAsia" w:ascii="宋体" w:hAnsi="宋体"/>
          <w:color w:val="auto"/>
          <w:kern w:val="0"/>
          <w:szCs w:val="21"/>
          <w:highlight w:val="none"/>
        </w:rPr>
        <w:t>务</w:t>
      </w:r>
      <w:r>
        <w:rPr>
          <w:rFonts w:hint="eastAsia" w:ascii="宋体" w:hAnsi="宋体"/>
          <w:color w:val="auto"/>
          <w:szCs w:val="21"/>
          <w:highlight w:val="none"/>
        </w:rPr>
        <w:t>：</w:t>
      </w:r>
    </w:p>
    <w:p>
      <w:pPr>
        <w:spacing w:line="360" w:lineRule="auto"/>
        <w:ind w:firstLine="420" w:firstLineChars="200"/>
        <w:rPr>
          <w:rFonts w:hint="default" w:ascii="宋体" w:hAnsi="宋体" w:eastAsia="宋体"/>
          <w:color w:val="auto"/>
          <w:kern w:val="0"/>
          <w:szCs w:val="21"/>
          <w:highlight w:val="none"/>
          <w:u w:val="single"/>
          <w:lang w:val="en-US" w:eastAsia="zh-CN"/>
        </w:rPr>
      </w:pPr>
      <w:r>
        <w:rPr>
          <w:rFonts w:hint="eastAsia" w:ascii="宋体" w:hAnsi="宋体"/>
          <w:color w:val="auto"/>
          <w:kern w:val="0"/>
          <w:szCs w:val="21"/>
          <w:highlight w:val="none"/>
          <w:u w:val="single"/>
        </w:rPr>
        <w:t>A.现场施工条件和情况由承包人自行勘察，机械设备布置和防护由承包人自行负责并承担费用。B.在施工过程中不得破坏施工场地周围的自然景观和环境。C.如果在现场工作的过程中，发现电线、水管管道，或者其他公共设施，承包人应立即停止工作，并及时报告发包人或专门机构。承包人根据有关指示，负责修理那些已被破坏的公共设施，并恢复原状，费用由责任方承担。D.临时停水、停电、二次搬运、成品保护等所需措施费用和工期承包人在投标报价中已充分考虑，并已考虑了各种可能因素影响施工所增加的费用，因此，发生上述情况，发包方不另行增加费用。E.在工程施工过程中，因承包人的原因出现质量问题、安全事故或者因其他原因受到报纸、电视等媒体的曝光或被政府有关主管部门通报批评，给本工程的社会形象带来负面影响，每次由承包人向发包人支付2000元违约金，从承包人工程进度款中扣除。</w:t>
      </w:r>
      <w:r>
        <w:rPr>
          <w:rFonts w:hint="eastAsia" w:ascii="宋体" w:hAnsi="宋体"/>
          <w:color w:val="auto"/>
          <w:kern w:val="0"/>
          <w:szCs w:val="21"/>
          <w:highlight w:val="none"/>
          <w:u w:val="single"/>
          <w:lang w:val="en-US" w:eastAsia="zh-CN"/>
        </w:rPr>
        <w:t>C.招标前已进行勘察有漏项、及改道不增加费用。</w:t>
      </w:r>
    </w:p>
    <w:p>
      <w:pPr>
        <w:pStyle w:val="2"/>
      </w:pP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3.2 项目经理</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3.2.1项目经理：</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姓    名：</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身份证号：</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建造师执业资格等级：</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建造师注册证书号：</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建造师执业印章号：</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安全生产考核合格证书号：</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联系电话：</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电子信箱：</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通信地址：</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w:t>
      </w:r>
      <w:r>
        <w:rPr>
          <w:rFonts w:hint="eastAsia" w:ascii="宋体" w:hAnsi="宋体"/>
          <w:color w:val="auto"/>
          <w:szCs w:val="21"/>
          <w:highlight w:val="none"/>
          <w:u w:val="single"/>
        </w:rPr>
        <w:t xml:space="preserve">               </w:t>
      </w:r>
      <w:r>
        <w:rPr>
          <w:rFonts w:hint="eastAsia" w:ascii="宋体" w:hAnsi="宋体"/>
          <w:color w:val="auto"/>
          <w:szCs w:val="21"/>
          <w:highlight w:val="none"/>
        </w:rPr>
        <w:t>。</w:t>
      </w:r>
    </w:p>
    <w:p>
      <w:pPr>
        <w:spacing w:line="440" w:lineRule="exact"/>
        <w:ind w:firstLine="420" w:firstLineChars="200"/>
        <w:rPr>
          <w:rFonts w:ascii="宋体" w:hAnsi="宋体" w:cs="Arial"/>
          <w:color w:val="auto"/>
          <w:szCs w:val="21"/>
          <w:highlight w:val="none"/>
          <w:u w:val="single"/>
        </w:rPr>
      </w:pPr>
      <w:r>
        <w:rPr>
          <w:rFonts w:hint="eastAsia" w:ascii="宋体" w:hAnsi="宋体"/>
          <w:color w:val="auto"/>
          <w:szCs w:val="21"/>
          <w:highlight w:val="none"/>
        </w:rPr>
        <w:t>承包人</w:t>
      </w:r>
      <w:r>
        <w:rPr>
          <w:rFonts w:ascii="宋体" w:hAnsi="宋体"/>
          <w:color w:val="auto"/>
          <w:szCs w:val="21"/>
          <w:highlight w:val="none"/>
        </w:rPr>
        <w:t>对项目经理的授权范围如下：</w:t>
      </w:r>
      <w:r>
        <w:rPr>
          <w:rFonts w:hint="eastAsia" w:ascii="宋体" w:hAnsi="宋体" w:cs="Arial"/>
          <w:color w:val="auto"/>
          <w:szCs w:val="21"/>
          <w:highlight w:val="none"/>
          <w:u w:val="single"/>
        </w:rPr>
        <w:t>负责现场工程管理、协调关系、听从发包人和监理的指挥</w:t>
      </w:r>
      <w:r>
        <w:rPr>
          <w:rFonts w:ascii="宋体" w:hAnsi="宋体" w:cs="Arial"/>
          <w:color w:val="auto"/>
          <w:szCs w:val="21"/>
          <w:highlight w:val="none"/>
          <w:u w:val="single"/>
        </w:rPr>
        <w:t>。</w:t>
      </w:r>
    </w:p>
    <w:p>
      <w:pPr>
        <w:spacing w:line="440" w:lineRule="exact"/>
        <w:ind w:firstLine="420" w:firstLineChars="200"/>
        <w:rPr>
          <w:rFonts w:ascii="宋体" w:hAnsi="宋体"/>
          <w:color w:val="auto"/>
          <w:kern w:val="0"/>
          <w:szCs w:val="21"/>
          <w:highlight w:val="none"/>
        </w:rPr>
      </w:pPr>
      <w:r>
        <w:rPr>
          <w:rFonts w:hint="eastAsia" w:ascii="宋体" w:hAnsi="宋体"/>
          <w:color w:val="auto"/>
          <w:kern w:val="0"/>
          <w:szCs w:val="21"/>
          <w:highlight w:val="none"/>
        </w:rPr>
        <w:t>承包人</w:t>
      </w:r>
      <w:r>
        <w:rPr>
          <w:rFonts w:ascii="宋体" w:hAnsi="宋体"/>
          <w:color w:val="auto"/>
          <w:kern w:val="0"/>
          <w:szCs w:val="21"/>
          <w:highlight w:val="none"/>
        </w:rPr>
        <w:t>未提交劳动合同，以及没有为项目经理缴纳社会保险证明的违约责任：</w:t>
      </w:r>
      <w:r>
        <w:rPr>
          <w:rFonts w:ascii="宋体" w:hAnsi="宋体"/>
          <w:color w:val="auto"/>
          <w:szCs w:val="21"/>
          <w:highlight w:val="none"/>
        </w:rPr>
        <w:t>。</w:t>
      </w:r>
    </w:p>
    <w:p>
      <w:pPr>
        <w:pStyle w:val="29"/>
        <w:adjustRightInd w:val="0"/>
        <w:snapToGrid w:val="0"/>
        <w:spacing w:line="460" w:lineRule="exact"/>
        <w:ind w:left="-2" w:leftChars="-1" w:firstLine="420" w:firstLineChars="200"/>
        <w:rPr>
          <w:rFonts w:hAnsi="宋体"/>
          <w:b/>
          <w:bCs/>
          <w:color w:val="auto"/>
          <w:highlight w:val="none"/>
          <w:u w:val="single"/>
        </w:rPr>
      </w:pPr>
      <w:r>
        <w:rPr>
          <w:rFonts w:hint="eastAsia" w:hAnsi="宋体"/>
          <w:color w:val="auto"/>
          <w:highlight w:val="none"/>
        </w:rPr>
        <w:t>项目经理未经批准，擅自离开施工现场的违约责任：</w:t>
      </w:r>
      <w:r>
        <w:rPr>
          <w:rFonts w:hint="eastAsia" w:hAnsi="宋体" w:cs="Arial"/>
          <w:b/>
          <w:bCs/>
          <w:color w:val="auto"/>
          <w:highlight w:val="none"/>
          <w:u w:val="single"/>
        </w:rPr>
        <w:t>发包人将不定期进行考核检查，检查时，发现建造师不在现场发包人有权收取承包人</w:t>
      </w:r>
      <w:r>
        <w:rPr>
          <w:rFonts w:hAnsi="宋体" w:cs="Arial"/>
          <w:b/>
          <w:bCs/>
          <w:color w:val="auto"/>
          <w:highlight w:val="none"/>
          <w:u w:val="single"/>
        </w:rPr>
        <w:t>1</w:t>
      </w:r>
      <w:r>
        <w:rPr>
          <w:rFonts w:hint="eastAsia" w:hAnsi="宋体" w:cs="Arial"/>
          <w:b/>
          <w:bCs/>
          <w:color w:val="auto"/>
          <w:highlight w:val="none"/>
          <w:u w:val="single"/>
        </w:rPr>
        <w:t>000元/人·天的违约金。</w:t>
      </w:r>
    </w:p>
    <w:p>
      <w:pPr>
        <w:spacing w:line="440" w:lineRule="exact"/>
        <w:ind w:firstLine="420" w:firstLineChars="200"/>
        <w:rPr>
          <w:rFonts w:ascii="宋体" w:hAnsi="宋体" w:cs="Arial"/>
          <w:b/>
          <w:bCs/>
          <w:color w:val="auto"/>
          <w:szCs w:val="21"/>
          <w:highlight w:val="none"/>
          <w:u w:val="single"/>
        </w:rPr>
      </w:pPr>
      <w:r>
        <w:rPr>
          <w:rFonts w:hint="eastAsia" w:ascii="宋体" w:hAnsi="宋体"/>
          <w:color w:val="auto"/>
          <w:szCs w:val="21"/>
          <w:highlight w:val="none"/>
        </w:rPr>
        <w:t>3.2.3 承包人擅自更换项目经理的违约责任：</w:t>
      </w:r>
      <w:r>
        <w:rPr>
          <w:rFonts w:hint="eastAsia" w:ascii="宋体" w:hAnsi="宋体" w:cs="Arial"/>
          <w:b/>
          <w:bCs/>
          <w:color w:val="auto"/>
          <w:szCs w:val="21"/>
          <w:highlight w:val="none"/>
          <w:u w:val="single"/>
        </w:rPr>
        <w:t>派驻现场的建造师应与投标文件一致。建造师（项目经理）不得兼职本工程以外的工作，如擅自更换，须支付相应金额的违约金（更换项目负责人1万元/次）。</w:t>
      </w:r>
    </w:p>
    <w:p>
      <w:pPr>
        <w:pStyle w:val="29"/>
        <w:adjustRightInd w:val="0"/>
        <w:snapToGrid w:val="0"/>
        <w:spacing w:line="460" w:lineRule="exact"/>
        <w:ind w:left="-2" w:leftChars="-1" w:firstLine="420" w:firstLineChars="200"/>
        <w:rPr>
          <w:rFonts w:hAnsi="宋体"/>
          <w:b/>
          <w:bCs/>
          <w:color w:val="auto"/>
          <w:highlight w:val="none"/>
          <w:u w:val="single"/>
        </w:rPr>
      </w:pPr>
      <w:r>
        <w:rPr>
          <w:rFonts w:hint="eastAsia" w:hAnsi="宋体"/>
          <w:color w:val="auto"/>
          <w:highlight w:val="none"/>
        </w:rPr>
        <w:t>3.2.4 承包人无正当理由拒绝更换项目经理的违约责任：</w:t>
      </w:r>
      <w:r>
        <w:rPr>
          <w:rFonts w:hint="eastAsia" w:hAnsi="宋体" w:cs="Arial"/>
          <w:b/>
          <w:bCs/>
          <w:color w:val="auto"/>
          <w:highlight w:val="none"/>
          <w:u w:val="single"/>
        </w:rPr>
        <w:t>项目经理经发包人和监理方考核不合格者，承包方一周内必须无条件更换，同时须支付相应金额的违约金（更换项目负责人1万元/次）。</w:t>
      </w:r>
    </w:p>
    <w:p>
      <w:pPr>
        <w:spacing w:after="120" w:line="440" w:lineRule="exact"/>
        <w:ind w:firstLine="420" w:firstLineChars="200"/>
        <w:rPr>
          <w:rFonts w:ascii="宋体" w:hAnsi="宋体"/>
          <w:color w:val="auto"/>
          <w:szCs w:val="21"/>
          <w:highlight w:val="none"/>
        </w:rPr>
      </w:pPr>
      <w:r>
        <w:rPr>
          <w:rFonts w:ascii="宋体" w:hAnsi="宋体"/>
          <w:color w:val="auto"/>
          <w:szCs w:val="21"/>
          <w:highlight w:val="none"/>
        </w:rPr>
        <w:t xml:space="preserve">3.3 </w:t>
      </w:r>
      <w:r>
        <w:rPr>
          <w:rFonts w:hint="eastAsia" w:ascii="宋体" w:hAnsi="宋体"/>
          <w:color w:val="auto"/>
          <w:szCs w:val="21"/>
          <w:highlight w:val="none"/>
        </w:rPr>
        <w:t>承包人</w:t>
      </w:r>
      <w:r>
        <w:rPr>
          <w:rFonts w:ascii="宋体" w:hAnsi="宋体"/>
          <w:color w:val="auto"/>
          <w:szCs w:val="21"/>
          <w:highlight w:val="none"/>
        </w:rPr>
        <w:t>人员</w:t>
      </w:r>
    </w:p>
    <w:p>
      <w:pPr>
        <w:spacing w:line="360" w:lineRule="auto"/>
        <w:ind w:firstLine="420" w:firstLineChars="200"/>
        <w:rPr>
          <w:rFonts w:ascii="宋体" w:hAnsi="宋体" w:cs="Arial"/>
          <w:color w:val="auto"/>
          <w:szCs w:val="21"/>
          <w:highlight w:val="none"/>
          <w:u w:val="single"/>
        </w:rPr>
      </w:pPr>
      <w:r>
        <w:rPr>
          <w:rFonts w:ascii="宋体" w:hAnsi="宋体"/>
          <w:color w:val="auto"/>
          <w:szCs w:val="21"/>
          <w:highlight w:val="none"/>
        </w:rPr>
        <w:t xml:space="preserve">3.3.1 </w:t>
      </w:r>
      <w:r>
        <w:rPr>
          <w:rFonts w:hint="eastAsia" w:ascii="宋体" w:hAnsi="宋体"/>
          <w:color w:val="auto"/>
          <w:szCs w:val="21"/>
          <w:highlight w:val="none"/>
        </w:rPr>
        <w:t>承包人</w:t>
      </w:r>
      <w:r>
        <w:rPr>
          <w:rFonts w:ascii="宋体" w:hAnsi="宋体"/>
          <w:color w:val="auto"/>
          <w:szCs w:val="21"/>
          <w:highlight w:val="none"/>
        </w:rPr>
        <w:t>提交项目管理机构及施工现场管理人员安排报告的期限：</w:t>
      </w:r>
      <w:r>
        <w:rPr>
          <w:rFonts w:hint="eastAsia" w:ascii="宋体" w:hAnsi="宋体" w:cs="Arial"/>
          <w:color w:val="auto"/>
          <w:szCs w:val="21"/>
          <w:highlight w:val="none"/>
          <w:u w:val="single"/>
        </w:rPr>
        <w:t>开工前3天。</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 xml:space="preserve">3.3.3 </w:t>
      </w:r>
      <w:r>
        <w:rPr>
          <w:rFonts w:hint="eastAsia" w:ascii="宋体" w:hAnsi="宋体"/>
          <w:color w:val="auto"/>
          <w:szCs w:val="21"/>
          <w:highlight w:val="none"/>
        </w:rPr>
        <w:t>承包人</w:t>
      </w:r>
      <w:r>
        <w:rPr>
          <w:rFonts w:ascii="宋体" w:hAnsi="宋体"/>
          <w:color w:val="auto"/>
          <w:szCs w:val="21"/>
          <w:highlight w:val="none"/>
        </w:rPr>
        <w:t>无正当理由拒绝撤换主要施工管理人员的违约责任：</w:t>
      </w:r>
      <w:r>
        <w:rPr>
          <w:rFonts w:hint="eastAsia" w:ascii="宋体" w:hAnsi="宋体"/>
          <w:color w:val="auto"/>
          <w:szCs w:val="21"/>
          <w:highlight w:val="none"/>
          <w:u w:val="single"/>
        </w:rPr>
        <w:t xml:space="preserve">   /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u w:val="single"/>
        </w:rPr>
      </w:pPr>
      <w:r>
        <w:rPr>
          <w:rFonts w:ascii="宋体" w:hAnsi="宋体"/>
          <w:color w:val="auto"/>
          <w:szCs w:val="21"/>
          <w:highlight w:val="none"/>
        </w:rPr>
        <w:t xml:space="preserve">3.3.4 </w:t>
      </w:r>
      <w:r>
        <w:rPr>
          <w:rFonts w:hint="eastAsia" w:ascii="宋体" w:hAnsi="宋体"/>
          <w:color w:val="auto"/>
          <w:szCs w:val="21"/>
          <w:highlight w:val="none"/>
        </w:rPr>
        <w:t>承包人</w:t>
      </w:r>
      <w:r>
        <w:rPr>
          <w:rFonts w:ascii="宋体" w:hAnsi="宋体"/>
          <w:color w:val="auto"/>
          <w:szCs w:val="21"/>
          <w:highlight w:val="none"/>
        </w:rPr>
        <w:t>主要施工管理人员离开施工现场的批准要求</w:t>
      </w:r>
      <w:r>
        <w:rPr>
          <w:rFonts w:ascii="宋体" w:hAnsi="宋体"/>
          <w:color w:val="auto"/>
          <w:szCs w:val="21"/>
          <w:highlight w:val="none"/>
          <w:u w:val="single"/>
        </w:rPr>
        <w:t xml:space="preserve">： </w:t>
      </w:r>
      <w:r>
        <w:rPr>
          <w:rFonts w:hint="eastAsia" w:ascii="宋体" w:hAnsi="宋体"/>
          <w:color w:val="auto"/>
          <w:szCs w:val="21"/>
          <w:highlight w:val="none"/>
          <w:u w:val="single"/>
        </w:rPr>
        <w:t>须经监理及发包人现场代表同意。</w:t>
      </w:r>
    </w:p>
    <w:p>
      <w:pPr>
        <w:spacing w:line="440" w:lineRule="exact"/>
        <w:ind w:firstLine="420" w:firstLineChars="200"/>
        <w:rPr>
          <w:rFonts w:ascii="宋体" w:hAnsi="宋体"/>
          <w:b/>
          <w:bCs/>
          <w:color w:val="auto"/>
          <w:szCs w:val="21"/>
          <w:highlight w:val="none"/>
          <w:u w:val="single"/>
        </w:rPr>
      </w:pPr>
      <w:r>
        <w:rPr>
          <w:rFonts w:ascii="宋体" w:hAnsi="宋体"/>
          <w:color w:val="auto"/>
          <w:szCs w:val="21"/>
          <w:highlight w:val="none"/>
        </w:rPr>
        <w:t>3.3.5</w:t>
      </w:r>
      <w:r>
        <w:rPr>
          <w:rFonts w:hint="eastAsia" w:ascii="宋体" w:hAnsi="宋体"/>
          <w:color w:val="auto"/>
          <w:szCs w:val="21"/>
          <w:highlight w:val="none"/>
        </w:rPr>
        <w:t>承包人</w:t>
      </w:r>
      <w:r>
        <w:rPr>
          <w:rFonts w:ascii="宋体" w:hAnsi="宋体"/>
          <w:color w:val="auto"/>
          <w:szCs w:val="21"/>
          <w:highlight w:val="none"/>
        </w:rPr>
        <w:t>擅自更换主要施工管理人员的违约责任：</w:t>
      </w:r>
      <w:r>
        <w:rPr>
          <w:rFonts w:hint="eastAsia" w:ascii="宋体" w:hAnsi="宋体" w:cs="Arial"/>
          <w:b/>
          <w:bCs/>
          <w:color w:val="auto"/>
          <w:szCs w:val="21"/>
          <w:highlight w:val="none"/>
          <w:u w:val="single"/>
        </w:rPr>
        <w:t>派驻现场的主要施工管理人员与投标文件一致。主要施工管理人员不得兼职本工程以外的工作，如擅自更换，须支付相应金额的违约金（更换主要施工管理人员2000元/次）。</w:t>
      </w:r>
    </w:p>
    <w:p>
      <w:pPr>
        <w:spacing w:line="440" w:lineRule="exact"/>
        <w:ind w:firstLine="420" w:firstLineChars="200"/>
        <w:rPr>
          <w:rFonts w:ascii="宋体" w:hAnsi="宋体"/>
          <w:b/>
          <w:color w:val="auto"/>
          <w:szCs w:val="21"/>
          <w:highlight w:val="none"/>
          <w:u w:val="single"/>
        </w:rPr>
      </w:pPr>
      <w:r>
        <w:rPr>
          <w:rFonts w:hint="eastAsia" w:ascii="宋体" w:hAnsi="宋体"/>
          <w:color w:val="auto"/>
          <w:szCs w:val="21"/>
          <w:highlight w:val="none"/>
        </w:rPr>
        <w:t>承包人</w:t>
      </w:r>
      <w:r>
        <w:rPr>
          <w:rFonts w:ascii="宋体" w:hAnsi="宋体"/>
          <w:color w:val="auto"/>
          <w:szCs w:val="21"/>
          <w:highlight w:val="none"/>
        </w:rPr>
        <w:t>主要施工管理人员擅自离开施工现场的违约责任：</w:t>
      </w:r>
      <w:r>
        <w:rPr>
          <w:rFonts w:hint="eastAsia" w:ascii="宋体" w:hAnsi="宋体"/>
          <w:b/>
          <w:color w:val="auto"/>
          <w:szCs w:val="21"/>
          <w:highlight w:val="none"/>
          <w:u w:val="single"/>
        </w:rPr>
        <w:t>发现施工管理人不在现场发包人有权收取承包人</w:t>
      </w:r>
      <w:r>
        <w:rPr>
          <w:rFonts w:ascii="宋体" w:hAnsi="宋体"/>
          <w:b/>
          <w:color w:val="auto"/>
          <w:szCs w:val="21"/>
          <w:highlight w:val="none"/>
          <w:u w:val="single"/>
        </w:rPr>
        <w:t>5</w:t>
      </w:r>
      <w:r>
        <w:rPr>
          <w:rFonts w:hint="eastAsia" w:ascii="宋体" w:hAnsi="宋体"/>
          <w:b/>
          <w:color w:val="auto"/>
          <w:szCs w:val="21"/>
          <w:highlight w:val="none"/>
          <w:u w:val="single"/>
        </w:rPr>
        <w:t>00元/人·天的违约金。</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3</w:t>
      </w:r>
      <w:bookmarkStart w:id="98" w:name="_Toc296503159"/>
      <w:bookmarkStart w:id="99" w:name="_Toc296890987"/>
      <w:bookmarkStart w:id="100" w:name="_Toc303539102"/>
      <w:bookmarkStart w:id="101" w:name="_Toc296891199"/>
      <w:bookmarkStart w:id="102" w:name="_Toc312677988"/>
      <w:bookmarkStart w:id="103" w:name="_Toc304295523"/>
      <w:bookmarkStart w:id="104" w:name="_Toc292559869"/>
      <w:bookmarkStart w:id="105" w:name="_Toc297048345"/>
      <w:bookmarkStart w:id="106" w:name="_Toc297123492"/>
      <w:bookmarkStart w:id="107" w:name="_Toc300934945"/>
      <w:bookmarkStart w:id="108" w:name="_Toc292559364"/>
      <w:bookmarkStart w:id="109" w:name="_Toc296346660"/>
      <w:bookmarkStart w:id="110" w:name="_Toc297216151"/>
      <w:bookmarkStart w:id="111" w:name="_Toc297120459"/>
      <w:bookmarkStart w:id="112" w:name="_Toc296944498"/>
      <w:bookmarkStart w:id="113" w:name="_Toc296347158"/>
      <w:r>
        <w:rPr>
          <w:rFonts w:ascii="宋体" w:hAnsi="宋体"/>
          <w:color w:val="auto"/>
          <w:szCs w:val="21"/>
          <w:highlight w:val="none"/>
        </w:rPr>
        <w:t>.5 分包</w:t>
      </w:r>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Pr>
        <w:spacing w:line="440" w:lineRule="exact"/>
        <w:ind w:firstLine="420" w:firstLineChars="200"/>
        <w:rPr>
          <w:rFonts w:ascii="宋体" w:hAnsi="宋体"/>
          <w:color w:val="auto"/>
          <w:szCs w:val="21"/>
          <w:highlight w:val="none"/>
        </w:rPr>
      </w:pPr>
      <w:r>
        <w:rPr>
          <w:rFonts w:ascii="宋体" w:hAnsi="宋体"/>
          <w:color w:val="auto"/>
          <w:szCs w:val="21"/>
          <w:highlight w:val="none"/>
        </w:rPr>
        <w:t>3</w:t>
      </w:r>
      <w:bookmarkStart w:id="114" w:name="_Toc297123493"/>
      <w:bookmarkStart w:id="115" w:name="_Toc297048346"/>
      <w:bookmarkStart w:id="116" w:name="_Toc296503160"/>
      <w:bookmarkStart w:id="117" w:name="_Toc292559365"/>
      <w:bookmarkStart w:id="118" w:name="_Toc296944499"/>
      <w:bookmarkStart w:id="119" w:name="_Toc296891200"/>
      <w:bookmarkStart w:id="120" w:name="_Toc300934946"/>
      <w:bookmarkStart w:id="121" w:name="_Toc292559870"/>
      <w:bookmarkStart w:id="122" w:name="_Toc296346661"/>
      <w:bookmarkStart w:id="123" w:name="_Toc297216152"/>
      <w:bookmarkStart w:id="124" w:name="_Toc304295524"/>
      <w:bookmarkStart w:id="125" w:name="_Toc312677989"/>
      <w:bookmarkStart w:id="126" w:name="_Toc297120460"/>
      <w:bookmarkStart w:id="127" w:name="_Toc296347159"/>
      <w:bookmarkStart w:id="128" w:name="_Toc318581158"/>
      <w:bookmarkStart w:id="129" w:name="_Toc303539103"/>
      <w:bookmarkStart w:id="130" w:name="_Toc296890988"/>
      <w:r>
        <w:rPr>
          <w:rFonts w:ascii="宋体" w:hAnsi="宋体"/>
          <w:color w:val="auto"/>
          <w:szCs w:val="21"/>
          <w:highlight w:val="none"/>
        </w:rPr>
        <w:t>.5.1 分包的一般约定</w:t>
      </w:r>
    </w:p>
    <w:p>
      <w:pPr>
        <w:spacing w:line="440" w:lineRule="exact"/>
        <w:ind w:firstLine="420" w:firstLineChars="200"/>
        <w:rPr>
          <w:rFonts w:ascii="宋体" w:hAnsi="宋体"/>
          <w:color w:val="auto"/>
          <w:szCs w:val="21"/>
          <w:highlight w:val="none"/>
          <w:u w:val="single"/>
        </w:rPr>
      </w:pPr>
      <w:r>
        <w:rPr>
          <w:rFonts w:hint="eastAsia" w:ascii="宋体" w:hAnsi="宋体"/>
          <w:color w:val="auto"/>
          <w:szCs w:val="21"/>
          <w:highlight w:val="none"/>
        </w:rPr>
        <w:t>禁止分包的工程包括：</w:t>
      </w:r>
      <w:r>
        <w:rPr>
          <w:rFonts w:hint="eastAsia" w:ascii="宋体" w:hAnsi="宋体"/>
          <w:color w:val="auto"/>
          <w:szCs w:val="21"/>
          <w:highlight w:val="none"/>
          <w:u w:val="single"/>
        </w:rPr>
        <w:t>在履行合同过程中，承包人不得转包和分包，一经发现，发包人可以解除本合同，并不予退还全额履约保证金，并且已完成的工程量不予结算，所造成的责任与损失均由承包人承担。</w:t>
      </w:r>
    </w:p>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Pr>
        <w:spacing w:line="440" w:lineRule="exact"/>
        <w:ind w:firstLine="420" w:firstLineChars="200"/>
        <w:rPr>
          <w:rFonts w:ascii="宋体" w:hAnsi="宋体"/>
          <w:color w:val="auto"/>
          <w:szCs w:val="21"/>
          <w:highlight w:val="none"/>
          <w:u w:val="single"/>
        </w:rPr>
      </w:pPr>
      <w:bookmarkStart w:id="131" w:name="_Toc318581159"/>
      <w:bookmarkStart w:id="132" w:name="_Toc312677990"/>
      <w:r>
        <w:rPr>
          <w:rFonts w:hint="eastAsia" w:ascii="宋体" w:hAnsi="宋体"/>
          <w:color w:val="auto"/>
          <w:szCs w:val="21"/>
          <w:highlight w:val="none"/>
        </w:rPr>
        <w:t>主体结构、关键性工作的范围：</w:t>
      </w:r>
      <w:r>
        <w:rPr>
          <w:rFonts w:hint="eastAsia" w:ascii="宋体" w:hAnsi="宋体"/>
          <w:color w:val="auto"/>
          <w:szCs w:val="21"/>
          <w:highlight w:val="none"/>
          <w:u w:val="single"/>
        </w:rPr>
        <w:t>/。</w:t>
      </w:r>
      <w:bookmarkStart w:id="133" w:name="_Toc296890989"/>
      <w:bookmarkStart w:id="134" w:name="_Toc300934947"/>
      <w:bookmarkStart w:id="135" w:name="_Toc297048347"/>
      <w:bookmarkStart w:id="136" w:name="_Toc296346662"/>
      <w:bookmarkStart w:id="137" w:name="_Toc297216153"/>
      <w:bookmarkStart w:id="138" w:name="_Toc297123494"/>
      <w:bookmarkStart w:id="139" w:name="_Toc297120461"/>
      <w:bookmarkStart w:id="140" w:name="_Toc296347160"/>
      <w:bookmarkStart w:id="141" w:name="_Toc296891201"/>
      <w:bookmarkStart w:id="142" w:name="_Toc304295525"/>
      <w:bookmarkStart w:id="143" w:name="_Toc303539104"/>
      <w:bookmarkStart w:id="144" w:name="_Toc296944500"/>
      <w:bookmarkStart w:id="145" w:name="_Toc296503161"/>
    </w:p>
    <w:bookmarkEnd w:id="133"/>
    <w:bookmarkEnd w:id="134"/>
    <w:bookmarkEnd w:id="135"/>
    <w:bookmarkEnd w:id="136"/>
    <w:bookmarkEnd w:id="137"/>
    <w:bookmarkEnd w:id="138"/>
    <w:bookmarkEnd w:id="139"/>
    <w:bookmarkEnd w:id="140"/>
    <w:bookmarkEnd w:id="141"/>
    <w:bookmarkEnd w:id="142"/>
    <w:bookmarkEnd w:id="143"/>
    <w:bookmarkEnd w:id="144"/>
    <w:bookmarkEnd w:id="145"/>
    <w:p>
      <w:pPr>
        <w:spacing w:line="440" w:lineRule="exact"/>
        <w:ind w:firstLine="420" w:firstLineChars="200"/>
        <w:rPr>
          <w:rFonts w:ascii="宋体" w:hAnsi="宋体"/>
          <w:color w:val="auto"/>
          <w:szCs w:val="21"/>
          <w:highlight w:val="none"/>
        </w:rPr>
      </w:pPr>
      <w:r>
        <w:rPr>
          <w:rFonts w:ascii="宋体" w:hAnsi="宋体"/>
          <w:color w:val="auto"/>
          <w:szCs w:val="21"/>
          <w:highlight w:val="none"/>
        </w:rPr>
        <w:t xml:space="preserve"> 3.5.2</w:t>
      </w:r>
      <w:r>
        <w:rPr>
          <w:rFonts w:hint="eastAsia" w:ascii="宋体" w:hAnsi="宋体"/>
          <w:color w:val="auto"/>
          <w:szCs w:val="21"/>
          <w:highlight w:val="none"/>
        </w:rPr>
        <w:t>分包的确定</w:t>
      </w:r>
    </w:p>
    <w:p>
      <w:pPr>
        <w:spacing w:line="440" w:lineRule="exact"/>
        <w:ind w:firstLine="420" w:firstLineChars="200"/>
        <w:rPr>
          <w:rFonts w:ascii="宋体" w:hAnsi="宋体"/>
          <w:color w:val="auto"/>
          <w:szCs w:val="21"/>
          <w:highlight w:val="none"/>
          <w:u w:val="single"/>
        </w:rPr>
      </w:pPr>
      <w:r>
        <w:rPr>
          <w:rFonts w:hint="eastAsia" w:ascii="宋体" w:hAnsi="宋体"/>
          <w:color w:val="auto"/>
          <w:szCs w:val="21"/>
          <w:highlight w:val="none"/>
        </w:rPr>
        <w:t>允许分包的专业工程包括：</w:t>
      </w:r>
      <w:r>
        <w:rPr>
          <w:rFonts w:hint="eastAsia" w:ascii="宋体" w:hAnsi="宋体"/>
          <w:color w:val="auto"/>
          <w:szCs w:val="21"/>
          <w:highlight w:val="none"/>
          <w:u w:val="single"/>
        </w:rPr>
        <w:t>/</w:t>
      </w:r>
      <w:r>
        <w:rPr>
          <w:rFonts w:hint="eastAsia"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其他关于分包的约定：</w:t>
      </w:r>
      <w:r>
        <w:rPr>
          <w:rFonts w:hint="eastAsia" w:ascii="宋体" w:hAnsi="宋体"/>
          <w:color w:val="auto"/>
          <w:szCs w:val="21"/>
          <w:highlight w:val="none"/>
          <w:u w:val="single"/>
        </w:rPr>
        <w:t>/</w:t>
      </w:r>
      <w:r>
        <w:rPr>
          <w:rFonts w:hint="eastAsia"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 xml:space="preserve">3.5.4 </w:t>
      </w:r>
      <w:r>
        <w:rPr>
          <w:rFonts w:hint="eastAsia" w:ascii="宋体" w:hAnsi="宋体"/>
          <w:color w:val="auto"/>
          <w:szCs w:val="21"/>
          <w:highlight w:val="none"/>
        </w:rPr>
        <w:t>分包合同价款</w:t>
      </w:r>
    </w:p>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关于分包合同价款支付的约定：</w:t>
      </w:r>
      <w:r>
        <w:rPr>
          <w:rFonts w:hint="eastAsia" w:ascii="宋体" w:hAnsi="宋体"/>
          <w:color w:val="auto"/>
          <w:szCs w:val="21"/>
          <w:highlight w:val="none"/>
          <w:u w:val="single"/>
        </w:rPr>
        <w:t>/</w:t>
      </w:r>
    </w:p>
    <w:bookmarkEnd w:id="131"/>
    <w:bookmarkEnd w:id="132"/>
    <w:p>
      <w:pPr>
        <w:spacing w:line="440" w:lineRule="exact"/>
        <w:ind w:firstLine="420" w:firstLineChars="200"/>
        <w:rPr>
          <w:rFonts w:ascii="宋体" w:hAnsi="宋体"/>
          <w:color w:val="auto"/>
          <w:szCs w:val="21"/>
          <w:highlight w:val="none"/>
        </w:rPr>
      </w:pPr>
      <w:r>
        <w:rPr>
          <w:rFonts w:ascii="宋体" w:hAnsi="宋体"/>
          <w:color w:val="auto"/>
          <w:szCs w:val="21"/>
          <w:highlight w:val="none"/>
        </w:rPr>
        <w:t>3.6 工程照管与成品、半成品保护</w:t>
      </w:r>
    </w:p>
    <w:p>
      <w:pPr>
        <w:spacing w:line="440" w:lineRule="exact"/>
        <w:ind w:firstLine="420" w:firstLineChars="200"/>
        <w:rPr>
          <w:rFonts w:ascii="宋体" w:hAnsi="宋体"/>
          <w:color w:val="auto"/>
          <w:szCs w:val="21"/>
          <w:highlight w:val="none"/>
          <w:u w:val="single"/>
        </w:rPr>
      </w:pPr>
      <w:r>
        <w:rPr>
          <w:rFonts w:hint="eastAsia" w:ascii="宋体" w:hAnsi="宋体"/>
          <w:color w:val="auto"/>
          <w:szCs w:val="21"/>
          <w:highlight w:val="none"/>
        </w:rPr>
        <w:t>承包</w:t>
      </w:r>
      <w:r>
        <w:rPr>
          <w:rFonts w:hint="eastAsia" w:ascii="宋体" w:hAnsi="宋体"/>
          <w:color w:val="auto"/>
          <w:kern w:val="0"/>
          <w:szCs w:val="21"/>
          <w:highlight w:val="none"/>
        </w:rPr>
        <w:t>人</w:t>
      </w:r>
      <w:r>
        <w:rPr>
          <w:rFonts w:ascii="宋体" w:hAnsi="宋体"/>
          <w:color w:val="auto"/>
          <w:kern w:val="0"/>
          <w:szCs w:val="21"/>
          <w:highlight w:val="none"/>
        </w:rPr>
        <w:t>负责照管工程及工程相关的材料、工程设备的起始时间：</w:t>
      </w:r>
      <w:r>
        <w:rPr>
          <w:rFonts w:hint="eastAsia" w:ascii="宋体" w:hAnsi="宋体"/>
          <w:b/>
          <w:color w:val="auto"/>
          <w:szCs w:val="21"/>
          <w:highlight w:val="none"/>
          <w:u w:val="single"/>
        </w:rPr>
        <w:t>设备、人员进场至验收交付使用前由承包人负责保修，无其它特殊要求的，费用由承包人承担</w:t>
      </w:r>
      <w:r>
        <w:rPr>
          <w:rFonts w:hint="eastAsia" w:ascii="宋体" w:hAnsi="宋体"/>
          <w:color w:val="auto"/>
          <w:szCs w:val="21"/>
          <w:highlight w:val="none"/>
          <w:u w:val="singl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3.7 履约担保</w:t>
      </w:r>
    </w:p>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承包人是否提供履约担保：</w:t>
      </w:r>
      <w:r>
        <w:rPr>
          <w:rFonts w:hint="eastAsia" w:ascii="宋体" w:hAnsi="宋体"/>
          <w:color w:val="auto"/>
          <w:szCs w:val="21"/>
          <w:highlight w:val="none"/>
          <w:u w:val="single"/>
        </w:rPr>
        <w:t>提供</w:t>
      </w:r>
      <w:r>
        <w:rPr>
          <w:rFonts w:ascii="宋体" w:hAnsi="宋体"/>
          <w:color w:val="auto"/>
          <w:szCs w:val="21"/>
          <w:highlight w:val="none"/>
        </w:rPr>
        <w:t>。</w:t>
      </w:r>
    </w:p>
    <w:p>
      <w:pPr>
        <w:spacing w:line="460" w:lineRule="exact"/>
        <w:ind w:firstLine="420" w:firstLineChars="200"/>
        <w:jc w:val="left"/>
        <w:rPr>
          <w:rFonts w:ascii="宋体" w:hAnsi="宋体"/>
          <w:b/>
          <w:color w:val="auto"/>
          <w:szCs w:val="21"/>
          <w:highlight w:val="none"/>
          <w:u w:val="single"/>
        </w:rPr>
      </w:pPr>
      <w:r>
        <w:rPr>
          <w:rFonts w:hint="eastAsia" w:ascii="宋体" w:hAnsi="宋体"/>
          <w:color w:val="auto"/>
          <w:szCs w:val="21"/>
          <w:highlight w:val="none"/>
        </w:rPr>
        <w:t>承包人提供履约担保的形式、金额及期限的：</w:t>
      </w:r>
      <w:bookmarkStart w:id="146" w:name="_Toc351203636"/>
      <w:r>
        <w:rPr>
          <w:rFonts w:hint="eastAsia" w:ascii="宋体" w:hAnsi="宋体"/>
          <w:b/>
          <w:color w:val="auto"/>
          <w:szCs w:val="21"/>
          <w:highlight w:val="none"/>
          <w:u w:val="single"/>
        </w:rPr>
        <w:t>银行转账，中标人须在中标通知书发出后</w:t>
      </w:r>
      <w:r>
        <w:rPr>
          <w:rFonts w:hint="eastAsia" w:ascii="宋体" w:hAnsi="宋体"/>
          <w:b/>
          <w:color w:val="auto"/>
          <w:szCs w:val="21"/>
          <w:highlight w:val="none"/>
          <w:u w:val="single"/>
          <w:lang w:val="en-US" w:eastAsia="zh-CN"/>
        </w:rPr>
        <w:t>3</w:t>
      </w:r>
      <w:r>
        <w:rPr>
          <w:rFonts w:hint="eastAsia" w:ascii="宋体" w:hAnsi="宋体"/>
          <w:b/>
          <w:color w:val="auto"/>
          <w:szCs w:val="21"/>
          <w:highlight w:val="none"/>
          <w:u w:val="single"/>
        </w:rPr>
        <w:t>日内交齐履约保证金后根据招标文件的要求签订合同，否则视为自动放弃中标资格，且投标保证金不予退还。承包人提供的履约保证金为合同总价的10%，其中：工期占履约保证金额的20%，工期履约保证金待工程按合同规定的工期内完成并经验收合格且提供完整的竣工资料后，无息返还，如工期延误应按合同约定缴纳违约金，同时可视情节扣除部分或全部工期履约保证金；质量占履约保证金额的40%，在施工期间，由于承包人原因造成的严重质量问题或质量事故，除视情节扣除部分或全部质量履约保证金外，还需承担全部责任及由此引起的一切费用，同时承包人必须在发包人要求的期限内整改到位达到验收标准，否则已完成合格工作量在结算时按60%计算。质量履约保证金待工程竣工验收，且完成约定的验收标准后，无息返还；安全文明施工占履约保证金额的20%，承包人在施工期间未发生安全事故，待工程竣工验收合格后，无息返还，凡在施工期间，由于承包人原因造成的事故，应按合同约定缴纳违约金，同时可视情节扣除部分或全部安全文明施工保证金，还需承担全部责任及由此引起的一切费用，发包人不承担任何责任；竣工资料占履约保证金额的10%，待提交完整的竣工资料后无息返还，若未达到招标文件要求，该保证金不予退还；项目部人员到岗占履约保证金额的10%，经发包人考核达到要求，待工程竣工验收后，无息返还，施工期间经发包人考核未达到要求的，应按合同约定缴纳违约金，同时可视情节扣除部分或全部项目部人员到岗保证金。</w:t>
      </w:r>
    </w:p>
    <w:p>
      <w:pPr>
        <w:pStyle w:val="6"/>
        <w:spacing w:before="120" w:after="120" w:line="440" w:lineRule="exact"/>
        <w:rPr>
          <w:rFonts w:ascii="宋体" w:hAnsi="宋体"/>
          <w:color w:val="auto"/>
          <w:szCs w:val="21"/>
          <w:highlight w:val="none"/>
        </w:rPr>
      </w:pPr>
      <w:r>
        <w:rPr>
          <w:rFonts w:ascii="宋体" w:hAnsi="宋体"/>
          <w:color w:val="auto"/>
          <w:szCs w:val="21"/>
          <w:highlight w:val="none"/>
        </w:rPr>
        <w:t>4</w:t>
      </w:r>
      <w:bookmarkStart w:id="147" w:name="_Toc297048348"/>
      <w:bookmarkStart w:id="148" w:name="_Toc267251413"/>
      <w:bookmarkStart w:id="149" w:name="_Toc296944501"/>
      <w:bookmarkStart w:id="150" w:name="_Toc297120462"/>
      <w:bookmarkStart w:id="151" w:name="_Toc292559871"/>
      <w:bookmarkStart w:id="152" w:name="_Toc296347161"/>
      <w:bookmarkStart w:id="153" w:name="_Toc292559366"/>
      <w:bookmarkStart w:id="154" w:name="_Toc296891202"/>
      <w:bookmarkStart w:id="155" w:name="_Toc296503162"/>
      <w:bookmarkStart w:id="156" w:name="_Toc296346663"/>
      <w:bookmarkStart w:id="157" w:name="_Toc296890990"/>
      <w:r>
        <w:rPr>
          <w:rFonts w:ascii="宋体" w:hAnsi="宋体"/>
          <w:color w:val="auto"/>
          <w:szCs w:val="21"/>
          <w:highlight w:val="none"/>
        </w:rPr>
        <w:t>. 监</w:t>
      </w:r>
      <w:bookmarkEnd w:id="147"/>
      <w:bookmarkEnd w:id="148"/>
      <w:bookmarkEnd w:id="149"/>
      <w:bookmarkEnd w:id="150"/>
      <w:bookmarkEnd w:id="151"/>
      <w:bookmarkEnd w:id="152"/>
      <w:bookmarkEnd w:id="153"/>
      <w:bookmarkEnd w:id="154"/>
      <w:bookmarkEnd w:id="155"/>
      <w:bookmarkEnd w:id="156"/>
      <w:bookmarkEnd w:id="157"/>
      <w:r>
        <w:rPr>
          <w:rFonts w:ascii="宋体" w:hAnsi="宋体"/>
          <w:color w:val="auto"/>
          <w:szCs w:val="21"/>
          <w:highlight w:val="none"/>
        </w:rPr>
        <w:t>理人</w:t>
      </w:r>
      <w:bookmarkEnd w:id="146"/>
    </w:p>
    <w:p>
      <w:pPr>
        <w:spacing w:line="440" w:lineRule="exact"/>
        <w:ind w:firstLine="420" w:firstLineChars="200"/>
        <w:rPr>
          <w:rFonts w:ascii="宋体" w:hAnsi="宋体"/>
          <w:color w:val="auto"/>
          <w:szCs w:val="21"/>
          <w:highlight w:val="none"/>
        </w:rPr>
      </w:pPr>
      <w:r>
        <w:rPr>
          <w:rFonts w:ascii="宋体" w:hAnsi="宋体"/>
          <w:color w:val="auto"/>
          <w:szCs w:val="21"/>
          <w:highlight w:val="none"/>
        </w:rPr>
        <w:t>4.1监理人的一般规定</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关于监理人的监理内容：</w:t>
      </w:r>
      <w:r>
        <w:rPr>
          <w:rFonts w:hint="eastAsia" w:ascii="宋体" w:hAnsi="宋体" w:cs="Arial"/>
          <w:color w:val="auto"/>
          <w:szCs w:val="21"/>
          <w:highlight w:val="none"/>
          <w:u w:val="single"/>
        </w:rPr>
        <w:t>见《建设工程委托监理合同》</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关于监理人的监理权限：</w:t>
      </w:r>
      <w:r>
        <w:rPr>
          <w:rFonts w:hint="eastAsia" w:ascii="宋体" w:hAnsi="宋体" w:cs="Arial"/>
          <w:color w:val="auto"/>
          <w:szCs w:val="21"/>
          <w:highlight w:val="none"/>
          <w:u w:val="single"/>
        </w:rPr>
        <w:t>对工程质量、安全、进度、投资四大控制，对安全生产、文明施工、信息管理、组织协调施工现场和各方关系，以及《委托监理合同》内发包人委托的职权。需要取得发包人批准才能行使的职权：工程开工、停工令，工程款支付以及其它超出发包人授权之外的职权</w:t>
      </w:r>
      <w:r>
        <w:rPr>
          <w:rFonts w:ascii="宋体" w:hAnsi="宋体" w:cs="Arial"/>
          <w:color w:val="auto"/>
          <w:szCs w:val="21"/>
          <w:highlight w:val="none"/>
          <w:u w:val="single"/>
        </w:rPr>
        <w:t>。</w:t>
      </w:r>
    </w:p>
    <w:p>
      <w:pPr>
        <w:spacing w:line="480" w:lineRule="exact"/>
        <w:ind w:firstLine="420" w:firstLineChars="200"/>
        <w:jc w:val="left"/>
        <w:rPr>
          <w:rFonts w:ascii="宋体" w:hAnsi="宋体" w:cs="Arial"/>
          <w:color w:val="auto"/>
          <w:szCs w:val="21"/>
          <w:highlight w:val="none"/>
          <w:u w:val="single"/>
        </w:rPr>
      </w:pPr>
      <w:r>
        <w:rPr>
          <w:rFonts w:ascii="宋体" w:hAnsi="宋体"/>
          <w:color w:val="auto"/>
          <w:szCs w:val="21"/>
          <w:highlight w:val="none"/>
        </w:rPr>
        <w:t>关于监理人在施工现场的办公场所、生活场所的提供和费用承担的约定：</w:t>
      </w:r>
      <w:r>
        <w:rPr>
          <w:rFonts w:hint="eastAsia" w:ascii="宋体" w:hAnsi="宋体" w:cs="Arial"/>
          <w:color w:val="auto"/>
          <w:szCs w:val="21"/>
          <w:highlight w:val="none"/>
          <w:u w:val="single"/>
        </w:rPr>
        <w:t>见监理合同</w:t>
      </w:r>
      <w:r>
        <w:rPr>
          <w:rFonts w:ascii="宋体" w:hAnsi="宋体" w:cs="Arial"/>
          <w:color w:val="auto"/>
          <w:szCs w:val="21"/>
          <w:highlight w:val="none"/>
          <w:u w:val="singl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4.2 监理人员</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总监理工程师：</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姓    名：</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职    务：</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监理工程师执业资格证书号：</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联系电话：</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电子信箱：</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通信地址：</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关于监理人的其他约定：</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4.4 商定或确定</w:t>
      </w:r>
    </w:p>
    <w:p>
      <w:pPr>
        <w:spacing w:line="440" w:lineRule="exact"/>
        <w:ind w:firstLine="420" w:firstLineChars="200"/>
        <w:rPr>
          <w:rFonts w:ascii="宋体" w:hAnsi="宋体"/>
          <w:color w:val="auto"/>
          <w:szCs w:val="21"/>
          <w:highlight w:val="none"/>
        </w:rPr>
      </w:pPr>
      <w:bookmarkStart w:id="158" w:name="_Toc267251418"/>
      <w:r>
        <w:rPr>
          <w:rFonts w:ascii="宋体" w:hAnsi="宋体"/>
          <w:color w:val="auto"/>
          <w:szCs w:val="21"/>
          <w:highlight w:val="none"/>
        </w:rPr>
        <w:t>在发包人和</w:t>
      </w:r>
      <w:r>
        <w:rPr>
          <w:rFonts w:hint="eastAsia" w:ascii="宋体" w:hAnsi="宋体"/>
          <w:color w:val="auto"/>
          <w:szCs w:val="21"/>
          <w:highlight w:val="none"/>
        </w:rPr>
        <w:t>承包人</w:t>
      </w:r>
      <w:r>
        <w:rPr>
          <w:rFonts w:ascii="宋体" w:hAnsi="宋体"/>
          <w:color w:val="auto"/>
          <w:szCs w:val="21"/>
          <w:highlight w:val="none"/>
        </w:rPr>
        <w:t>不能通过协商达成一致意见时，发包人授权监理人对以下事项进行确定：</w:t>
      </w:r>
      <w:r>
        <w:rPr>
          <w:rFonts w:hint="eastAsia" w:ascii="宋体" w:hAnsi="宋体"/>
          <w:color w:val="auto"/>
          <w:szCs w:val="21"/>
          <w:highlight w:val="none"/>
          <w:u w:val="single"/>
        </w:rPr>
        <w:t>/</w:t>
      </w:r>
      <w:r>
        <w:rPr>
          <w:rFonts w:hint="eastAsia" w:ascii="宋体" w:hAnsi="宋体"/>
          <w:color w:val="auto"/>
          <w:szCs w:val="21"/>
          <w:highlight w:val="none"/>
        </w:rPr>
        <w:t>。</w:t>
      </w:r>
    </w:p>
    <w:p>
      <w:pPr>
        <w:pStyle w:val="6"/>
        <w:spacing w:before="120" w:after="120" w:line="440" w:lineRule="exact"/>
        <w:rPr>
          <w:rFonts w:ascii="宋体" w:hAnsi="宋体"/>
          <w:color w:val="auto"/>
          <w:szCs w:val="21"/>
          <w:highlight w:val="none"/>
        </w:rPr>
      </w:pPr>
      <w:bookmarkStart w:id="159" w:name="_Toc351203637"/>
      <w:r>
        <w:rPr>
          <w:rFonts w:ascii="宋体" w:hAnsi="宋体"/>
          <w:color w:val="auto"/>
          <w:szCs w:val="21"/>
          <w:highlight w:val="none"/>
        </w:rPr>
        <w:t>5</w:t>
      </w:r>
      <w:bookmarkEnd w:id="158"/>
      <w:bookmarkStart w:id="160" w:name="_Toc292559367"/>
      <w:bookmarkStart w:id="161" w:name="_Toc296346664"/>
      <w:bookmarkStart w:id="162" w:name="_Toc296503163"/>
      <w:bookmarkStart w:id="163" w:name="_Toc296944502"/>
      <w:bookmarkStart w:id="164" w:name="_Toc292559872"/>
      <w:bookmarkStart w:id="165" w:name="_Toc297048349"/>
      <w:bookmarkStart w:id="166" w:name="_Toc296891203"/>
      <w:bookmarkStart w:id="167" w:name="_Toc297120463"/>
      <w:bookmarkStart w:id="168" w:name="_Toc296890991"/>
      <w:bookmarkStart w:id="169" w:name="_Toc296347162"/>
      <w:r>
        <w:rPr>
          <w:rFonts w:ascii="宋体" w:hAnsi="宋体"/>
          <w:color w:val="auto"/>
          <w:szCs w:val="21"/>
          <w:highlight w:val="none"/>
        </w:rPr>
        <w:t>. 工程质量</w:t>
      </w:r>
      <w:bookmarkEnd w:id="159"/>
    </w:p>
    <w:p>
      <w:pPr>
        <w:spacing w:line="440" w:lineRule="exact"/>
        <w:ind w:firstLine="420" w:firstLineChars="200"/>
        <w:rPr>
          <w:rFonts w:ascii="宋体" w:hAnsi="宋体"/>
          <w:color w:val="auto"/>
          <w:szCs w:val="21"/>
          <w:highlight w:val="none"/>
        </w:rPr>
      </w:pPr>
      <w:r>
        <w:rPr>
          <w:rFonts w:ascii="宋体" w:hAnsi="宋体"/>
          <w:color w:val="auto"/>
          <w:szCs w:val="21"/>
          <w:highlight w:val="none"/>
        </w:rPr>
        <w:t>5.1 质量要求</w:t>
      </w:r>
    </w:p>
    <w:p>
      <w:pPr>
        <w:spacing w:line="440" w:lineRule="exact"/>
        <w:ind w:firstLine="420" w:firstLineChars="200"/>
        <w:rPr>
          <w:rFonts w:ascii="宋体" w:hAnsi="宋体"/>
          <w:color w:val="auto"/>
          <w:szCs w:val="21"/>
          <w:highlight w:val="none"/>
        </w:rPr>
      </w:pPr>
      <w:bookmarkStart w:id="170" w:name="_Toc304295527"/>
      <w:bookmarkStart w:id="171" w:name="_Toc300934949"/>
      <w:bookmarkStart w:id="172" w:name="_Toc297123496"/>
      <w:bookmarkStart w:id="173" w:name="_Toc303539106"/>
      <w:bookmarkStart w:id="174" w:name="_Toc318581164"/>
      <w:bookmarkStart w:id="175" w:name="_Toc312677997"/>
      <w:bookmarkStart w:id="176" w:name="_Toc297216155"/>
      <w:r>
        <w:rPr>
          <w:rFonts w:ascii="宋体" w:hAnsi="宋体"/>
          <w:color w:val="auto"/>
          <w:szCs w:val="21"/>
          <w:highlight w:val="none"/>
        </w:rPr>
        <w:t>5.</w:t>
      </w:r>
      <w:r>
        <w:rPr>
          <w:rFonts w:hint="eastAsia" w:ascii="宋体" w:hAnsi="宋体"/>
          <w:color w:val="auto"/>
          <w:szCs w:val="21"/>
          <w:highlight w:val="none"/>
        </w:rPr>
        <w:t>1.</w:t>
      </w:r>
      <w:r>
        <w:rPr>
          <w:rFonts w:ascii="宋体" w:hAnsi="宋体"/>
          <w:color w:val="auto"/>
          <w:szCs w:val="21"/>
          <w:highlight w:val="none"/>
        </w:rPr>
        <w:t>1</w:t>
      </w:r>
      <w:r>
        <w:rPr>
          <w:rFonts w:hint="eastAsia" w:ascii="宋体" w:hAnsi="宋体"/>
          <w:color w:val="auto"/>
          <w:szCs w:val="21"/>
          <w:highlight w:val="none"/>
        </w:rPr>
        <w:t>工程质量必须达到国家施工质量验收规范合格标准。</w:t>
      </w:r>
    </w:p>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5.2</w:t>
      </w:r>
      <w:r>
        <w:rPr>
          <w:rFonts w:ascii="宋体" w:hAnsi="宋体"/>
          <w:color w:val="auto"/>
          <w:szCs w:val="21"/>
          <w:highlight w:val="none"/>
        </w:rPr>
        <w:t>质量</w:t>
      </w:r>
      <w:r>
        <w:rPr>
          <w:rFonts w:hint="eastAsia" w:ascii="宋体" w:hAnsi="宋体"/>
          <w:color w:val="auto"/>
          <w:szCs w:val="21"/>
          <w:highlight w:val="none"/>
        </w:rPr>
        <w:t>保证措施</w:t>
      </w:r>
    </w:p>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 xml:space="preserve">5.2.2承包人必须严格按照施工图纸、工程技术要求及有关工程施工规范、规格和标准施工，并无条件的接受发包人委托的监理单位全方位、全过程的监督管理。无论监理工程师是否进行并通过了各项检验，均不解除承包人对自己承包的工程的质量所负的责任，除非质量问题是由非承包人原因。       </w:t>
      </w:r>
    </w:p>
    <w:p>
      <w:pPr>
        <w:spacing w:line="440" w:lineRule="exact"/>
        <w:ind w:firstLine="420" w:firstLineChars="200"/>
        <w:rPr>
          <w:rFonts w:ascii="宋体" w:hAnsi="宋体" w:cs="宋体"/>
          <w:b/>
          <w:color w:val="auto"/>
          <w:kern w:val="0"/>
          <w:szCs w:val="21"/>
          <w:highlight w:val="none"/>
          <w:u w:val="single"/>
        </w:rPr>
      </w:pPr>
      <w:r>
        <w:rPr>
          <w:rFonts w:hint="eastAsia" w:ascii="宋体" w:hAnsi="宋体"/>
          <w:color w:val="auto"/>
          <w:szCs w:val="21"/>
          <w:highlight w:val="none"/>
        </w:rPr>
        <w:t>关于工程奖项的约定：</w:t>
      </w:r>
      <w:r>
        <w:rPr>
          <w:rFonts w:hint="eastAsia" w:ascii="宋体" w:hAnsi="宋体" w:cs="宋体"/>
          <w:b/>
          <w:color w:val="auto"/>
          <w:kern w:val="0"/>
          <w:szCs w:val="21"/>
          <w:highlight w:val="none"/>
          <w:u w:val="single"/>
        </w:rPr>
        <w:t>工程质量达不到协议书中约定的质量标准的,没收</w:t>
      </w:r>
      <w:r>
        <w:rPr>
          <w:rFonts w:hint="eastAsia" w:ascii="宋体" w:hAnsi="宋体" w:cs="宋体"/>
          <w:b/>
          <w:bCs/>
          <w:color w:val="auto"/>
          <w:kern w:val="0"/>
          <w:szCs w:val="21"/>
          <w:highlight w:val="none"/>
          <w:u w:val="single"/>
        </w:rPr>
        <w:t>履约保证金金额的40%</w:t>
      </w:r>
      <w:r>
        <w:rPr>
          <w:rFonts w:hint="eastAsia" w:ascii="宋体" w:hAnsi="宋体" w:cs="宋体"/>
          <w:b/>
          <w:color w:val="auto"/>
          <w:kern w:val="0"/>
          <w:szCs w:val="21"/>
          <w:highlight w:val="none"/>
          <w:u w:val="single"/>
        </w:rPr>
        <w:t>作为违约金  。</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5.3 隐蔽工程检查</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5.3.2</w:t>
      </w:r>
      <w:r>
        <w:rPr>
          <w:rFonts w:hint="eastAsia" w:ascii="宋体" w:hAnsi="宋体"/>
          <w:color w:val="auto"/>
          <w:szCs w:val="21"/>
          <w:highlight w:val="none"/>
        </w:rPr>
        <w:t>承包人</w:t>
      </w:r>
      <w:r>
        <w:rPr>
          <w:rFonts w:ascii="宋体" w:hAnsi="宋体"/>
          <w:color w:val="auto"/>
          <w:szCs w:val="21"/>
          <w:highlight w:val="none"/>
        </w:rPr>
        <w:t>提前通知监理人隐蔽工程检查的期限的约定：</w:t>
      </w:r>
      <w:r>
        <w:rPr>
          <w:rFonts w:hint="eastAsia" w:ascii="宋体" w:hAnsi="宋体"/>
          <w:b/>
          <w:color w:val="auto"/>
          <w:szCs w:val="21"/>
          <w:highlight w:val="none"/>
          <w:u w:val="single"/>
        </w:rPr>
        <w:t>共同检查前48小时书面通知监理人</w:t>
      </w:r>
      <w:r>
        <w:rPr>
          <w:rFonts w:hint="eastAsia"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监理人不能按时进行检查时，应提前</w:t>
      </w:r>
      <w:r>
        <w:rPr>
          <w:rFonts w:hint="eastAsia" w:ascii="宋体" w:hAnsi="宋体"/>
          <w:color w:val="auto"/>
          <w:szCs w:val="21"/>
          <w:highlight w:val="none"/>
          <w:u w:val="single"/>
        </w:rPr>
        <w:t>/</w:t>
      </w:r>
      <w:r>
        <w:rPr>
          <w:rFonts w:ascii="宋体" w:hAnsi="宋体"/>
          <w:color w:val="auto"/>
          <w:szCs w:val="21"/>
          <w:highlight w:val="none"/>
        </w:rPr>
        <w:t>小时提交书面延期要求。</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关于延期最长不得超过：</w:t>
      </w:r>
      <w:r>
        <w:rPr>
          <w:rFonts w:hint="eastAsia" w:ascii="宋体" w:hAnsi="宋体"/>
          <w:color w:val="auto"/>
          <w:szCs w:val="21"/>
          <w:highlight w:val="none"/>
          <w:u w:val="single"/>
        </w:rPr>
        <w:t>/</w:t>
      </w:r>
      <w:r>
        <w:rPr>
          <w:rFonts w:ascii="宋体" w:hAnsi="宋体"/>
          <w:color w:val="auto"/>
          <w:szCs w:val="21"/>
          <w:highlight w:val="none"/>
        </w:rPr>
        <w:t>小时。</w:t>
      </w:r>
    </w:p>
    <w:p>
      <w:pPr>
        <w:pStyle w:val="6"/>
        <w:spacing w:before="120" w:after="120" w:line="440" w:lineRule="exact"/>
        <w:rPr>
          <w:rFonts w:ascii="宋体" w:hAnsi="宋体"/>
          <w:color w:val="auto"/>
          <w:szCs w:val="21"/>
          <w:highlight w:val="none"/>
        </w:rPr>
      </w:pPr>
      <w:bookmarkStart w:id="177" w:name="_Toc351203638"/>
      <w:r>
        <w:rPr>
          <w:rFonts w:ascii="宋体" w:hAnsi="宋体"/>
          <w:color w:val="auto"/>
          <w:szCs w:val="21"/>
          <w:highlight w:val="none"/>
        </w:rPr>
        <w:t>6. 安全文明施工与环境保护</w:t>
      </w:r>
      <w:bookmarkEnd w:id="177"/>
    </w:p>
    <w:p>
      <w:pPr>
        <w:spacing w:line="440" w:lineRule="exact"/>
        <w:ind w:firstLine="420" w:firstLineChars="200"/>
        <w:rPr>
          <w:rFonts w:ascii="宋体" w:hAnsi="宋体"/>
          <w:color w:val="auto"/>
          <w:szCs w:val="21"/>
          <w:highlight w:val="none"/>
        </w:rPr>
      </w:pPr>
      <w:r>
        <w:rPr>
          <w:rFonts w:ascii="宋体" w:hAnsi="宋体"/>
          <w:color w:val="auto"/>
          <w:szCs w:val="21"/>
          <w:highlight w:val="none"/>
        </w:rPr>
        <w:t>6.1安全文明施工</w:t>
      </w:r>
    </w:p>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6.1.1 项目安全生产的达标目标及相应事项的约定：</w:t>
      </w:r>
    </w:p>
    <w:p>
      <w:pPr>
        <w:pStyle w:val="52"/>
        <w:spacing w:before="0" w:beforeAutospacing="0" w:after="0" w:afterAutospacing="0" w:line="460" w:lineRule="exact"/>
        <w:ind w:firstLine="420" w:firstLineChars="200"/>
        <w:rPr>
          <w:color w:val="auto"/>
          <w:sz w:val="21"/>
          <w:szCs w:val="21"/>
          <w:highlight w:val="none"/>
          <w:u w:val="single"/>
        </w:rPr>
      </w:pPr>
      <w:r>
        <w:rPr>
          <w:rFonts w:hint="eastAsia"/>
          <w:bCs/>
          <w:color w:val="auto"/>
          <w:sz w:val="21"/>
          <w:szCs w:val="21"/>
          <w:highlight w:val="none"/>
        </w:rPr>
        <w:t>（1）</w:t>
      </w:r>
      <w:r>
        <w:rPr>
          <w:rFonts w:hint="eastAsia"/>
          <w:color w:val="auto"/>
          <w:sz w:val="21"/>
          <w:szCs w:val="21"/>
          <w:highlight w:val="none"/>
          <w:u w:val="single" w:color="000000"/>
        </w:rPr>
        <w:t>承包人须对本合同范围内所</w:t>
      </w:r>
      <w:r>
        <w:rPr>
          <w:rFonts w:hint="eastAsia"/>
          <w:color w:val="auto"/>
          <w:sz w:val="21"/>
          <w:szCs w:val="21"/>
          <w:highlight w:val="none"/>
          <w:u w:val="single"/>
        </w:rPr>
        <w:t>有施工范</w:t>
      </w:r>
      <w:r>
        <w:rPr>
          <w:rFonts w:hint="eastAsia"/>
          <w:color w:val="auto"/>
          <w:sz w:val="21"/>
          <w:szCs w:val="21"/>
          <w:highlight w:val="none"/>
          <w:u w:val="single" w:color="000000"/>
        </w:rPr>
        <w:t>围和施工人员负全部安全施工责</w:t>
      </w:r>
      <w:r>
        <w:rPr>
          <w:rFonts w:hint="eastAsia"/>
          <w:color w:val="auto"/>
          <w:sz w:val="21"/>
          <w:szCs w:val="21"/>
          <w:highlight w:val="none"/>
          <w:u w:val="single"/>
        </w:rPr>
        <w:t>任。承包人应严格按</w:t>
      </w:r>
      <w:r>
        <w:rPr>
          <w:rFonts w:hint="eastAsia"/>
          <w:bCs/>
          <w:color w:val="auto"/>
          <w:sz w:val="21"/>
          <w:szCs w:val="21"/>
          <w:highlight w:val="none"/>
          <w:u w:val="single"/>
        </w:rPr>
        <w:t>《建设工程安全生产管理条例》等法律、</w:t>
      </w:r>
      <w:r>
        <w:rPr>
          <w:rFonts w:hint="eastAsia"/>
          <w:color w:val="auto"/>
          <w:sz w:val="21"/>
          <w:szCs w:val="21"/>
          <w:highlight w:val="none"/>
          <w:u w:val="single"/>
        </w:rPr>
        <w:t>工程建设安全生产地有关管理规定，采取安全措施组织施工。若发生安全事故，一切责任由承包方承担。</w:t>
      </w:r>
    </w:p>
    <w:p>
      <w:pPr>
        <w:pStyle w:val="52"/>
        <w:spacing w:before="0" w:beforeAutospacing="0" w:after="0" w:afterAutospacing="0" w:line="460" w:lineRule="exact"/>
        <w:ind w:firstLine="420" w:firstLineChars="200"/>
        <w:rPr>
          <w:bCs/>
          <w:color w:val="auto"/>
          <w:sz w:val="21"/>
          <w:szCs w:val="21"/>
          <w:highlight w:val="none"/>
          <w:u w:val="single"/>
        </w:rPr>
      </w:pPr>
      <w:r>
        <w:rPr>
          <w:rFonts w:hint="eastAsia"/>
          <w:color w:val="auto"/>
          <w:sz w:val="21"/>
          <w:szCs w:val="21"/>
          <w:highlight w:val="none"/>
        </w:rPr>
        <w:t>（2）</w:t>
      </w:r>
      <w:r>
        <w:rPr>
          <w:rFonts w:hint="eastAsia"/>
          <w:bCs/>
          <w:color w:val="auto"/>
          <w:sz w:val="21"/>
          <w:szCs w:val="21"/>
          <w:highlight w:val="none"/>
          <w:u w:val="single"/>
        </w:rPr>
        <w:t>承包人对施工现场安全生产负总责，现场必须按要求配备安全员，安全员及特种作业人员应持证上岗，如发包人检查到承包人人员不到位的，则发包人有权按</w:t>
      </w:r>
      <w:r>
        <w:rPr>
          <w:bCs/>
          <w:color w:val="auto"/>
          <w:sz w:val="21"/>
          <w:szCs w:val="21"/>
          <w:highlight w:val="none"/>
          <w:u w:val="single"/>
        </w:rPr>
        <w:t>1</w:t>
      </w:r>
      <w:r>
        <w:rPr>
          <w:rFonts w:hint="eastAsia"/>
          <w:bCs/>
          <w:color w:val="auto"/>
          <w:sz w:val="21"/>
          <w:szCs w:val="21"/>
          <w:highlight w:val="none"/>
          <w:u w:val="single"/>
        </w:rPr>
        <w:t>000元/人·次计取违约金，从工程款中直接扣除。</w:t>
      </w:r>
    </w:p>
    <w:p>
      <w:pPr>
        <w:spacing w:line="440" w:lineRule="exact"/>
        <w:ind w:firstLine="420" w:firstLineChars="200"/>
        <w:rPr>
          <w:rFonts w:ascii="宋体" w:hAnsi="宋体"/>
          <w:bCs/>
          <w:color w:val="auto"/>
          <w:szCs w:val="21"/>
          <w:highlight w:val="none"/>
          <w:u w:val="single"/>
        </w:rPr>
      </w:pPr>
      <w:r>
        <w:rPr>
          <w:rFonts w:hint="eastAsia" w:ascii="宋体" w:hAnsi="宋体"/>
          <w:bCs/>
          <w:color w:val="auto"/>
          <w:szCs w:val="21"/>
          <w:highlight w:val="none"/>
        </w:rPr>
        <w:t>（3）</w:t>
      </w:r>
      <w:r>
        <w:rPr>
          <w:rFonts w:hint="eastAsia" w:ascii="宋体" w:hAnsi="宋体"/>
          <w:bCs/>
          <w:color w:val="auto"/>
          <w:szCs w:val="21"/>
          <w:highlight w:val="none"/>
          <w:u w:val="single"/>
        </w:rPr>
        <w:t>工程施工前和施工中，承包人项目经理或技术负责人应当对有关安全施工技术进行交底； 承包人必须编制安全施工措施和施工现场临时用电、施工现场周边及主要通道的安全防护措施及其它有关法规要求的专项施工方案，专项施工方案必须经本单位技术负责人批准后，报发包人代表和现场监理批准后实施。</w:t>
      </w:r>
    </w:p>
    <w:p>
      <w:pPr>
        <w:spacing w:line="440" w:lineRule="exact"/>
        <w:ind w:firstLine="420" w:firstLineChars="200"/>
        <w:rPr>
          <w:rFonts w:ascii="宋体" w:hAnsi="宋体"/>
          <w:bCs/>
          <w:color w:val="auto"/>
          <w:szCs w:val="21"/>
          <w:highlight w:val="none"/>
          <w:u w:val="single"/>
        </w:rPr>
      </w:pPr>
      <w:r>
        <w:rPr>
          <w:rFonts w:hint="eastAsia" w:ascii="宋体" w:hAnsi="宋体"/>
          <w:bCs/>
          <w:color w:val="auto"/>
          <w:szCs w:val="21"/>
          <w:highlight w:val="none"/>
          <w:u w:val="single"/>
        </w:rPr>
        <w:t>工程施工前，承包人应根据法律、法规、规范、标准等要求，制定安全施工标准及要求，负责向施工作业班组、作业人员作出详细的说明，并由双方签字确认。</w:t>
      </w:r>
    </w:p>
    <w:p>
      <w:pPr>
        <w:spacing w:line="440" w:lineRule="exact"/>
        <w:ind w:firstLine="420" w:firstLineChars="200"/>
        <w:rPr>
          <w:rFonts w:ascii="宋体" w:hAnsi="宋体"/>
          <w:bCs/>
          <w:color w:val="auto"/>
          <w:szCs w:val="21"/>
          <w:highlight w:val="none"/>
          <w:u w:val="single"/>
        </w:rPr>
      </w:pPr>
      <w:r>
        <w:rPr>
          <w:rFonts w:hint="eastAsia" w:ascii="宋体" w:hAnsi="宋体"/>
          <w:bCs/>
          <w:color w:val="auto"/>
          <w:szCs w:val="21"/>
          <w:highlight w:val="none"/>
          <w:u w:val="single"/>
        </w:rPr>
        <w:t>工程施工前，承包人使用的安全防护用具、机械设备、施工机具及配件，应当具有生产（制造）许可证、产品合格证，并在进入施工现场前进行查验，经监理工程师签字确认后方可使用。</w:t>
      </w:r>
    </w:p>
    <w:p>
      <w:pPr>
        <w:spacing w:line="440" w:lineRule="exact"/>
        <w:ind w:firstLine="420" w:firstLineChars="200"/>
        <w:rPr>
          <w:rFonts w:ascii="宋体" w:hAnsi="宋体"/>
          <w:bCs/>
          <w:color w:val="auto"/>
          <w:szCs w:val="21"/>
          <w:highlight w:val="none"/>
          <w:u w:val="single"/>
        </w:rPr>
      </w:pPr>
      <w:r>
        <w:rPr>
          <w:rFonts w:hint="eastAsia" w:ascii="宋体" w:hAnsi="宋体"/>
          <w:bCs/>
          <w:color w:val="auto"/>
          <w:szCs w:val="21"/>
          <w:highlight w:val="none"/>
          <w:u w:val="single"/>
        </w:rPr>
        <w:t>特种作业人员，必须按照国家有关规定经过专门的安全作业培训，并取得特种作业操作资格证书后，方可上岗作业。</w:t>
      </w:r>
    </w:p>
    <w:p>
      <w:pPr>
        <w:spacing w:line="440" w:lineRule="exact"/>
        <w:ind w:firstLine="420" w:firstLineChars="200"/>
        <w:rPr>
          <w:rFonts w:ascii="宋体" w:hAnsi="宋体"/>
          <w:bCs/>
          <w:color w:val="auto"/>
          <w:szCs w:val="21"/>
          <w:highlight w:val="none"/>
          <w:u w:val="single"/>
        </w:rPr>
      </w:pPr>
      <w:r>
        <w:rPr>
          <w:rFonts w:hint="eastAsia" w:ascii="宋体" w:hAnsi="宋体"/>
          <w:bCs/>
          <w:color w:val="auto"/>
          <w:szCs w:val="21"/>
          <w:highlight w:val="none"/>
          <w:u w:val="single"/>
        </w:rPr>
        <w:t>未能达到上述（1）-（3）条要求，发包人有权扣除承包人履约保证金的5%-10%。</w:t>
      </w:r>
    </w:p>
    <w:p>
      <w:pPr>
        <w:spacing w:line="440" w:lineRule="exact"/>
        <w:ind w:firstLine="420" w:firstLineChars="200"/>
        <w:rPr>
          <w:rFonts w:ascii="宋体" w:hAnsi="宋体"/>
          <w:bCs/>
          <w:color w:val="auto"/>
          <w:szCs w:val="21"/>
          <w:highlight w:val="none"/>
          <w:u w:val="single"/>
        </w:rPr>
      </w:pPr>
      <w:r>
        <w:rPr>
          <w:rFonts w:hint="eastAsia" w:ascii="宋体" w:hAnsi="宋体"/>
          <w:bCs/>
          <w:color w:val="auto"/>
          <w:szCs w:val="21"/>
          <w:highlight w:val="none"/>
          <w:u w:val="single"/>
        </w:rPr>
        <w:t>（4）承包人应严格按《建设工程安全生产管理条例》等法律、法规采取安全措施、组织</w:t>
      </w:r>
    </w:p>
    <w:p>
      <w:pPr>
        <w:spacing w:line="440" w:lineRule="exact"/>
        <w:ind w:firstLine="420" w:firstLineChars="200"/>
        <w:rPr>
          <w:rFonts w:ascii="宋体" w:hAnsi="宋体"/>
          <w:bCs/>
          <w:color w:val="auto"/>
          <w:szCs w:val="21"/>
          <w:highlight w:val="none"/>
          <w:u w:val="single"/>
        </w:rPr>
      </w:pPr>
      <w:r>
        <w:rPr>
          <w:rFonts w:hint="eastAsia" w:ascii="宋体" w:hAnsi="宋体"/>
          <w:bCs/>
          <w:color w:val="auto"/>
          <w:szCs w:val="21"/>
          <w:highlight w:val="none"/>
          <w:u w:val="single"/>
        </w:rPr>
        <w:t>（5）建立安全制度、安全检查制度、安全教育制度、工地班前活动制度、文明施工检查制度。满足江苏省、南通市等安监部门安全文明生产的要求，做好安全技术教育及交底，落实所有安全技术措施和人身防护用品。</w:t>
      </w:r>
    </w:p>
    <w:p>
      <w:pPr>
        <w:spacing w:line="440" w:lineRule="exact"/>
        <w:ind w:firstLine="420" w:firstLineChars="200"/>
        <w:rPr>
          <w:rFonts w:ascii="宋体" w:hAnsi="宋体"/>
          <w:bCs/>
          <w:color w:val="auto"/>
          <w:szCs w:val="21"/>
          <w:highlight w:val="none"/>
        </w:rPr>
      </w:pPr>
      <w:r>
        <w:rPr>
          <w:rFonts w:hint="eastAsia" w:ascii="宋体" w:hAnsi="宋体"/>
          <w:bCs/>
          <w:color w:val="auto"/>
          <w:szCs w:val="21"/>
          <w:highlight w:val="none"/>
          <w:u w:val="single"/>
        </w:rPr>
        <w:t>（6）</w:t>
      </w:r>
      <w:r>
        <w:rPr>
          <w:rFonts w:hint="eastAsia" w:ascii="宋体" w:hAnsi="宋体"/>
          <w:b/>
          <w:color w:val="auto"/>
          <w:szCs w:val="21"/>
          <w:highlight w:val="none"/>
          <w:u w:val="single"/>
        </w:rPr>
        <w:t>凡</w:t>
      </w:r>
      <w:r>
        <w:rPr>
          <w:rFonts w:hint="eastAsia" w:ascii="宋体" w:hAnsi="宋体"/>
          <w:b/>
          <w:bCs/>
          <w:color w:val="auto"/>
          <w:szCs w:val="21"/>
          <w:highlight w:val="none"/>
          <w:u w:val="single"/>
        </w:rPr>
        <w:t>在施工期间，由于承包人原因造成的事故，除根据事故的严重程度或等级扣除部分或全部安全文明施工履约保证金外，还需承担全部责任及由此引起的一切费用，发包人不承担任何责任。</w:t>
      </w:r>
    </w:p>
    <w:p>
      <w:pPr>
        <w:spacing w:line="440" w:lineRule="exact"/>
        <w:ind w:firstLine="525" w:firstLineChars="250"/>
        <w:jc w:val="left"/>
        <w:rPr>
          <w:rFonts w:ascii="宋体" w:hAnsi="宋体"/>
          <w:color w:val="auto"/>
          <w:szCs w:val="21"/>
          <w:highlight w:val="none"/>
        </w:rPr>
      </w:pPr>
      <w:r>
        <w:rPr>
          <w:rFonts w:hint="eastAsia" w:ascii="宋体" w:hAnsi="宋体"/>
          <w:color w:val="auto"/>
          <w:szCs w:val="21"/>
          <w:highlight w:val="none"/>
        </w:rPr>
        <w:t>6.1.4 关于治安保卫的特别约定：</w:t>
      </w:r>
      <w:r>
        <w:rPr>
          <w:rFonts w:hint="eastAsia" w:ascii="宋体" w:hAnsi="宋体"/>
          <w:bCs/>
          <w:color w:val="auto"/>
          <w:szCs w:val="21"/>
          <w:highlight w:val="none"/>
          <w:u w:val="single"/>
        </w:rPr>
        <w:t>施工期间承包人按发包人要求做好成品保护工作；发包人另行发包的工程每项工程完成后，经发包方、总承包方、分包方三方验收合格后，交总承包方负责总包管理</w:t>
      </w:r>
      <w:r>
        <w:rPr>
          <w:rFonts w:hint="eastAsia" w:ascii="宋体" w:hAnsi="宋体"/>
          <w:color w:val="auto"/>
          <w:szCs w:val="21"/>
          <w:highlight w:val="none"/>
        </w:rPr>
        <w:t>。</w:t>
      </w:r>
    </w:p>
    <w:p>
      <w:pPr>
        <w:spacing w:line="440" w:lineRule="exact"/>
        <w:ind w:left="479" w:leftChars="228"/>
        <w:jc w:val="left"/>
        <w:rPr>
          <w:rFonts w:ascii="宋体" w:hAnsi="宋体"/>
          <w:b/>
          <w:color w:val="auto"/>
          <w:spacing w:val="-7"/>
          <w:szCs w:val="21"/>
          <w:highlight w:val="none"/>
          <w:u w:val="single"/>
        </w:rPr>
      </w:pPr>
      <w:r>
        <w:rPr>
          <w:rFonts w:hint="eastAsia" w:ascii="宋体" w:hAnsi="宋体"/>
          <w:color w:val="auto"/>
          <w:szCs w:val="21"/>
          <w:highlight w:val="none"/>
        </w:rPr>
        <w:t>关于编制施工场地治安管理计划的约定：</w:t>
      </w:r>
      <w:r>
        <w:rPr>
          <w:rFonts w:hint="eastAsia" w:ascii="宋体" w:hAnsi="宋体"/>
          <w:b/>
          <w:color w:val="auto"/>
          <w:szCs w:val="21"/>
          <w:highlight w:val="none"/>
          <w:u w:val="single"/>
        </w:rPr>
        <w:t>开</w:t>
      </w:r>
      <w:r>
        <w:rPr>
          <w:rFonts w:hint="eastAsia" w:ascii="宋体" w:hAnsi="宋体"/>
          <w:b/>
          <w:color w:val="auto"/>
          <w:spacing w:val="-7"/>
          <w:szCs w:val="21"/>
          <w:highlight w:val="none"/>
          <w:u w:val="single"/>
        </w:rPr>
        <w:t>工前三天提供施工场地治安管理计划。</w:t>
      </w:r>
    </w:p>
    <w:p>
      <w:pPr>
        <w:spacing w:line="440" w:lineRule="exact"/>
        <w:ind w:left="479" w:leftChars="228"/>
        <w:jc w:val="left"/>
        <w:rPr>
          <w:rFonts w:ascii="宋体" w:hAnsi="宋体"/>
          <w:color w:val="auto"/>
          <w:szCs w:val="21"/>
          <w:highlight w:val="none"/>
        </w:rPr>
      </w:pPr>
      <w:r>
        <w:rPr>
          <w:rFonts w:hint="eastAsia" w:ascii="宋体" w:hAnsi="宋体"/>
          <w:color w:val="auto"/>
          <w:szCs w:val="21"/>
          <w:highlight w:val="none"/>
        </w:rPr>
        <w:t>6.1.5 文明施工</w:t>
      </w:r>
    </w:p>
    <w:p>
      <w:pPr>
        <w:autoSpaceDE w:val="0"/>
        <w:autoSpaceDN w:val="0"/>
        <w:adjustRightInd w:val="0"/>
        <w:spacing w:line="440" w:lineRule="exact"/>
        <w:ind w:firstLine="420" w:firstLineChars="200"/>
        <w:rPr>
          <w:rFonts w:ascii="宋体" w:hAnsi="宋体"/>
          <w:bCs/>
          <w:color w:val="auto"/>
          <w:szCs w:val="21"/>
          <w:highlight w:val="none"/>
          <w:u w:val="single"/>
        </w:rPr>
      </w:pPr>
      <w:r>
        <w:rPr>
          <w:rFonts w:hint="eastAsia" w:ascii="宋体" w:hAnsi="宋体"/>
          <w:color w:val="auto"/>
          <w:szCs w:val="21"/>
          <w:highlight w:val="none"/>
        </w:rPr>
        <w:t>合同当事人对文明施工的要求：</w:t>
      </w:r>
      <w:r>
        <w:rPr>
          <w:rFonts w:hint="eastAsia" w:ascii="宋体" w:hAnsi="宋体"/>
          <w:bCs/>
          <w:color w:val="auto"/>
          <w:szCs w:val="21"/>
          <w:highlight w:val="none"/>
          <w:u w:val="single"/>
        </w:rPr>
        <w:t>承包人必须按照市级标化工地标准和要求，施工现场的材料堆放要整齐，机械停放有序，做到工完料清；遵守环境卫生管理的有关规定，符合清洁卫生要求，承担因自身原因违反有关规定造成的损失和罚款；定期地将所有建筑垃圾从施工场地清除，并运出场外；交工前，将所有剩余的建筑材料运走或运至指定地点堆放，将所有施工机械和设备从施工场地运走。做好场地清理及相关工作。上述费用包含在合同价中。未能达到上述要求发包人有权扣除部分履约保证金。若承包人现场施工作业面、办公区、生活区内清洁卫生满足不了文明施工要求，发包人有权安排其它单位或个人打扫，按具体发生费用的2倍及以上由承包人缴纳至发包人指定账户或从其工程款中扣除。承包人必须服从发包人现场的统一管理和协调，做到文明施工。施工现场要设立标语、标牌，做到文明施工，树立企业形象，主动接受社会监督和有关部门的管理 。</w:t>
      </w:r>
    </w:p>
    <w:p>
      <w:pPr>
        <w:spacing w:line="440" w:lineRule="exact"/>
        <w:ind w:firstLine="459"/>
        <w:rPr>
          <w:rFonts w:ascii="宋体" w:hAnsi="宋体"/>
          <w:color w:val="auto"/>
          <w:szCs w:val="21"/>
          <w:highlight w:val="none"/>
        </w:rPr>
      </w:pPr>
      <w:r>
        <w:rPr>
          <w:rFonts w:hint="eastAsia" w:ascii="宋体" w:hAnsi="宋体"/>
          <w:color w:val="auto"/>
          <w:szCs w:val="21"/>
          <w:highlight w:val="none"/>
        </w:rPr>
        <w:t>6.1.6 关于安全文明施工费支付比例和支付期限的约定：</w:t>
      </w:r>
      <w:r>
        <w:rPr>
          <w:rFonts w:hint="eastAsia" w:ascii="宋体" w:hAnsi="宋体"/>
          <w:color w:val="auto"/>
          <w:szCs w:val="21"/>
          <w:highlight w:val="none"/>
          <w:u w:val="single"/>
        </w:rPr>
        <w:t xml:space="preserve"> 无  </w:t>
      </w:r>
      <w:r>
        <w:rPr>
          <w:rFonts w:ascii="宋体" w:hAnsi="宋体"/>
          <w:color w:val="auto"/>
          <w:szCs w:val="21"/>
          <w:highlight w:val="none"/>
        </w:rPr>
        <w:t>。</w:t>
      </w:r>
    </w:p>
    <w:p>
      <w:pPr>
        <w:spacing w:line="440" w:lineRule="exact"/>
        <w:ind w:left="479" w:leftChars="228"/>
        <w:jc w:val="left"/>
        <w:rPr>
          <w:rFonts w:ascii="宋体" w:hAnsi="宋体"/>
          <w:color w:val="auto"/>
          <w:szCs w:val="21"/>
          <w:highlight w:val="none"/>
        </w:rPr>
      </w:pPr>
      <w:r>
        <w:rPr>
          <w:rFonts w:hint="eastAsia" w:ascii="宋体" w:hAnsi="宋体"/>
          <w:color w:val="auto"/>
          <w:szCs w:val="21"/>
          <w:highlight w:val="none"/>
        </w:rPr>
        <w:t>6.1.9安全生产责任</w:t>
      </w:r>
    </w:p>
    <w:p>
      <w:pPr>
        <w:spacing w:line="440" w:lineRule="exact"/>
        <w:ind w:firstLine="420" w:firstLineChars="200"/>
        <w:jc w:val="left"/>
        <w:rPr>
          <w:rFonts w:ascii="宋体" w:hAnsi="宋体" w:cs="Arial"/>
          <w:color w:val="auto"/>
          <w:kern w:val="0"/>
          <w:szCs w:val="21"/>
          <w:highlight w:val="none"/>
          <w:u w:val="single"/>
        </w:rPr>
      </w:pPr>
      <w:r>
        <w:rPr>
          <w:rFonts w:hint="eastAsia" w:ascii="宋体" w:hAnsi="宋体"/>
          <w:color w:val="auto"/>
          <w:szCs w:val="21"/>
          <w:highlight w:val="none"/>
          <w:u w:val="single"/>
        </w:rPr>
        <w:t>承包</w:t>
      </w:r>
      <w:r>
        <w:rPr>
          <w:rFonts w:hint="eastAsia" w:ascii="宋体" w:hAnsi="宋体" w:cs="Arial"/>
          <w:color w:val="auto"/>
          <w:kern w:val="0"/>
          <w:szCs w:val="21"/>
          <w:highlight w:val="none"/>
          <w:u w:val="single"/>
        </w:rPr>
        <w:t>人应严格按《建设工程安全生产管理条例》等法律、法规采取安全措施、组织施工，承包人须对本合同范围内所有施工范围和施工人员负全部安全施工责任。承包人应严格按工程建设安全生产地有关管理规定，采取安全措施组织施工。若发生安全事故，一切责任由承包方承担。</w:t>
      </w:r>
    </w:p>
    <w:p>
      <w:pPr>
        <w:spacing w:line="440" w:lineRule="exact"/>
        <w:ind w:firstLine="459"/>
        <w:rPr>
          <w:rFonts w:ascii="宋体" w:hAnsi="宋体" w:cs="Arial"/>
          <w:color w:val="auto"/>
          <w:kern w:val="0"/>
          <w:szCs w:val="21"/>
          <w:highlight w:val="none"/>
          <w:u w:val="single"/>
        </w:rPr>
      </w:pPr>
      <w:r>
        <w:rPr>
          <w:rFonts w:hint="eastAsia" w:ascii="宋体" w:hAnsi="宋体" w:cs="Arial"/>
          <w:color w:val="auto"/>
          <w:kern w:val="0"/>
          <w:szCs w:val="21"/>
          <w:highlight w:val="none"/>
          <w:u w:val="single"/>
        </w:rPr>
        <w:t>承包人对因工程施工可能造成损害的毗邻建筑物、构筑物和地下管线等，应当采取专项防护措施。承包人应当遵守有关环境保护法律、法规的规定，在施工现场采取措施，防止或减少粉尘、废气、废水、固体废物、噪声、振动和施工照明对人和环境的危害和污染。</w:t>
      </w:r>
    </w:p>
    <w:p>
      <w:pPr>
        <w:spacing w:line="440" w:lineRule="exact"/>
        <w:ind w:firstLine="459"/>
        <w:rPr>
          <w:rFonts w:ascii="宋体" w:hAnsi="宋体" w:cs="Arial"/>
          <w:color w:val="auto"/>
          <w:kern w:val="0"/>
          <w:szCs w:val="21"/>
          <w:highlight w:val="none"/>
          <w:u w:val="single"/>
        </w:rPr>
      </w:pPr>
      <w:r>
        <w:rPr>
          <w:rFonts w:hint="eastAsia" w:ascii="宋体" w:hAnsi="宋体" w:cs="Arial"/>
          <w:color w:val="auto"/>
          <w:kern w:val="0"/>
          <w:szCs w:val="21"/>
          <w:highlight w:val="none"/>
          <w:u w:val="single"/>
        </w:rPr>
        <w:t>承包人必须建立完善的消防管理制度，并有专人负责现场的消防管理，施工现场须配备足够的消防器材，满足消防要求。承包人应当在施工现场建立消防安全责任制，确定消防安全责任人，制定用火、用电，使用易燃易爆材料等各项消防安全管理制度和操作规程，设置消防通道、消防水源，配备消防设施和灭火器材，并在施工现场设置明显标志。</w:t>
      </w:r>
    </w:p>
    <w:bookmarkEnd w:id="170"/>
    <w:bookmarkEnd w:id="171"/>
    <w:bookmarkEnd w:id="172"/>
    <w:bookmarkEnd w:id="173"/>
    <w:bookmarkEnd w:id="174"/>
    <w:bookmarkEnd w:id="175"/>
    <w:bookmarkEnd w:id="176"/>
    <w:p>
      <w:pPr>
        <w:pStyle w:val="6"/>
        <w:spacing w:before="120" w:after="120" w:line="440" w:lineRule="exact"/>
        <w:rPr>
          <w:rFonts w:ascii="宋体" w:hAnsi="宋体"/>
          <w:color w:val="auto"/>
          <w:szCs w:val="21"/>
          <w:highlight w:val="none"/>
        </w:rPr>
      </w:pPr>
      <w:bookmarkStart w:id="178" w:name="_Toc351203639"/>
      <w:r>
        <w:rPr>
          <w:rFonts w:ascii="宋体" w:hAnsi="宋体"/>
          <w:color w:val="auto"/>
          <w:szCs w:val="21"/>
          <w:highlight w:val="none"/>
        </w:rPr>
        <w:t>7. 工期和进</w:t>
      </w:r>
      <w:r>
        <w:rPr>
          <w:rFonts w:hint="eastAsia" w:ascii="宋体" w:hAnsi="宋体"/>
          <w:color w:val="auto"/>
          <w:szCs w:val="21"/>
          <w:highlight w:val="none"/>
        </w:rPr>
        <w:t>度</w:t>
      </w:r>
      <w:bookmarkEnd w:id="178"/>
    </w:p>
    <w:p>
      <w:pPr>
        <w:spacing w:line="440" w:lineRule="exact"/>
        <w:ind w:firstLine="459"/>
        <w:rPr>
          <w:rFonts w:ascii="宋体" w:hAnsi="宋体"/>
          <w:color w:val="auto"/>
          <w:szCs w:val="21"/>
          <w:highlight w:val="none"/>
        </w:rPr>
      </w:pPr>
      <w:r>
        <w:rPr>
          <w:rFonts w:hint="eastAsia" w:ascii="宋体" w:hAnsi="宋体"/>
          <w:color w:val="auto"/>
          <w:szCs w:val="21"/>
          <w:highlight w:val="none"/>
        </w:rPr>
        <w:t>7.1 施工组织设计</w:t>
      </w:r>
    </w:p>
    <w:p>
      <w:pPr>
        <w:spacing w:line="440" w:lineRule="exact"/>
        <w:ind w:firstLine="459"/>
        <w:rPr>
          <w:rFonts w:ascii="宋体" w:hAnsi="宋体"/>
          <w:b/>
          <w:bCs/>
          <w:color w:val="auto"/>
          <w:szCs w:val="21"/>
          <w:highlight w:val="none"/>
          <w:u w:val="single"/>
        </w:rPr>
      </w:pPr>
      <w:r>
        <w:rPr>
          <w:rFonts w:hint="eastAsia" w:ascii="宋体" w:hAnsi="宋体"/>
          <w:color w:val="auto"/>
          <w:szCs w:val="21"/>
          <w:highlight w:val="none"/>
        </w:rPr>
        <w:t>7.1.1 合</w:t>
      </w:r>
      <w:r>
        <w:rPr>
          <w:rFonts w:hint="eastAsia" w:ascii="宋体" w:hAnsi="宋体"/>
          <w:color w:val="auto"/>
          <w:kern w:val="0"/>
          <w:szCs w:val="21"/>
          <w:highlight w:val="none"/>
        </w:rPr>
        <w:t>同当事人约定的</w:t>
      </w:r>
      <w:r>
        <w:rPr>
          <w:rFonts w:ascii="宋体" w:hAnsi="宋体"/>
          <w:color w:val="auto"/>
          <w:kern w:val="0"/>
          <w:szCs w:val="21"/>
          <w:highlight w:val="none"/>
        </w:rPr>
        <w:t>施工组织设计</w:t>
      </w:r>
      <w:r>
        <w:rPr>
          <w:rFonts w:hint="eastAsia" w:ascii="宋体" w:hAnsi="宋体"/>
          <w:color w:val="auto"/>
          <w:kern w:val="0"/>
          <w:szCs w:val="21"/>
          <w:highlight w:val="none"/>
        </w:rPr>
        <w:t>应包括的其他内容</w:t>
      </w:r>
      <w:r>
        <w:rPr>
          <w:rFonts w:ascii="宋体" w:hAnsi="宋体"/>
          <w:color w:val="auto"/>
          <w:kern w:val="0"/>
          <w:szCs w:val="21"/>
          <w:highlight w:val="none"/>
        </w:rPr>
        <w:t>：</w:t>
      </w:r>
      <w:r>
        <w:rPr>
          <w:rFonts w:hint="eastAsia" w:ascii="宋体" w:hAnsi="宋体"/>
          <w:b/>
          <w:color w:val="auto"/>
          <w:spacing w:val="-2"/>
          <w:kern w:val="0"/>
          <w:szCs w:val="21"/>
          <w:highlight w:val="none"/>
          <w:u w:val="single"/>
        </w:rPr>
        <w:t>承包人</w:t>
      </w:r>
      <w:r>
        <w:rPr>
          <w:rFonts w:hint="eastAsia" w:ascii="宋体" w:hAnsi="宋体"/>
          <w:b/>
          <w:color w:val="auto"/>
          <w:spacing w:val="-2"/>
          <w:szCs w:val="21"/>
          <w:highlight w:val="none"/>
          <w:u w:val="single"/>
        </w:rPr>
        <w:t>在开工前必须提交详细的施工组织设计，报发包人及总监审批，施工组织设计经发包人及监理认可后</w:t>
      </w:r>
      <w:r>
        <w:rPr>
          <w:rFonts w:hint="eastAsia" w:ascii="宋体" w:hAnsi="宋体"/>
          <w:b/>
          <w:color w:val="auto"/>
          <w:spacing w:val="-2"/>
          <w:kern w:val="0"/>
          <w:szCs w:val="21"/>
          <w:highlight w:val="none"/>
          <w:u w:val="single"/>
        </w:rPr>
        <w:t>方可</w:t>
      </w:r>
      <w:r>
        <w:rPr>
          <w:rFonts w:hint="eastAsia" w:ascii="宋体" w:hAnsi="宋体"/>
          <w:b/>
          <w:bCs/>
          <w:color w:val="auto"/>
          <w:szCs w:val="21"/>
          <w:highlight w:val="none"/>
          <w:u w:val="single"/>
        </w:rPr>
        <w:t>开工。</w:t>
      </w:r>
    </w:p>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7.1.2 施工组织设计的提交和修改</w:t>
      </w:r>
    </w:p>
    <w:p>
      <w:pPr>
        <w:spacing w:line="440" w:lineRule="exact"/>
        <w:ind w:firstLine="420" w:firstLineChars="200"/>
        <w:rPr>
          <w:rFonts w:ascii="宋体" w:hAnsi="宋体"/>
          <w:color w:val="auto"/>
          <w:szCs w:val="21"/>
          <w:highlight w:val="none"/>
          <w:u w:val="single"/>
        </w:rPr>
      </w:pPr>
      <w:r>
        <w:rPr>
          <w:rFonts w:hint="eastAsia" w:ascii="宋体" w:hAnsi="宋体"/>
          <w:color w:val="auto"/>
          <w:szCs w:val="21"/>
          <w:highlight w:val="none"/>
        </w:rPr>
        <w:t>承包</w:t>
      </w:r>
      <w:r>
        <w:rPr>
          <w:rFonts w:hint="eastAsia" w:ascii="宋体" w:hAnsi="宋体"/>
          <w:color w:val="auto"/>
          <w:kern w:val="0"/>
          <w:szCs w:val="21"/>
          <w:highlight w:val="none"/>
        </w:rPr>
        <w:t>人</w:t>
      </w:r>
      <w:r>
        <w:rPr>
          <w:rFonts w:ascii="宋体" w:hAnsi="宋体"/>
          <w:color w:val="auto"/>
          <w:kern w:val="0"/>
          <w:szCs w:val="21"/>
          <w:highlight w:val="none"/>
        </w:rPr>
        <w:t>提交详细施工组织设计的期限的约定：</w:t>
      </w:r>
      <w:r>
        <w:rPr>
          <w:rFonts w:hint="eastAsia" w:ascii="宋体" w:hAnsi="宋体"/>
          <w:b/>
          <w:color w:val="auto"/>
          <w:szCs w:val="21"/>
          <w:highlight w:val="none"/>
          <w:u w:val="single"/>
        </w:rPr>
        <w:t>开工前3天</w:t>
      </w:r>
      <w:r>
        <w:rPr>
          <w:rFonts w:hint="eastAsia" w:ascii="宋体" w:hAnsi="宋体"/>
          <w:color w:val="auto"/>
          <w:szCs w:val="21"/>
          <w:highlight w:val="none"/>
          <w:u w:val="single"/>
        </w:rPr>
        <w:t>。</w:t>
      </w:r>
    </w:p>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承包人编制的进度计划中应明确各分部完成的具体时间，关键线路，劳动力动态变化图等。发包人或监理每天记录施工人数，实际施工人数小于计划人数时，承包人按所缺人数向发包人支付违约金5</w:t>
      </w:r>
      <w:r>
        <w:rPr>
          <w:rFonts w:ascii="宋体" w:hAnsi="宋体"/>
          <w:color w:val="auto"/>
          <w:szCs w:val="21"/>
          <w:highlight w:val="none"/>
        </w:rPr>
        <w:t>00</w:t>
      </w:r>
      <w:r>
        <w:rPr>
          <w:rFonts w:hint="eastAsia" w:ascii="宋体" w:hAnsi="宋体"/>
          <w:color w:val="auto"/>
          <w:szCs w:val="21"/>
          <w:highlight w:val="none"/>
        </w:rPr>
        <w:t>元</w:t>
      </w:r>
      <w:r>
        <w:rPr>
          <w:rFonts w:ascii="宋体" w:hAnsi="宋体"/>
          <w:color w:val="auto"/>
          <w:szCs w:val="21"/>
          <w:highlight w:val="none"/>
        </w:rPr>
        <w:t>/</w:t>
      </w:r>
      <w:r>
        <w:rPr>
          <w:rFonts w:hint="eastAsia" w:ascii="宋体" w:hAnsi="宋体"/>
          <w:color w:val="auto"/>
          <w:szCs w:val="21"/>
          <w:highlight w:val="none"/>
        </w:rPr>
        <w:t>人·天。</w:t>
      </w:r>
    </w:p>
    <w:p>
      <w:pPr>
        <w:spacing w:line="480" w:lineRule="exact"/>
        <w:ind w:firstLine="420" w:firstLineChars="200"/>
        <w:jc w:val="left"/>
        <w:rPr>
          <w:rFonts w:ascii="宋体" w:hAnsi="宋体"/>
          <w:color w:val="auto"/>
          <w:szCs w:val="21"/>
          <w:highlight w:val="none"/>
          <w:u w:val="single"/>
        </w:rPr>
      </w:pPr>
      <w:r>
        <w:rPr>
          <w:rFonts w:ascii="宋体" w:hAnsi="宋体"/>
          <w:color w:val="auto"/>
          <w:szCs w:val="21"/>
          <w:highlight w:val="none"/>
        </w:rPr>
        <w:t>发包人和监理人在收到</w:t>
      </w:r>
      <w:r>
        <w:rPr>
          <w:rFonts w:hint="eastAsia" w:ascii="宋体" w:hAnsi="宋体"/>
          <w:color w:val="auto"/>
          <w:szCs w:val="21"/>
          <w:highlight w:val="none"/>
        </w:rPr>
        <w:t>详细的施工组织设计</w:t>
      </w:r>
      <w:r>
        <w:rPr>
          <w:rFonts w:ascii="宋体" w:hAnsi="宋体"/>
          <w:color w:val="auto"/>
          <w:szCs w:val="21"/>
          <w:highlight w:val="none"/>
        </w:rPr>
        <w:t>后确认或提出修改意见的期限：</w:t>
      </w:r>
      <w:r>
        <w:rPr>
          <w:rFonts w:hint="eastAsia" w:ascii="宋体" w:hAnsi="宋体"/>
          <w:b/>
          <w:color w:val="auto"/>
          <w:szCs w:val="21"/>
          <w:highlight w:val="none"/>
          <w:u w:val="single"/>
        </w:rPr>
        <w:t>收</w:t>
      </w:r>
      <w:r>
        <w:rPr>
          <w:rFonts w:hint="eastAsia" w:ascii="宋体" w:hAnsi="宋体"/>
          <w:color w:val="auto"/>
          <w:szCs w:val="21"/>
          <w:highlight w:val="none"/>
          <w:u w:val="single"/>
        </w:rPr>
        <w:t>到后3天内</w:t>
      </w:r>
      <w:r>
        <w:rPr>
          <w:rFonts w:ascii="宋体" w:hAnsi="宋体"/>
          <w:color w:val="auto"/>
          <w:szCs w:val="21"/>
          <w:highlight w:val="none"/>
          <w:u w:val="single"/>
        </w:rPr>
        <w:t xml:space="preserve"> 。</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7</w:t>
      </w:r>
      <w:bookmarkStart w:id="179" w:name="_Toc312678005"/>
      <w:bookmarkStart w:id="180" w:name="_Toc304295541"/>
      <w:bookmarkStart w:id="181" w:name="_Toc297123514"/>
      <w:bookmarkStart w:id="182" w:name="_Toc303539123"/>
      <w:bookmarkStart w:id="183" w:name="_Toc297216173"/>
      <w:bookmarkStart w:id="184" w:name="_Toc300934966"/>
      <w:bookmarkStart w:id="185" w:name="_Toc312677479"/>
      <w:r>
        <w:rPr>
          <w:rFonts w:ascii="宋体" w:hAnsi="宋体"/>
          <w:color w:val="auto"/>
          <w:szCs w:val="21"/>
          <w:highlight w:val="none"/>
        </w:rPr>
        <w:t>.2 施工进度计划</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7.2.2 施工进度计划的修订</w:t>
      </w:r>
    </w:p>
    <w:p>
      <w:pPr>
        <w:spacing w:line="440" w:lineRule="exact"/>
        <w:ind w:firstLine="420" w:firstLineChars="200"/>
        <w:rPr>
          <w:rFonts w:ascii="宋体" w:hAnsi="宋体"/>
          <w:color w:val="auto"/>
          <w:szCs w:val="21"/>
          <w:highlight w:val="none"/>
          <w:u w:val="single"/>
        </w:rPr>
      </w:pPr>
      <w:r>
        <w:rPr>
          <w:rFonts w:ascii="宋体" w:hAnsi="宋体"/>
          <w:color w:val="auto"/>
          <w:szCs w:val="21"/>
          <w:highlight w:val="none"/>
        </w:rPr>
        <w:t>发包人和监理人在收到修订的施工进度计划后确认或提出修改意见的期限：</w:t>
      </w:r>
      <w:r>
        <w:rPr>
          <w:rFonts w:hint="eastAsia" w:ascii="宋体" w:hAnsi="宋体"/>
          <w:color w:val="auto"/>
          <w:szCs w:val="21"/>
          <w:highlight w:val="none"/>
          <w:u w:val="single"/>
        </w:rPr>
        <w:t>收到施工组织设计（施工方案）和进度计划后</w:t>
      </w:r>
      <w:r>
        <w:rPr>
          <w:rFonts w:ascii="宋体" w:hAnsi="宋体"/>
          <w:color w:val="auto"/>
          <w:szCs w:val="21"/>
          <w:highlight w:val="none"/>
          <w:u w:val="single"/>
        </w:rPr>
        <w:t>3</w:t>
      </w:r>
      <w:r>
        <w:rPr>
          <w:rFonts w:hint="eastAsia" w:ascii="宋体" w:hAnsi="宋体"/>
          <w:color w:val="auto"/>
          <w:szCs w:val="21"/>
          <w:highlight w:val="none"/>
          <w:u w:val="single"/>
        </w:rPr>
        <w:t>日内予以确认或提出修改意见，逾期视为已确认。</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7.3 开工</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7.3.1 开工准备</w:t>
      </w:r>
    </w:p>
    <w:p>
      <w:pPr>
        <w:spacing w:line="440" w:lineRule="exact"/>
        <w:ind w:firstLine="420" w:firstLineChars="200"/>
        <w:rPr>
          <w:rFonts w:ascii="宋体" w:hAnsi="宋体"/>
          <w:color w:val="auto"/>
          <w:szCs w:val="21"/>
          <w:highlight w:val="none"/>
          <w:u w:val="single"/>
        </w:rPr>
      </w:pPr>
      <w:r>
        <w:rPr>
          <w:rFonts w:ascii="宋体" w:hAnsi="宋体"/>
          <w:color w:val="auto"/>
          <w:szCs w:val="21"/>
          <w:highlight w:val="none"/>
        </w:rPr>
        <w:t>关于</w:t>
      </w:r>
      <w:r>
        <w:rPr>
          <w:rFonts w:hint="eastAsia" w:ascii="宋体" w:hAnsi="宋体"/>
          <w:color w:val="auto"/>
          <w:szCs w:val="21"/>
          <w:highlight w:val="none"/>
        </w:rPr>
        <w:t>承包人</w:t>
      </w:r>
      <w:r>
        <w:rPr>
          <w:rFonts w:ascii="宋体" w:hAnsi="宋体"/>
          <w:color w:val="auto"/>
          <w:szCs w:val="21"/>
          <w:highlight w:val="none"/>
        </w:rPr>
        <w:t>提交</w:t>
      </w:r>
      <w:r>
        <w:rPr>
          <w:rFonts w:ascii="宋体" w:hAnsi="宋体"/>
          <w:color w:val="auto"/>
          <w:kern w:val="0"/>
          <w:szCs w:val="21"/>
          <w:highlight w:val="none"/>
        </w:rPr>
        <w:t>工程开工报审表的期限：</w:t>
      </w:r>
      <w:r>
        <w:rPr>
          <w:rFonts w:hint="eastAsia" w:ascii="宋体" w:hAnsi="宋体"/>
          <w:b/>
          <w:color w:val="auto"/>
          <w:szCs w:val="21"/>
          <w:highlight w:val="none"/>
          <w:u w:val="single"/>
        </w:rPr>
        <w:t>合同签订后3天内</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关于发包人应完成的其他开工准备工作及期限：</w:t>
      </w:r>
      <w:r>
        <w:rPr>
          <w:rFonts w:hint="eastAsia" w:ascii="宋体" w:hAnsi="宋体"/>
          <w:color w:val="auto"/>
          <w:szCs w:val="21"/>
          <w:highlight w:val="none"/>
          <w:u w:val="single"/>
        </w:rPr>
        <w:t>/</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关于</w:t>
      </w:r>
      <w:r>
        <w:rPr>
          <w:rFonts w:hint="eastAsia" w:ascii="宋体" w:hAnsi="宋体"/>
          <w:color w:val="auto"/>
          <w:szCs w:val="21"/>
          <w:highlight w:val="none"/>
        </w:rPr>
        <w:t>承包人</w:t>
      </w:r>
      <w:r>
        <w:rPr>
          <w:rFonts w:ascii="宋体" w:hAnsi="宋体"/>
          <w:color w:val="auto"/>
          <w:szCs w:val="21"/>
          <w:highlight w:val="none"/>
        </w:rPr>
        <w:t>应完成的其他开工准备工作及期限：</w:t>
      </w:r>
      <w:r>
        <w:rPr>
          <w:rFonts w:hint="eastAsia" w:ascii="宋体" w:hAnsi="宋体"/>
          <w:color w:val="auto"/>
          <w:szCs w:val="21"/>
          <w:highlight w:val="none"/>
          <w:u w:val="single"/>
        </w:rPr>
        <w:t>/</w:t>
      </w:r>
      <w:r>
        <w:rPr>
          <w:rFonts w:ascii="宋体" w:hAnsi="宋体"/>
          <w:color w:val="auto"/>
          <w:szCs w:val="21"/>
          <w:highlight w:val="none"/>
        </w:rPr>
        <w:t>。</w:t>
      </w:r>
    </w:p>
    <w:bookmarkEnd w:id="179"/>
    <w:bookmarkEnd w:id="180"/>
    <w:bookmarkEnd w:id="181"/>
    <w:bookmarkEnd w:id="182"/>
    <w:bookmarkEnd w:id="183"/>
    <w:bookmarkEnd w:id="184"/>
    <w:bookmarkEnd w:id="185"/>
    <w:p>
      <w:pPr>
        <w:spacing w:line="440" w:lineRule="exact"/>
        <w:ind w:firstLine="420" w:firstLineChars="200"/>
        <w:rPr>
          <w:rFonts w:ascii="宋体" w:hAnsi="宋体"/>
          <w:color w:val="auto"/>
          <w:szCs w:val="21"/>
          <w:highlight w:val="none"/>
        </w:rPr>
      </w:pPr>
      <w:r>
        <w:rPr>
          <w:rFonts w:ascii="宋体" w:hAnsi="宋体"/>
          <w:color w:val="auto"/>
          <w:szCs w:val="21"/>
          <w:highlight w:val="none"/>
        </w:rPr>
        <w:t>7.4 测量放线</w:t>
      </w:r>
    </w:p>
    <w:p>
      <w:pPr>
        <w:spacing w:line="440" w:lineRule="exact"/>
        <w:ind w:firstLine="420" w:firstLineChars="200"/>
        <w:rPr>
          <w:rFonts w:ascii="宋体" w:hAnsi="宋体"/>
          <w:color w:val="auto"/>
          <w:szCs w:val="21"/>
          <w:highlight w:val="none"/>
          <w:u w:val="single"/>
        </w:rPr>
      </w:pPr>
      <w:r>
        <w:rPr>
          <w:rFonts w:hint="eastAsia" w:ascii="宋体" w:hAnsi="宋体"/>
          <w:color w:val="auto"/>
          <w:szCs w:val="21"/>
          <w:highlight w:val="none"/>
        </w:rPr>
        <w:t>7.4.1发包人通过监理人向承包人提供测量基准点、基准线和水准点及其书面资料的期限：</w:t>
      </w:r>
      <w:r>
        <w:rPr>
          <w:rFonts w:hint="eastAsia" w:ascii="宋体" w:hAnsi="宋体" w:cs="Arial"/>
          <w:color w:val="auto"/>
          <w:szCs w:val="21"/>
          <w:highlight w:val="none"/>
          <w:u w:val="single"/>
        </w:rPr>
        <w:t>以书面形式交给承包人，并于开工前进行现场交验</w:t>
      </w:r>
      <w:r>
        <w:rPr>
          <w:rFonts w:hint="eastAsia"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7</w:t>
      </w:r>
      <w:bookmarkStart w:id="186" w:name="_Toc297216175"/>
      <w:bookmarkStart w:id="187" w:name="_Toc303539125"/>
      <w:bookmarkStart w:id="188" w:name="_Toc297123516"/>
      <w:bookmarkStart w:id="189" w:name="_Toc304295546"/>
      <w:bookmarkStart w:id="190" w:name="_Toc300934968"/>
      <w:bookmarkStart w:id="191" w:name="_Toc312677484"/>
      <w:bookmarkStart w:id="192" w:name="_Toc312678010"/>
      <w:r>
        <w:rPr>
          <w:rFonts w:ascii="宋体" w:hAnsi="宋体"/>
          <w:color w:val="auto"/>
          <w:szCs w:val="21"/>
          <w:highlight w:val="none"/>
        </w:rPr>
        <w:t>.5 工期延误</w:t>
      </w:r>
    </w:p>
    <w:bookmarkEnd w:id="186"/>
    <w:bookmarkEnd w:id="187"/>
    <w:bookmarkEnd w:id="188"/>
    <w:bookmarkEnd w:id="189"/>
    <w:bookmarkEnd w:id="190"/>
    <w:bookmarkEnd w:id="191"/>
    <w:bookmarkEnd w:id="192"/>
    <w:p>
      <w:pPr>
        <w:spacing w:line="440" w:lineRule="exact"/>
        <w:ind w:firstLine="420" w:firstLineChars="200"/>
        <w:rPr>
          <w:rFonts w:ascii="宋体" w:hAnsi="宋体"/>
          <w:color w:val="auto"/>
          <w:szCs w:val="21"/>
          <w:highlight w:val="none"/>
        </w:rPr>
      </w:pPr>
      <w:r>
        <w:rPr>
          <w:rFonts w:ascii="宋体" w:hAnsi="宋体"/>
          <w:color w:val="auto"/>
          <w:szCs w:val="21"/>
          <w:highlight w:val="none"/>
        </w:rPr>
        <w:t>7.5.1 因发包人原因导致工期延误</w:t>
      </w:r>
    </w:p>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以下原因引起的延误，经发包人确认后，工期相应顺延：</w:t>
      </w:r>
    </w:p>
    <w:p>
      <w:pPr>
        <w:spacing w:line="440" w:lineRule="exact"/>
        <w:ind w:firstLine="420" w:firstLineChars="200"/>
        <w:jc w:val="left"/>
        <w:rPr>
          <w:rFonts w:ascii="宋体" w:hAnsi="宋体"/>
          <w:color w:val="auto"/>
          <w:szCs w:val="21"/>
          <w:highlight w:val="none"/>
          <w:u w:val="single"/>
        </w:rPr>
      </w:pPr>
      <w:r>
        <w:rPr>
          <w:rFonts w:ascii="宋体" w:hAnsi="宋体"/>
          <w:color w:val="auto"/>
          <w:szCs w:val="21"/>
          <w:highlight w:val="none"/>
          <w:u w:val="single"/>
        </w:rPr>
        <w:t>A.</w:t>
      </w:r>
      <w:r>
        <w:rPr>
          <w:rFonts w:hint="eastAsia" w:ascii="宋体" w:hAnsi="宋体"/>
          <w:color w:val="auto"/>
          <w:szCs w:val="21"/>
          <w:highlight w:val="none"/>
          <w:u w:val="single"/>
        </w:rPr>
        <w:t>因发包人未在开工前提供施工场地，提供图纸；</w:t>
      </w:r>
    </w:p>
    <w:p>
      <w:pPr>
        <w:spacing w:line="440" w:lineRule="exact"/>
        <w:ind w:firstLine="420" w:firstLineChars="200"/>
        <w:jc w:val="left"/>
        <w:rPr>
          <w:rFonts w:ascii="宋体" w:hAnsi="宋体"/>
          <w:color w:val="auto"/>
          <w:szCs w:val="21"/>
          <w:highlight w:val="none"/>
          <w:u w:val="single"/>
        </w:rPr>
      </w:pPr>
      <w:r>
        <w:rPr>
          <w:rFonts w:ascii="宋体" w:hAnsi="宋体"/>
          <w:color w:val="auto"/>
          <w:szCs w:val="21"/>
          <w:highlight w:val="none"/>
          <w:u w:val="single"/>
        </w:rPr>
        <w:t>B.</w:t>
      </w:r>
      <w:r>
        <w:rPr>
          <w:rFonts w:hint="eastAsia" w:ascii="宋体" w:hAnsi="宋体"/>
          <w:color w:val="auto"/>
          <w:szCs w:val="21"/>
          <w:highlight w:val="none"/>
          <w:u w:val="single"/>
        </w:rPr>
        <w:t>因发包人原因造成工程延期开工、停建、缓建、暂停施工（不含勒令停工）；</w:t>
      </w:r>
    </w:p>
    <w:p>
      <w:pPr>
        <w:spacing w:line="440" w:lineRule="exact"/>
        <w:ind w:firstLine="420" w:firstLineChars="200"/>
        <w:jc w:val="left"/>
        <w:rPr>
          <w:rFonts w:ascii="宋体" w:hAnsi="宋体"/>
          <w:color w:val="auto"/>
          <w:szCs w:val="21"/>
          <w:highlight w:val="none"/>
          <w:u w:val="single"/>
        </w:rPr>
      </w:pPr>
      <w:r>
        <w:rPr>
          <w:rFonts w:ascii="宋体" w:hAnsi="宋体"/>
          <w:color w:val="auto"/>
          <w:szCs w:val="21"/>
          <w:highlight w:val="none"/>
          <w:u w:val="single"/>
        </w:rPr>
        <w:t>C.</w:t>
      </w:r>
      <w:r>
        <w:rPr>
          <w:rFonts w:hint="eastAsia" w:ascii="宋体" w:hAnsi="宋体"/>
          <w:color w:val="auto"/>
          <w:szCs w:val="21"/>
          <w:highlight w:val="none"/>
          <w:u w:val="single"/>
        </w:rPr>
        <w:t>因发包人原因提出的单次设计变更导致工程量增加超过合同总价的</w:t>
      </w:r>
      <w:r>
        <w:rPr>
          <w:rFonts w:ascii="宋体" w:hAnsi="宋体"/>
          <w:color w:val="auto"/>
          <w:szCs w:val="21"/>
          <w:highlight w:val="none"/>
          <w:u w:val="single"/>
        </w:rPr>
        <w:t>8%</w:t>
      </w:r>
      <w:r>
        <w:rPr>
          <w:rFonts w:hint="eastAsia" w:ascii="宋体" w:hAnsi="宋体"/>
          <w:color w:val="auto"/>
          <w:szCs w:val="21"/>
          <w:highlight w:val="none"/>
          <w:u w:val="single"/>
        </w:rPr>
        <w:t>以上的；</w:t>
      </w:r>
    </w:p>
    <w:p>
      <w:pPr>
        <w:spacing w:line="440" w:lineRule="exact"/>
        <w:ind w:firstLine="420" w:firstLineChars="200"/>
        <w:jc w:val="left"/>
        <w:rPr>
          <w:rFonts w:ascii="宋体" w:hAnsi="宋体"/>
          <w:color w:val="auto"/>
          <w:szCs w:val="21"/>
          <w:highlight w:val="none"/>
          <w:u w:val="single"/>
        </w:rPr>
      </w:pPr>
      <w:r>
        <w:rPr>
          <w:rFonts w:ascii="宋体" w:hAnsi="宋体"/>
          <w:color w:val="auto"/>
          <w:szCs w:val="21"/>
          <w:highlight w:val="none"/>
          <w:u w:val="single"/>
        </w:rPr>
        <w:t>D.</w:t>
      </w:r>
      <w:r>
        <w:rPr>
          <w:rFonts w:hint="eastAsia" w:ascii="宋体" w:hAnsi="宋体"/>
          <w:color w:val="auto"/>
          <w:szCs w:val="21"/>
          <w:highlight w:val="none"/>
          <w:u w:val="single"/>
        </w:rPr>
        <w:t>由市级以上有关部门正式发布和认定的自然灾害。</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上述情况发生后，承包人须就延误的内容，向发包人提交书面报告办理延期手续，经发包人批准后方可顺延工期，否则工期不予顺延。</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为体现承包人的合作诚意，承包人同意因发包人原因的工期顺延，且自愿放弃索赔的权利。该放弃的索赔权利包括但不限于停工期限的窝工费、机械租赁费、财务成本、工程看管费、管理费、水电费等任何货币形式的赔偿主张。本合同中关于发包方原因造成工期延误损失负担约定与本条不一致的，以本条为准。</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7</w:t>
      </w:r>
      <w:bookmarkStart w:id="193" w:name="_Toc318581169"/>
      <w:bookmarkStart w:id="194" w:name="_Toc312678012"/>
      <w:bookmarkStart w:id="195" w:name="_Toc312677486"/>
      <w:bookmarkStart w:id="196" w:name="_Toc297216177"/>
      <w:bookmarkStart w:id="197" w:name="_Toc304295548"/>
      <w:bookmarkStart w:id="198" w:name="_Toc300934970"/>
      <w:bookmarkStart w:id="199" w:name="_Toc297123518"/>
      <w:bookmarkStart w:id="200" w:name="_Toc303539127"/>
      <w:r>
        <w:rPr>
          <w:rFonts w:ascii="宋体" w:hAnsi="宋体"/>
          <w:color w:val="auto"/>
          <w:szCs w:val="21"/>
          <w:highlight w:val="none"/>
        </w:rPr>
        <w:t>.5.2 因</w:t>
      </w:r>
      <w:r>
        <w:rPr>
          <w:rFonts w:hint="eastAsia" w:ascii="宋体" w:hAnsi="宋体"/>
          <w:color w:val="auto"/>
          <w:szCs w:val="21"/>
          <w:highlight w:val="none"/>
        </w:rPr>
        <w:t>承包人</w:t>
      </w:r>
      <w:r>
        <w:rPr>
          <w:rFonts w:ascii="宋体" w:hAnsi="宋体"/>
          <w:color w:val="auto"/>
          <w:szCs w:val="21"/>
          <w:highlight w:val="none"/>
        </w:rPr>
        <w:t>原因导致工期延误</w:t>
      </w:r>
    </w:p>
    <w:bookmarkEnd w:id="193"/>
    <w:bookmarkEnd w:id="194"/>
    <w:bookmarkEnd w:id="195"/>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因</w:t>
      </w:r>
      <w:bookmarkStart w:id="201" w:name="_Toc312677487"/>
      <w:bookmarkStart w:id="202" w:name="_Toc312678013"/>
      <w:bookmarkStart w:id="203" w:name="_Toc318581170"/>
      <w:r>
        <w:rPr>
          <w:rFonts w:hint="eastAsia" w:ascii="宋体" w:hAnsi="宋体"/>
          <w:color w:val="auto"/>
          <w:szCs w:val="21"/>
          <w:highlight w:val="none"/>
        </w:rPr>
        <w:t>承包人原因造成工期延误，逾期竣工违约金的计算方法为：</w:t>
      </w:r>
    </w:p>
    <w:bookmarkEnd w:id="196"/>
    <w:bookmarkEnd w:id="197"/>
    <w:bookmarkEnd w:id="198"/>
    <w:bookmarkEnd w:id="199"/>
    <w:bookmarkEnd w:id="200"/>
    <w:bookmarkEnd w:id="201"/>
    <w:bookmarkEnd w:id="202"/>
    <w:bookmarkEnd w:id="203"/>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实际进度滞后计划进度时，承包人在接到监理通知单后，必须落实纠偏调整措施并认真实施，否则向发包人支付违约金</w:t>
      </w:r>
      <w:r>
        <w:rPr>
          <w:rFonts w:ascii="宋体" w:hAnsi="宋体"/>
          <w:color w:val="auto"/>
          <w:szCs w:val="21"/>
          <w:highlight w:val="none"/>
        </w:rPr>
        <w:t>1</w:t>
      </w:r>
      <w:r>
        <w:rPr>
          <w:rFonts w:hint="eastAsia" w:ascii="宋体" w:hAnsi="宋体"/>
          <w:color w:val="auto"/>
          <w:szCs w:val="21"/>
          <w:highlight w:val="none"/>
        </w:rPr>
        <w:t>0</w:t>
      </w:r>
      <w:r>
        <w:rPr>
          <w:rFonts w:ascii="宋体" w:hAnsi="宋体"/>
          <w:color w:val="auto"/>
          <w:szCs w:val="21"/>
          <w:highlight w:val="none"/>
        </w:rPr>
        <w:t>00</w:t>
      </w:r>
      <w:r>
        <w:rPr>
          <w:rFonts w:hint="eastAsia" w:ascii="宋体" w:hAnsi="宋体"/>
          <w:color w:val="auto"/>
          <w:szCs w:val="21"/>
          <w:highlight w:val="none"/>
        </w:rPr>
        <w:t>元</w:t>
      </w:r>
      <w:r>
        <w:rPr>
          <w:rFonts w:ascii="宋体" w:hAnsi="宋体"/>
          <w:color w:val="auto"/>
          <w:szCs w:val="21"/>
          <w:highlight w:val="none"/>
        </w:rPr>
        <w:t>/</w:t>
      </w:r>
      <w:r>
        <w:rPr>
          <w:rFonts w:hint="eastAsia" w:ascii="宋体" w:hAnsi="宋体"/>
          <w:color w:val="auto"/>
          <w:szCs w:val="21"/>
          <w:highlight w:val="none"/>
        </w:rPr>
        <w:t>次。</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实际进度严重滞后进度计划</w:t>
      </w:r>
      <w:r>
        <w:rPr>
          <w:rFonts w:hint="eastAsia" w:ascii="宋体" w:hAnsi="宋体"/>
          <w:color w:val="auto"/>
          <w:szCs w:val="21"/>
          <w:highlight w:val="none"/>
        </w:rPr>
        <w:t>时</w:t>
      </w:r>
      <w:r>
        <w:rPr>
          <w:rFonts w:ascii="宋体" w:hAnsi="宋体"/>
          <w:color w:val="auto"/>
          <w:szCs w:val="21"/>
          <w:highlight w:val="none"/>
        </w:rPr>
        <w:t>，</w:t>
      </w:r>
      <w:r>
        <w:rPr>
          <w:rFonts w:hint="eastAsia" w:ascii="宋体" w:hAnsi="宋体"/>
          <w:color w:val="auto"/>
          <w:szCs w:val="21"/>
          <w:highlight w:val="none"/>
        </w:rPr>
        <w:t>承包人在接到监理通知单后，必须落实纠偏调整措施并认真实施，否则向发包人支付违约金2000元/次。</w:t>
      </w:r>
    </w:p>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实际进度严重滞后进度计划明显不满足工期要求时，则视情节扣除部分或全部工期履约保证金，发包人有权要求承包人清退出场，所完成的合格工程量按60%计算，或者由发包人安排其他施工单位进行施工，所发生费用按实际费用的2倍或以上金额由承包人缴纳至发包人指定账户或从其工程款中扣除。</w:t>
      </w:r>
    </w:p>
    <w:p>
      <w:pPr>
        <w:pStyle w:val="6"/>
        <w:spacing w:before="120" w:after="120" w:line="440" w:lineRule="exact"/>
        <w:rPr>
          <w:rFonts w:ascii="宋体" w:hAnsi="宋体"/>
          <w:color w:val="auto"/>
          <w:szCs w:val="21"/>
          <w:highlight w:val="none"/>
        </w:rPr>
      </w:pPr>
      <w:bookmarkStart w:id="204" w:name="_Toc351203640"/>
      <w:r>
        <w:rPr>
          <w:rFonts w:ascii="宋体" w:hAnsi="宋体"/>
          <w:color w:val="auto"/>
          <w:szCs w:val="21"/>
          <w:highlight w:val="none"/>
        </w:rPr>
        <w:t>8. 材料与设备</w:t>
      </w:r>
      <w:bookmarkEnd w:id="204"/>
    </w:p>
    <w:bookmarkEnd w:id="160"/>
    <w:bookmarkEnd w:id="161"/>
    <w:bookmarkEnd w:id="162"/>
    <w:bookmarkEnd w:id="163"/>
    <w:bookmarkEnd w:id="164"/>
    <w:bookmarkEnd w:id="165"/>
    <w:bookmarkEnd w:id="166"/>
    <w:bookmarkEnd w:id="167"/>
    <w:bookmarkEnd w:id="168"/>
    <w:bookmarkEnd w:id="169"/>
    <w:p>
      <w:pPr>
        <w:spacing w:line="440" w:lineRule="exact"/>
        <w:ind w:firstLine="459"/>
        <w:rPr>
          <w:rFonts w:ascii="宋体" w:hAnsi="宋体"/>
          <w:color w:val="auto"/>
          <w:szCs w:val="21"/>
          <w:highlight w:val="none"/>
        </w:rPr>
      </w:pPr>
      <w:r>
        <w:rPr>
          <w:rFonts w:hint="eastAsia" w:ascii="宋体" w:hAnsi="宋体"/>
          <w:bCs/>
          <w:color w:val="auto"/>
          <w:szCs w:val="21"/>
          <w:highlight w:val="none"/>
        </w:rPr>
        <w:t>8.1发</w:t>
      </w:r>
      <w:r>
        <w:rPr>
          <w:rFonts w:hint="eastAsia" w:ascii="宋体" w:hAnsi="宋体"/>
          <w:color w:val="auto"/>
          <w:szCs w:val="21"/>
          <w:highlight w:val="none"/>
        </w:rPr>
        <w:t>包人供应材料与工程设备</w:t>
      </w:r>
    </w:p>
    <w:p>
      <w:pPr>
        <w:tabs>
          <w:tab w:val="left" w:pos="180"/>
        </w:tabs>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承包人应编制材料供应计划。合同生效后一般材料承包人应提前5天向发包人按实提交所需材料品种、数量、型号、规格、质量等级，如有误差造成的损失由承包人承担。</w:t>
      </w:r>
    </w:p>
    <w:p>
      <w:pPr>
        <w:tabs>
          <w:tab w:val="left" w:pos="180"/>
        </w:tabs>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8.2承包人供应材料与工程设备</w:t>
      </w:r>
    </w:p>
    <w:p>
      <w:pPr>
        <w:tabs>
          <w:tab w:val="left" w:pos="180"/>
        </w:tabs>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1）承包人采购的材料：承包人须按发包人要求建立材料台账，供发包人检查，材料台账中必须注明并包含下列内容：材料名称、规格型号或等级、厂家、进场数量、出厂合格证、编号、进场日期、使用部位、施工单位验收人、检测情况、监理见证人、发包人代表等。承包人在材料使用前，应有向监理报验、提供材料台账的程序，并见证抽样送检。不合格的材料不得使用，发包人或监理抽查发现使用的材料无报验手续及材料台账（或材料台账不符合要求的）或不合格，可指令停工，要求返工剥离。所发生的费用由承包人承担，工期不予顺延。</w:t>
      </w:r>
    </w:p>
    <w:p>
      <w:pPr>
        <w:tabs>
          <w:tab w:val="left" w:pos="180"/>
        </w:tabs>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（2）承包人供应的材料和设备，必须按有关规定提供相应</w:t>
      </w:r>
      <w:r>
        <w:rPr>
          <w:rFonts w:hint="eastAsia" w:ascii="宋体" w:hAnsi="宋体"/>
          <w:color w:val="auto"/>
          <w:szCs w:val="21"/>
          <w:highlight w:val="none"/>
          <w:u w:val="single"/>
          <w:lang w:val="en-US" w:eastAsia="zh-CN"/>
        </w:rPr>
        <w:t>有效</w:t>
      </w:r>
      <w:r>
        <w:rPr>
          <w:rFonts w:hint="eastAsia" w:ascii="宋体" w:hAnsi="宋体"/>
          <w:color w:val="auto"/>
          <w:szCs w:val="21"/>
          <w:highlight w:val="none"/>
          <w:u w:val="single"/>
        </w:rPr>
        <w:t>的出厂证明、合格证、质保书、化验检测报告等，并负责对国家（或地方）规范、强制性条文规定的材料性能到发包人指定的检测机构进行施工前或施工后的检测，同时对材料数量、规格、质量由发包人现场工程师和监理人验收合格后方可进入施工现场使用。检验试验费包含本工程所有按规定应进行建筑材料、构配件等试样的制作、封样、送检和其它为保证工程质量进行的材料检验试验工作和一切费用（含检测机构所收取的检测费）。由发包人指定工程质量检测机构进行检测，承包人支付所有费用，该费用已包含在承包人的投标报价中，发包人不再承担。</w:t>
      </w:r>
    </w:p>
    <w:p>
      <w:pPr>
        <w:spacing w:line="44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（3）发包人在招标时推荐品牌和厂家的材料，承包人在实际采购前，必须由发包人、监理认质认生产厂家后方可采购。代用材料时，须经发包人认可。</w:t>
      </w:r>
    </w:p>
    <w:p>
      <w:pPr>
        <w:spacing w:line="44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（4）发包人和监理人有权对承包人提供的材料和设备进行抽检，对不符合设计要求及验收规范的材料和设备，有权终止使用，发生的一切损失和费用由承包人承担，由此延误的工期不予顺延。</w:t>
      </w:r>
    </w:p>
    <w:p>
      <w:pPr>
        <w:spacing w:line="44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5）发包人和监理工程师对材料的决定或认可并不解除承包人应负的质量、工期的责任，也不免除承包人对材料应负的责任。承包人采购的材料与设计或规范要求不符时，承包人应按监理工程师要求的时间运出施工场地。重新采购符合要求的产品，承担由此发生的费用，由此延误的工期不予顺延。</w:t>
      </w:r>
    </w:p>
    <w:p>
      <w:pPr>
        <w:spacing w:line="44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（6）招标时暂定价和认质认价材料发包人保留甲供或另行发包权利。</w:t>
      </w:r>
    </w:p>
    <w:p>
      <w:pPr>
        <w:spacing w:line="44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7）承包人应对所有进场材料按有关规定进行严格把关，如因材料出现的质量和安全事故由承包人负全责，并赔偿相应损失。设计图纸没有规定的或图纸规定与清单不符的以清单为准，且经总承包人、发包人和监理方事先认可。</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8</w:t>
      </w:r>
      <w:bookmarkStart w:id="205" w:name="_Toc312677493"/>
      <w:bookmarkStart w:id="206" w:name="_Toc297123527"/>
      <w:bookmarkStart w:id="207" w:name="_Toc303539136"/>
      <w:bookmarkStart w:id="208" w:name="_Toc296890995"/>
      <w:bookmarkStart w:id="209" w:name="_Toc296944506"/>
      <w:bookmarkStart w:id="210" w:name="_Toc296891207"/>
      <w:bookmarkStart w:id="211" w:name="_Toc304295556"/>
      <w:bookmarkStart w:id="212" w:name="_Toc292559877"/>
      <w:bookmarkStart w:id="213" w:name="_Toc300934979"/>
      <w:bookmarkStart w:id="214" w:name="_Toc297120467"/>
      <w:bookmarkStart w:id="215" w:name="_Toc292559372"/>
      <w:bookmarkStart w:id="216" w:name="_Toc280868654"/>
      <w:bookmarkStart w:id="217" w:name="_Toc312678019"/>
      <w:bookmarkStart w:id="218" w:name="_Toc296347166"/>
      <w:bookmarkStart w:id="219" w:name="_Toc297216186"/>
      <w:bookmarkStart w:id="220" w:name="_Toc296503167"/>
      <w:bookmarkStart w:id="221" w:name="_Toc297048353"/>
      <w:bookmarkStart w:id="222" w:name="_Toc296346668"/>
      <w:bookmarkStart w:id="223" w:name="_Toc280868655"/>
      <w:bookmarkStart w:id="224" w:name="_Toc267251424"/>
      <w:bookmarkStart w:id="225" w:name="_Toc280868656"/>
      <w:r>
        <w:rPr>
          <w:rFonts w:ascii="宋体" w:hAnsi="宋体"/>
          <w:color w:val="auto"/>
          <w:szCs w:val="21"/>
          <w:highlight w:val="none"/>
        </w:rPr>
        <w:t>.4材料与工程设备的保管与使用</w:t>
      </w:r>
    </w:p>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8</w:t>
      </w:r>
      <w:bookmarkStart w:id="226" w:name="_Toc292559373"/>
      <w:bookmarkStart w:id="227" w:name="_Toc292559878"/>
      <w:bookmarkStart w:id="228" w:name="_Toc312677494"/>
      <w:bookmarkStart w:id="229" w:name="_Toc297216187"/>
      <w:bookmarkStart w:id="230" w:name="_Toc296890996"/>
      <w:bookmarkStart w:id="231" w:name="_Toc297048354"/>
      <w:bookmarkStart w:id="232" w:name="_Toc312678020"/>
      <w:bookmarkStart w:id="233" w:name="_Toc296944507"/>
      <w:bookmarkStart w:id="234" w:name="_Toc296346669"/>
      <w:bookmarkStart w:id="235" w:name="_Toc296891208"/>
      <w:bookmarkStart w:id="236" w:name="_Toc318581173"/>
      <w:bookmarkStart w:id="237" w:name="_Toc303539137"/>
      <w:bookmarkStart w:id="238" w:name="_Toc304295557"/>
      <w:bookmarkStart w:id="239" w:name="_Toc297123528"/>
      <w:bookmarkStart w:id="240" w:name="_Toc297120468"/>
      <w:bookmarkStart w:id="241" w:name="_Toc296347167"/>
      <w:bookmarkStart w:id="242" w:name="_Toc300934980"/>
      <w:bookmarkStart w:id="243" w:name="_Toc296503168"/>
      <w:r>
        <w:rPr>
          <w:rFonts w:ascii="宋体" w:hAnsi="宋体"/>
          <w:color w:val="auto"/>
          <w:szCs w:val="21"/>
          <w:highlight w:val="none"/>
        </w:rPr>
        <w:t>.4.1发包人供应的材料设备的保管费用的承担：</w:t>
      </w:r>
      <w:r>
        <w:rPr>
          <w:rFonts w:hint="eastAsia" w:ascii="宋体" w:hAnsi="宋体"/>
          <w:color w:val="auto"/>
          <w:szCs w:val="21"/>
          <w:highlight w:val="none"/>
          <w:u w:val="single"/>
        </w:rPr>
        <w:t>/</w:t>
      </w:r>
      <w:r>
        <w:rPr>
          <w:rFonts w:ascii="宋体" w:hAnsi="宋体"/>
          <w:color w:val="auto"/>
          <w:szCs w:val="21"/>
          <w:highlight w:val="none"/>
        </w:rPr>
        <w:t xml:space="preserve"> 。</w:t>
      </w:r>
      <w:bookmarkEnd w:id="226"/>
      <w:bookmarkEnd w:id="227"/>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8.6 样品</w:t>
      </w:r>
    </w:p>
    <w:p>
      <w:pPr>
        <w:spacing w:line="440" w:lineRule="exact"/>
        <w:ind w:firstLine="420" w:firstLineChars="200"/>
        <w:jc w:val="left"/>
        <w:rPr>
          <w:rFonts w:ascii="宋体" w:hAnsi="宋体"/>
          <w:color w:val="auto"/>
          <w:kern w:val="0"/>
          <w:szCs w:val="21"/>
          <w:highlight w:val="none"/>
        </w:rPr>
      </w:pPr>
      <w:r>
        <w:rPr>
          <w:rFonts w:ascii="宋体" w:hAnsi="宋体"/>
          <w:color w:val="auto"/>
          <w:szCs w:val="21"/>
          <w:highlight w:val="none"/>
        </w:rPr>
        <w:t>8.</w:t>
      </w:r>
      <w:r>
        <w:rPr>
          <w:rFonts w:ascii="宋体" w:hAnsi="宋体"/>
          <w:color w:val="auto"/>
          <w:kern w:val="0"/>
          <w:szCs w:val="21"/>
          <w:highlight w:val="none"/>
        </w:rPr>
        <w:t>6.1</w:t>
      </w:r>
      <w:r>
        <w:rPr>
          <w:rFonts w:ascii="宋体" w:hAnsi="宋体"/>
          <w:color w:val="auto"/>
          <w:kern w:val="0"/>
          <w:szCs w:val="21"/>
          <w:highlight w:val="none"/>
        </w:rPr>
        <w:tab/>
      </w:r>
      <w:r>
        <w:rPr>
          <w:rFonts w:ascii="宋体" w:hAnsi="宋体"/>
          <w:color w:val="auto"/>
          <w:kern w:val="0"/>
          <w:szCs w:val="21"/>
          <w:highlight w:val="none"/>
        </w:rPr>
        <w:t>样品的报送</w:t>
      </w:r>
      <w:r>
        <w:rPr>
          <w:rFonts w:hint="eastAsia" w:ascii="宋体" w:hAnsi="宋体"/>
          <w:color w:val="auto"/>
          <w:kern w:val="0"/>
          <w:szCs w:val="21"/>
          <w:highlight w:val="none"/>
        </w:rPr>
        <w:t>与封存</w:t>
      </w:r>
    </w:p>
    <w:p>
      <w:pPr>
        <w:autoSpaceDE w:val="0"/>
        <w:autoSpaceDN w:val="0"/>
        <w:adjustRightInd w:val="0"/>
        <w:spacing w:line="440" w:lineRule="exact"/>
        <w:ind w:firstLine="420" w:firstLineChars="200"/>
        <w:jc w:val="left"/>
        <w:rPr>
          <w:rFonts w:ascii="宋体" w:hAnsi="宋体"/>
          <w:color w:val="auto"/>
          <w:szCs w:val="21"/>
          <w:highlight w:val="none"/>
          <w:u w:val="single"/>
        </w:rPr>
      </w:pPr>
      <w:r>
        <w:rPr>
          <w:rFonts w:ascii="宋体" w:hAnsi="宋体"/>
          <w:color w:val="auto"/>
          <w:kern w:val="0"/>
          <w:szCs w:val="21"/>
          <w:highlight w:val="none"/>
        </w:rPr>
        <w:t>需要</w:t>
      </w:r>
      <w:r>
        <w:rPr>
          <w:rFonts w:hint="eastAsia" w:ascii="宋体" w:hAnsi="宋体"/>
          <w:color w:val="auto"/>
          <w:kern w:val="0"/>
          <w:szCs w:val="21"/>
          <w:highlight w:val="none"/>
        </w:rPr>
        <w:t>承包人</w:t>
      </w:r>
      <w:r>
        <w:rPr>
          <w:rFonts w:ascii="宋体" w:hAnsi="宋体"/>
          <w:color w:val="auto"/>
          <w:kern w:val="0"/>
          <w:szCs w:val="21"/>
          <w:highlight w:val="none"/>
        </w:rPr>
        <w:t>报送样品的材料或工程设备，样品的种类、名称、规格、数量要求：</w:t>
      </w:r>
    </w:p>
    <w:p>
      <w:pPr>
        <w:spacing w:line="460" w:lineRule="exact"/>
        <w:ind w:left="29" w:leftChars="14" w:firstLine="342" w:firstLineChars="162"/>
        <w:rPr>
          <w:rFonts w:ascii="宋体" w:hAnsi="宋体"/>
          <w:b/>
          <w:bCs/>
          <w:color w:val="auto"/>
          <w:kern w:val="0"/>
          <w:szCs w:val="21"/>
          <w:highlight w:val="none"/>
          <w:u w:val="single"/>
        </w:rPr>
      </w:pPr>
      <w:r>
        <w:rPr>
          <w:rFonts w:hint="eastAsia" w:ascii="宋体" w:hAnsi="宋体"/>
          <w:b/>
          <w:bCs/>
          <w:color w:val="auto"/>
          <w:kern w:val="0"/>
          <w:szCs w:val="21"/>
          <w:highlight w:val="none"/>
          <w:u w:val="single"/>
        </w:rPr>
        <w:t>（1）凡是承包人采购的材料、设备应在采购前向发包人和监理工程师提供样品及规格、产地、所供应材料合格证等资料，经发包人和监理工程师确认后方可使用。发包人保留对材料供应的支配权。凡是招标文件（工程量清单）中暂定单价的材料设备，承包人须提前5天以上向发包人提出，且在采购前须将材料设备的品种、规格、颜色、质量、价格、样品报送监理；凡是招标文件（工程量清单）中予以明确材料品牌、生产产家和规格型号的，承包人必须按招标文件（工程量清单）、发包人要求的相关标准进行采购，采购前应将拟用品牌型号的书面材料报告及样品报送监理。发包人及监理对上述材料及用于本工程的所有材料有质量认定权（如发包人对承包人采购的材料认定为不合格的，承包人必须重新采购，直到合格为止），经总监人及发包人书面确认后，方可采购，涉及到的价格不再调整。</w:t>
      </w:r>
    </w:p>
    <w:p>
      <w:pPr>
        <w:spacing w:line="460" w:lineRule="exact"/>
        <w:ind w:left="29" w:leftChars="14" w:firstLine="342" w:firstLineChars="162"/>
        <w:rPr>
          <w:rFonts w:ascii="宋体" w:hAnsi="宋体"/>
          <w:b/>
          <w:color w:val="auto"/>
          <w:szCs w:val="21"/>
          <w:highlight w:val="none"/>
          <w:u w:val="single"/>
        </w:rPr>
      </w:pPr>
      <w:r>
        <w:rPr>
          <w:rFonts w:hint="eastAsia" w:ascii="宋体" w:hAnsi="宋体"/>
          <w:b/>
          <w:bCs/>
          <w:color w:val="auto"/>
          <w:kern w:val="0"/>
          <w:szCs w:val="21"/>
          <w:highlight w:val="none"/>
          <w:u w:val="single"/>
        </w:rPr>
        <w:t>（2）招标时已推荐材料品牌、规格、型号及质量要求的，施工过程中必须严格按要求使用材料，中标后不得以</w:t>
      </w:r>
      <w:r>
        <w:rPr>
          <w:rFonts w:hint="eastAsia" w:ascii="宋体" w:hAnsi="宋体"/>
          <w:b/>
          <w:color w:val="auto"/>
          <w:szCs w:val="21"/>
          <w:highlight w:val="none"/>
          <w:u w:val="single"/>
        </w:rPr>
        <w:t>任何借口要求招标人更换材料或加价。</w:t>
      </w:r>
      <w:r>
        <w:rPr>
          <w:rFonts w:hint="eastAsia" w:ascii="宋体" w:hAnsi="宋体"/>
          <w:b/>
          <w:bCs/>
          <w:color w:val="auto"/>
          <w:szCs w:val="21"/>
          <w:highlight w:val="none"/>
          <w:u w:val="single"/>
        </w:rPr>
        <w:t>承包人应对所有进场材料的质量按有关规定进行严格把关，必须根据有关规定要求由具备相应专业资质的试验单位对材料、设备进行必要的试验、检验，材料出现质量问题时，应及时退货。如承包人不按规定送检或明知有问题而不予处理，继续施工，由此引起返工而造成的材料、人工、机械、工期损失等一切费用全部由承包人承担，由此发生安全事故由承包人负全责，并赔偿相应损失。</w:t>
      </w:r>
      <w:r>
        <w:rPr>
          <w:rFonts w:hint="eastAsia" w:ascii="宋体" w:hAnsi="宋体"/>
          <w:b/>
          <w:color w:val="auto"/>
          <w:szCs w:val="21"/>
          <w:highlight w:val="none"/>
          <w:u w:val="single"/>
        </w:rPr>
        <w:t>施工中所有的材料必须符合国家或行业有关质量标准，材料必须报验并得到监理方及甲方的确认后方可使用。在合理使用寿命内因承包方材料质量问题而导致的一切责任由承包人承担。</w:t>
      </w:r>
    </w:p>
    <w:p>
      <w:pPr>
        <w:spacing w:line="460" w:lineRule="exact"/>
        <w:ind w:left="29" w:leftChars="14" w:firstLine="342" w:firstLineChars="162"/>
        <w:rPr>
          <w:rFonts w:ascii="宋体" w:hAnsi="宋体"/>
          <w:b/>
          <w:bCs/>
          <w:color w:val="auto"/>
          <w:kern w:val="0"/>
          <w:szCs w:val="21"/>
          <w:highlight w:val="none"/>
          <w:u w:val="single"/>
        </w:rPr>
      </w:pPr>
      <w:r>
        <w:rPr>
          <w:rFonts w:hint="eastAsia" w:ascii="宋体" w:hAnsi="宋体"/>
          <w:b/>
          <w:bCs/>
          <w:color w:val="auto"/>
          <w:kern w:val="0"/>
          <w:szCs w:val="21"/>
          <w:highlight w:val="none"/>
          <w:u w:val="single"/>
        </w:rPr>
        <w:t>（3）发包人和工程监理有权对承包人提供的材料和设备进行抽检，对不符合设计要求及验收规范的材料和设备，有权终止使用，发生的一切损失和费用由承包人承担。监理根据需要可在事前、事中、事后进行抽检，不论在哪个阶段查出问题，所造成的损失均由承包人负责。</w:t>
      </w:r>
    </w:p>
    <w:p>
      <w:pPr>
        <w:spacing w:line="460" w:lineRule="exact"/>
        <w:ind w:left="29" w:leftChars="14" w:firstLine="342" w:firstLineChars="162"/>
        <w:rPr>
          <w:rFonts w:ascii="宋体" w:hAnsi="宋体"/>
          <w:b/>
          <w:bCs/>
          <w:color w:val="auto"/>
          <w:kern w:val="0"/>
          <w:szCs w:val="21"/>
          <w:highlight w:val="none"/>
          <w:u w:val="single"/>
        </w:rPr>
      </w:pPr>
      <w:r>
        <w:rPr>
          <w:rFonts w:hint="eastAsia" w:ascii="宋体" w:hAnsi="宋体"/>
          <w:b/>
          <w:bCs/>
          <w:color w:val="auto"/>
          <w:kern w:val="0"/>
          <w:szCs w:val="21"/>
          <w:highlight w:val="none"/>
          <w:u w:val="single"/>
        </w:rPr>
        <w:t>（4）对未设暂估价，且未指定品牌的材料均由承包人在确保质量的前提下自行采购，材料须使用国产中档及以上且符合国家标准的合格产品，其规格、技术指标、质量等级必须满足相应技术规范或技术标准的要求。在实际施工中，发包人可以无条件要求施工单位更换不符合要求的产品，购进的材料设备与提供的样品不一致时，由承包人无条件退货，如因使用不符合国家标准及各项指标的材料，产生的相关费用由承包人承担。本工程所使用的产品必须满足消防等专业部门认定的品牌及标准，确保联动与匹配，且必须保证消防等各部门的专业验收。</w:t>
      </w:r>
    </w:p>
    <w:p>
      <w:pPr>
        <w:spacing w:line="460" w:lineRule="exact"/>
        <w:ind w:left="29" w:leftChars="14" w:firstLine="342" w:firstLineChars="162"/>
        <w:rPr>
          <w:rFonts w:ascii="宋体" w:hAnsi="宋体"/>
          <w:b/>
          <w:bCs/>
          <w:color w:val="auto"/>
          <w:kern w:val="0"/>
          <w:szCs w:val="21"/>
          <w:highlight w:val="none"/>
          <w:u w:val="single"/>
        </w:rPr>
      </w:pPr>
      <w:r>
        <w:rPr>
          <w:rFonts w:hint="eastAsia" w:ascii="宋体" w:hAnsi="宋体"/>
          <w:b/>
          <w:bCs/>
          <w:color w:val="auto"/>
          <w:kern w:val="0"/>
          <w:szCs w:val="21"/>
          <w:highlight w:val="none"/>
          <w:u w:val="single"/>
        </w:rPr>
        <w:t>（5）经公安消防部门抽检的消防设施、设备由投标人负责送检（相关手续由发包人配合办理），所发生的送检样品的材料费、车旅费等（不含检测费）已由承包人人自行考虑计入报价，结算时一律不作调整。</w:t>
      </w:r>
    </w:p>
    <w:p>
      <w:pPr>
        <w:spacing w:line="460" w:lineRule="exact"/>
        <w:ind w:left="29" w:leftChars="14" w:firstLine="342" w:firstLineChars="162"/>
        <w:rPr>
          <w:rFonts w:ascii="宋体" w:hAnsi="宋体"/>
          <w:b/>
          <w:bCs/>
          <w:color w:val="auto"/>
          <w:kern w:val="0"/>
          <w:szCs w:val="21"/>
          <w:highlight w:val="none"/>
          <w:u w:val="single"/>
        </w:rPr>
      </w:pPr>
      <w:r>
        <w:rPr>
          <w:rFonts w:hint="eastAsia" w:ascii="宋体" w:hAnsi="宋体"/>
          <w:b/>
          <w:bCs/>
          <w:color w:val="auto"/>
          <w:kern w:val="0"/>
          <w:szCs w:val="21"/>
          <w:highlight w:val="none"/>
          <w:u w:val="single"/>
        </w:rPr>
        <w:t>（6）若发包</w:t>
      </w:r>
      <w:r>
        <w:rPr>
          <w:rFonts w:hint="eastAsia" w:ascii="宋体" w:hAnsi="宋体"/>
          <w:b/>
          <w:color w:val="auto"/>
          <w:szCs w:val="21"/>
          <w:highlight w:val="none"/>
          <w:u w:val="single"/>
        </w:rPr>
        <w:t>人、监理单位对某批材料持有异议时，承包人须无条件、积极主动地配合发包人、</w:t>
      </w:r>
      <w:r>
        <w:rPr>
          <w:rFonts w:hint="eastAsia" w:ascii="宋体" w:hAnsi="宋体"/>
          <w:b/>
          <w:bCs/>
          <w:color w:val="auto"/>
          <w:kern w:val="0"/>
          <w:szCs w:val="21"/>
          <w:highlight w:val="none"/>
          <w:u w:val="single"/>
        </w:rPr>
        <w:t xml:space="preserve">监理单位进行检测，发生的费用按相关规定执行。 </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8.8 施工设备和临时设施</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 xml:space="preserve">8.8.1 </w:t>
      </w:r>
      <w:r>
        <w:rPr>
          <w:rFonts w:hint="eastAsia" w:ascii="宋体" w:hAnsi="宋体"/>
          <w:color w:val="auto"/>
          <w:szCs w:val="21"/>
          <w:highlight w:val="none"/>
        </w:rPr>
        <w:t>承包人</w:t>
      </w:r>
      <w:r>
        <w:rPr>
          <w:rFonts w:ascii="宋体" w:hAnsi="宋体"/>
          <w:color w:val="auto"/>
          <w:szCs w:val="21"/>
          <w:highlight w:val="none"/>
        </w:rPr>
        <w:t>提供的施工设备和临时设施</w:t>
      </w:r>
    </w:p>
    <w:p>
      <w:pPr>
        <w:autoSpaceDE w:val="0"/>
        <w:autoSpaceDN w:val="0"/>
        <w:adjustRightInd w:val="0"/>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关于修建临时设施费用承担的约定：</w:t>
      </w:r>
      <w:r>
        <w:rPr>
          <w:rFonts w:hint="eastAsia" w:ascii="宋体" w:hAnsi="宋体"/>
          <w:color w:val="auto"/>
          <w:szCs w:val="21"/>
          <w:highlight w:val="none"/>
          <w:u w:val="single"/>
        </w:rPr>
        <w:t xml:space="preserve">由承包人承担 </w:t>
      </w:r>
      <w:r>
        <w:rPr>
          <w:rFonts w:ascii="宋体" w:hAnsi="宋体"/>
          <w:color w:val="auto"/>
          <w:szCs w:val="21"/>
          <w:highlight w:val="none"/>
        </w:rPr>
        <w:t>。</w:t>
      </w:r>
    </w:p>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Pr>
        <w:pStyle w:val="6"/>
        <w:spacing w:before="120" w:after="120" w:line="440" w:lineRule="exact"/>
        <w:rPr>
          <w:rFonts w:ascii="宋体" w:hAnsi="宋体"/>
          <w:color w:val="auto"/>
          <w:szCs w:val="21"/>
          <w:highlight w:val="none"/>
        </w:rPr>
      </w:pPr>
      <w:bookmarkStart w:id="244" w:name="_Toc351203641"/>
      <w:r>
        <w:rPr>
          <w:rFonts w:ascii="宋体" w:hAnsi="宋体"/>
          <w:color w:val="auto"/>
          <w:szCs w:val="21"/>
          <w:highlight w:val="none"/>
        </w:rPr>
        <w:t>9</w:t>
      </w:r>
      <w:bookmarkEnd w:id="223"/>
      <w:bookmarkEnd w:id="224"/>
      <w:bookmarkEnd w:id="225"/>
      <w:bookmarkStart w:id="245" w:name="_Toc303539139"/>
      <w:bookmarkStart w:id="246" w:name="_Toc297216192"/>
      <w:bookmarkStart w:id="247" w:name="_Toc300934982"/>
      <w:bookmarkStart w:id="248" w:name="_Toc304295559"/>
      <w:bookmarkStart w:id="249" w:name="_Toc297123533"/>
      <w:bookmarkStart w:id="250" w:name="_Toc312677495"/>
      <w:bookmarkStart w:id="251" w:name="_Toc312678021"/>
      <w:bookmarkStart w:id="252" w:name="_Toc296346674"/>
      <w:bookmarkStart w:id="253" w:name="_Toc296891001"/>
      <w:bookmarkStart w:id="254" w:name="_Toc267251427"/>
      <w:bookmarkStart w:id="255" w:name="_Toc297120473"/>
      <w:bookmarkStart w:id="256" w:name="_Toc292559883"/>
      <w:bookmarkStart w:id="257" w:name="_Toc296347172"/>
      <w:bookmarkStart w:id="258" w:name="_Toc292559378"/>
      <w:bookmarkStart w:id="259" w:name="_Toc296503173"/>
      <w:bookmarkStart w:id="260" w:name="_Toc297048359"/>
      <w:bookmarkStart w:id="261" w:name="_Toc296891213"/>
      <w:bookmarkStart w:id="262" w:name="_Toc267251428"/>
      <w:bookmarkStart w:id="263" w:name="_Toc296944512"/>
      <w:r>
        <w:rPr>
          <w:rFonts w:ascii="宋体" w:hAnsi="宋体"/>
          <w:color w:val="auto"/>
          <w:szCs w:val="21"/>
          <w:highlight w:val="none"/>
        </w:rPr>
        <w:t>. 试验与检验</w:t>
      </w:r>
      <w:bookmarkEnd w:id="244"/>
    </w:p>
    <w:bookmarkEnd w:id="245"/>
    <w:bookmarkEnd w:id="246"/>
    <w:bookmarkEnd w:id="247"/>
    <w:bookmarkEnd w:id="248"/>
    <w:bookmarkEnd w:id="249"/>
    <w:bookmarkEnd w:id="250"/>
    <w:bookmarkEnd w:id="251"/>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9</w:t>
      </w:r>
      <w:bookmarkStart w:id="264" w:name="_Toc297123534"/>
      <w:bookmarkStart w:id="265" w:name="_Toc303539140"/>
      <w:bookmarkStart w:id="266" w:name="_Toc297216193"/>
      <w:bookmarkStart w:id="267" w:name="_Toc304295560"/>
      <w:bookmarkStart w:id="268" w:name="_Toc312678022"/>
      <w:bookmarkStart w:id="269" w:name="_Toc312677496"/>
      <w:bookmarkStart w:id="270" w:name="_Toc300934983"/>
      <w:r>
        <w:rPr>
          <w:rFonts w:ascii="宋体" w:hAnsi="宋体"/>
          <w:color w:val="auto"/>
          <w:szCs w:val="21"/>
          <w:highlight w:val="none"/>
        </w:rPr>
        <w:t>.1试验设备与试验人员</w:t>
      </w:r>
    </w:p>
    <w:bookmarkEnd w:id="264"/>
    <w:bookmarkEnd w:id="265"/>
    <w:bookmarkEnd w:id="266"/>
    <w:bookmarkEnd w:id="267"/>
    <w:bookmarkEnd w:id="268"/>
    <w:bookmarkEnd w:id="269"/>
    <w:bookmarkEnd w:id="270"/>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9</w:t>
      </w:r>
      <w:bookmarkStart w:id="271" w:name="_Toc303539141"/>
      <w:bookmarkStart w:id="272" w:name="_Toc297123535"/>
      <w:bookmarkStart w:id="273" w:name="_Toc304295561"/>
      <w:bookmarkStart w:id="274" w:name="_Toc312677497"/>
      <w:bookmarkStart w:id="275" w:name="_Toc297216194"/>
      <w:bookmarkStart w:id="276" w:name="_Toc300934984"/>
      <w:bookmarkStart w:id="277" w:name="_Toc312678023"/>
      <w:bookmarkStart w:id="278" w:name="_Toc318581174"/>
      <w:r>
        <w:rPr>
          <w:rFonts w:ascii="宋体" w:hAnsi="宋体"/>
          <w:color w:val="auto"/>
          <w:szCs w:val="21"/>
          <w:highlight w:val="none"/>
        </w:rPr>
        <w:t>.1.2 试验设备</w:t>
      </w:r>
    </w:p>
    <w:p>
      <w:pPr>
        <w:spacing w:line="440" w:lineRule="exact"/>
        <w:ind w:firstLine="420" w:firstLineChars="200"/>
        <w:jc w:val="left"/>
        <w:rPr>
          <w:rFonts w:ascii="宋体" w:hAnsi="宋体"/>
          <w:color w:val="auto"/>
          <w:szCs w:val="21"/>
          <w:highlight w:val="none"/>
          <w:u w:val="single"/>
        </w:rPr>
      </w:pPr>
      <w:r>
        <w:rPr>
          <w:rFonts w:ascii="宋体" w:hAnsi="宋体"/>
          <w:color w:val="auto"/>
          <w:szCs w:val="21"/>
          <w:highlight w:val="none"/>
        </w:rPr>
        <w:t>施工现场需要配置的试验场所：</w:t>
      </w:r>
      <w:bookmarkEnd w:id="271"/>
      <w:bookmarkEnd w:id="272"/>
      <w:bookmarkEnd w:id="273"/>
      <w:bookmarkEnd w:id="274"/>
      <w:bookmarkEnd w:id="275"/>
      <w:bookmarkEnd w:id="276"/>
      <w:bookmarkEnd w:id="277"/>
      <w:bookmarkStart w:id="279" w:name="_Toc312677498"/>
      <w:bookmarkStart w:id="280" w:name="_Toc312678024"/>
      <w:bookmarkStart w:id="281" w:name="_Toc304295562"/>
      <w:bookmarkStart w:id="282" w:name="_Toc297216195"/>
      <w:bookmarkStart w:id="283" w:name="_Toc297123536"/>
      <w:bookmarkStart w:id="284" w:name="_Toc300934985"/>
      <w:bookmarkStart w:id="285" w:name="_Toc303539142"/>
      <w:r>
        <w:rPr>
          <w:rFonts w:hint="eastAsia" w:ascii="宋体" w:hAnsi="宋体"/>
          <w:b/>
          <w:color w:val="auto"/>
          <w:szCs w:val="21"/>
          <w:highlight w:val="none"/>
          <w:u w:val="single"/>
        </w:rPr>
        <w:t>按有关规定执行</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施工现场需要配备的试验设备：</w:t>
      </w:r>
      <w:r>
        <w:rPr>
          <w:rFonts w:hint="eastAsia" w:ascii="宋体" w:hAnsi="宋体"/>
          <w:b/>
          <w:color w:val="auto"/>
          <w:szCs w:val="21"/>
          <w:highlight w:val="none"/>
          <w:u w:val="single"/>
        </w:rPr>
        <w:t>按有关规定执行</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施工现场需要具备的其他试验条件：</w:t>
      </w:r>
      <w:r>
        <w:rPr>
          <w:rFonts w:hint="eastAsia" w:ascii="宋体" w:hAnsi="宋体"/>
          <w:b/>
          <w:color w:val="auto"/>
          <w:szCs w:val="21"/>
          <w:highlight w:val="none"/>
          <w:u w:val="single"/>
        </w:rPr>
        <w:t>按有关规定执行</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9.4 现场工艺试验</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现场工艺试验的有关约定：</w:t>
      </w:r>
      <w:r>
        <w:rPr>
          <w:rFonts w:hint="eastAsia" w:ascii="宋体" w:hAnsi="宋体"/>
          <w:color w:val="auto"/>
          <w:szCs w:val="21"/>
          <w:highlight w:val="none"/>
          <w:u w:val="single"/>
        </w:rPr>
        <w:t>/</w:t>
      </w:r>
      <w:r>
        <w:rPr>
          <w:rFonts w:ascii="宋体" w:hAnsi="宋体"/>
          <w:color w:val="auto"/>
          <w:szCs w:val="21"/>
          <w:highlight w:val="none"/>
        </w:rPr>
        <w:t>。</w:t>
      </w:r>
    </w:p>
    <w:bookmarkEnd w:id="278"/>
    <w:bookmarkEnd w:id="279"/>
    <w:bookmarkEnd w:id="280"/>
    <w:bookmarkEnd w:id="281"/>
    <w:bookmarkEnd w:id="282"/>
    <w:bookmarkEnd w:id="283"/>
    <w:bookmarkEnd w:id="284"/>
    <w:bookmarkEnd w:id="285"/>
    <w:p>
      <w:pPr>
        <w:pStyle w:val="6"/>
        <w:spacing w:before="120" w:after="120" w:line="440" w:lineRule="exact"/>
        <w:rPr>
          <w:rFonts w:ascii="宋体" w:hAnsi="宋体"/>
          <w:color w:val="auto"/>
          <w:szCs w:val="21"/>
          <w:highlight w:val="none"/>
        </w:rPr>
      </w:pPr>
      <w:bookmarkStart w:id="286" w:name="_Toc351203642"/>
      <w:r>
        <w:rPr>
          <w:rFonts w:ascii="宋体" w:hAnsi="宋体"/>
          <w:color w:val="auto"/>
          <w:szCs w:val="21"/>
          <w:highlight w:val="none"/>
        </w:rPr>
        <w:t>1</w:t>
      </w:r>
      <w:bookmarkEnd w:id="252"/>
      <w:bookmarkEnd w:id="253"/>
      <w:bookmarkEnd w:id="254"/>
      <w:bookmarkEnd w:id="255"/>
      <w:bookmarkEnd w:id="256"/>
      <w:bookmarkEnd w:id="257"/>
      <w:bookmarkEnd w:id="258"/>
      <w:bookmarkEnd w:id="259"/>
      <w:bookmarkEnd w:id="260"/>
      <w:bookmarkEnd w:id="261"/>
      <w:bookmarkEnd w:id="262"/>
      <w:bookmarkEnd w:id="263"/>
      <w:bookmarkStart w:id="287" w:name="_Toc297120493"/>
      <w:bookmarkStart w:id="288" w:name="_Toc296944532"/>
      <w:bookmarkStart w:id="289" w:name="_Toc296347192"/>
      <w:bookmarkStart w:id="290" w:name="_Toc297048379"/>
      <w:bookmarkStart w:id="291" w:name="_Toc296891233"/>
      <w:bookmarkStart w:id="292" w:name="_Toc296346694"/>
      <w:bookmarkStart w:id="293" w:name="_Toc296503193"/>
      <w:bookmarkStart w:id="294" w:name="_Toc303539146"/>
      <w:bookmarkStart w:id="295" w:name="_Toc296891021"/>
      <w:bookmarkStart w:id="296" w:name="_Toc292559903"/>
      <w:bookmarkStart w:id="297" w:name="_Toc300934989"/>
      <w:bookmarkStart w:id="298" w:name="_Toc297216199"/>
      <w:bookmarkStart w:id="299" w:name="_Toc297123540"/>
      <w:bookmarkStart w:id="300" w:name="_Toc292559398"/>
      <w:bookmarkStart w:id="301" w:name="_Toc304295566"/>
      <w:bookmarkStart w:id="302" w:name="_Toc312678025"/>
      <w:bookmarkStart w:id="303" w:name="_Toc312677499"/>
      <w:bookmarkStart w:id="304" w:name="_Toc267251435"/>
      <w:bookmarkStart w:id="305" w:name="_Toc267251433"/>
      <w:bookmarkStart w:id="306" w:name="_Toc267251441"/>
      <w:bookmarkStart w:id="307" w:name="_Toc267251440"/>
      <w:bookmarkStart w:id="308" w:name="_Toc267251439"/>
      <w:bookmarkStart w:id="309" w:name="_Toc267251437"/>
      <w:bookmarkStart w:id="310" w:name="_Toc267251442"/>
      <w:r>
        <w:rPr>
          <w:rFonts w:ascii="宋体" w:hAnsi="宋体"/>
          <w:color w:val="auto"/>
          <w:szCs w:val="21"/>
          <w:highlight w:val="none"/>
        </w:rPr>
        <w:t>0. 变更</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bookmarkEnd w:id="302"/>
    <w:bookmarkEnd w:id="303"/>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w:t>
      </w:r>
      <w:bookmarkStart w:id="311" w:name="_Toc300934990"/>
      <w:bookmarkStart w:id="312" w:name="_Toc296503194"/>
      <w:bookmarkStart w:id="313" w:name="_Toc297216200"/>
      <w:bookmarkStart w:id="314" w:name="_Toc312678026"/>
      <w:bookmarkStart w:id="315" w:name="_Toc296347193"/>
      <w:bookmarkStart w:id="316" w:name="_Toc296346695"/>
      <w:bookmarkStart w:id="317" w:name="_Toc303539147"/>
      <w:bookmarkStart w:id="318" w:name="_Toc292559399"/>
      <w:bookmarkStart w:id="319" w:name="_Toc292559904"/>
      <w:bookmarkStart w:id="320" w:name="_Toc312677500"/>
      <w:bookmarkStart w:id="321" w:name="_Toc296891022"/>
      <w:bookmarkStart w:id="322" w:name="_Toc297048380"/>
      <w:bookmarkStart w:id="323" w:name="_Toc304295567"/>
      <w:bookmarkStart w:id="324" w:name="_Toc296944533"/>
      <w:bookmarkStart w:id="325" w:name="_Toc296891234"/>
      <w:bookmarkStart w:id="326" w:name="_Toc297120494"/>
      <w:bookmarkStart w:id="327" w:name="_Toc297123541"/>
      <w:r>
        <w:rPr>
          <w:rFonts w:ascii="宋体" w:hAnsi="宋体"/>
          <w:color w:val="auto"/>
          <w:szCs w:val="21"/>
          <w:highlight w:val="none"/>
        </w:rPr>
        <w:t>0.1变更的范围</w:t>
      </w:r>
    </w:p>
    <w:p>
      <w:pPr>
        <w:spacing w:line="440" w:lineRule="exact"/>
        <w:ind w:firstLine="420" w:firstLineChars="200"/>
        <w:jc w:val="left"/>
        <w:rPr>
          <w:rFonts w:ascii="宋体" w:hAnsi="宋体"/>
          <w:color w:val="auto"/>
          <w:szCs w:val="21"/>
          <w:highlight w:val="none"/>
          <w:u w:val="single"/>
        </w:rPr>
      </w:pPr>
      <w:r>
        <w:rPr>
          <w:rFonts w:ascii="宋体" w:hAnsi="宋体"/>
          <w:color w:val="auto"/>
          <w:szCs w:val="21"/>
          <w:highlight w:val="none"/>
        </w:rPr>
        <w:t>关于变更的范围的约定：</w:t>
      </w:r>
      <w:r>
        <w:rPr>
          <w:rFonts w:hint="eastAsia" w:ascii="宋体" w:hAnsi="宋体"/>
          <w:color w:val="auto"/>
          <w:szCs w:val="21"/>
          <w:highlight w:val="none"/>
          <w:u w:val="single"/>
        </w:rPr>
        <w:t>按通用条款约定</w:t>
      </w:r>
      <w:r>
        <w:rPr>
          <w:rFonts w:ascii="宋体" w:hAnsi="宋体"/>
          <w:color w:val="auto"/>
          <w:szCs w:val="21"/>
          <w:highlight w:val="none"/>
          <w:u w:val="single"/>
        </w:rPr>
        <w:t>。</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10.2变更权</w:t>
      </w:r>
    </w:p>
    <w:p>
      <w:pPr>
        <w:spacing w:line="440" w:lineRule="exact"/>
        <w:ind w:firstLine="422" w:firstLineChars="200"/>
        <w:jc w:val="left"/>
        <w:rPr>
          <w:rFonts w:ascii="宋体" w:hAnsi="宋体"/>
          <w:b/>
          <w:color w:val="auto"/>
          <w:szCs w:val="21"/>
          <w:highlight w:val="none"/>
        </w:rPr>
      </w:pPr>
      <w:r>
        <w:rPr>
          <w:rFonts w:hint="eastAsia" w:ascii="宋体" w:hAnsi="宋体"/>
          <w:b/>
          <w:bCs/>
          <w:color w:val="auto"/>
          <w:szCs w:val="21"/>
          <w:highlight w:val="none"/>
          <w:u w:val="single"/>
        </w:rPr>
        <w:t>监理单位</w:t>
      </w:r>
      <w:r>
        <w:rPr>
          <w:rFonts w:hint="eastAsia" w:ascii="宋体" w:hAnsi="宋体"/>
          <w:b/>
          <w:color w:val="auto"/>
          <w:szCs w:val="21"/>
          <w:highlight w:val="none"/>
          <w:u w:val="single"/>
        </w:rPr>
        <w:t>、承包人、设计单位根据工程需要提出工程变更，需由发包人技术组组织审核其必要性、技术性、可行性、经济性等。设计单位出具变更通知单或变更图纸应经发包人审核同意签字盖章后，方可按工程变更实施。</w:t>
      </w:r>
    </w:p>
    <w:p>
      <w:pPr>
        <w:spacing w:line="440" w:lineRule="exact"/>
        <w:ind w:firstLine="413" w:firstLineChars="196"/>
        <w:jc w:val="left"/>
        <w:rPr>
          <w:rFonts w:ascii="宋体" w:hAnsi="宋体"/>
          <w:b/>
          <w:color w:val="auto"/>
          <w:szCs w:val="21"/>
          <w:highlight w:val="none"/>
          <w:u w:val="single"/>
        </w:rPr>
      </w:pPr>
      <w:r>
        <w:rPr>
          <w:rFonts w:hint="eastAsia" w:ascii="宋体" w:hAnsi="宋体"/>
          <w:b/>
          <w:color w:val="auto"/>
          <w:szCs w:val="21"/>
          <w:highlight w:val="none"/>
          <w:u w:val="single"/>
        </w:rPr>
        <w:t>承包人不得随意更改设计，因承包人自身原因导致的工程变更，承包人无权要求追加合同价款。</w:t>
      </w:r>
    </w:p>
    <w:p>
      <w:pPr>
        <w:spacing w:line="440" w:lineRule="exact"/>
        <w:ind w:firstLine="413" w:firstLineChars="196"/>
        <w:jc w:val="left"/>
        <w:rPr>
          <w:rFonts w:ascii="宋体" w:hAnsi="宋体"/>
          <w:b/>
          <w:color w:val="auto"/>
          <w:szCs w:val="21"/>
          <w:highlight w:val="none"/>
          <w:u w:val="single"/>
        </w:rPr>
      </w:pPr>
      <w:r>
        <w:rPr>
          <w:rFonts w:hint="eastAsia" w:ascii="宋体" w:hAnsi="宋体"/>
          <w:b/>
          <w:color w:val="auto"/>
          <w:szCs w:val="21"/>
          <w:highlight w:val="none"/>
          <w:u w:val="single"/>
        </w:rPr>
        <w:t>如承包人擅自变更，发包人有权对其进行处罚，视情节严重每次处以2000元~5000元的处罚。</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10.3变更程序</w:t>
      </w:r>
    </w:p>
    <w:p>
      <w:pPr>
        <w:spacing w:line="440" w:lineRule="exact"/>
        <w:ind w:firstLine="422" w:firstLineChars="200"/>
        <w:jc w:val="left"/>
        <w:rPr>
          <w:rFonts w:ascii="宋体" w:hAnsi="宋体"/>
          <w:b/>
          <w:color w:val="auto"/>
          <w:szCs w:val="21"/>
          <w:highlight w:val="none"/>
          <w:u w:val="single"/>
        </w:rPr>
      </w:pPr>
      <w:r>
        <w:rPr>
          <w:rFonts w:hint="eastAsia" w:ascii="宋体" w:hAnsi="宋体"/>
          <w:b/>
          <w:bCs/>
          <w:color w:val="auto"/>
          <w:szCs w:val="21"/>
          <w:highlight w:val="none"/>
          <w:u w:val="single"/>
        </w:rPr>
        <w:t>设计</w:t>
      </w:r>
      <w:r>
        <w:rPr>
          <w:rFonts w:hint="eastAsia" w:ascii="宋体" w:hAnsi="宋体"/>
          <w:b/>
          <w:color w:val="auto"/>
          <w:szCs w:val="21"/>
          <w:highlight w:val="none"/>
          <w:u w:val="single"/>
        </w:rPr>
        <w:t>变更、签证资料必须及时经发包人、监理单位书面确认，隐蔽性工程的变更签证要在3日内办理完。承包人在工程变更确定后14天内，提出变更工程价款的报告，经监理工程师签证，发包人批准后方可进行变更。</w:t>
      </w:r>
    </w:p>
    <w:p>
      <w:pPr>
        <w:spacing w:line="440" w:lineRule="exact"/>
        <w:ind w:firstLine="422" w:firstLineChars="200"/>
        <w:jc w:val="left"/>
        <w:rPr>
          <w:rFonts w:ascii="宋体" w:hAnsi="宋体"/>
          <w:b/>
          <w:color w:val="auto"/>
          <w:szCs w:val="21"/>
          <w:highlight w:val="none"/>
          <w:u w:val="single"/>
        </w:rPr>
      </w:pPr>
      <w:r>
        <w:rPr>
          <w:rFonts w:hint="eastAsia" w:ascii="宋体" w:hAnsi="宋体"/>
          <w:b/>
          <w:color w:val="auto"/>
          <w:szCs w:val="21"/>
          <w:highlight w:val="none"/>
          <w:u w:val="single"/>
        </w:rPr>
        <w:t>合同履约中，双方填制的变更、签证通知单以及办理相关手续，都应严格按照发包人的内部工作管理制度执行，按顺序进行统一分类编号，并附有相应的真实图片及发生的费用，否则发包人可以不予审核。</w:t>
      </w:r>
    </w:p>
    <w:p>
      <w:pPr>
        <w:spacing w:line="440" w:lineRule="exact"/>
        <w:ind w:firstLine="422" w:firstLineChars="200"/>
        <w:jc w:val="left"/>
        <w:rPr>
          <w:rFonts w:ascii="宋体" w:hAnsi="宋体"/>
          <w:b/>
          <w:color w:val="auto"/>
          <w:szCs w:val="21"/>
          <w:highlight w:val="none"/>
          <w:u w:val="single"/>
        </w:rPr>
      </w:pPr>
      <w:r>
        <w:rPr>
          <w:rFonts w:hint="eastAsia" w:ascii="宋体" w:hAnsi="宋体"/>
          <w:b/>
          <w:color w:val="auto"/>
          <w:szCs w:val="21"/>
          <w:highlight w:val="none"/>
          <w:u w:val="single"/>
        </w:rPr>
        <w:t>承包人作为有经验的承包商，对工程技术及施工图纸中的问题应提前发现，并在图纸会审时或以技术核定单的形式及时提出；如果承包人由于各种原因不提出或未及时提出而导致工程产生的质量、进度、安全、成本等问题及后果，承包人承担一切责任。</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10.4变更估价</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10.4.1 变更估价原则</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（1）变更合同价款按下列方式进行：</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1）本工程以投标截止日前28天为基准值，其后国家的法律、法规、规章和策发生变化影响工程造价，可根据合同约定调整合同价外，其余一律不作调整。</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2）当招标工程量清单出现错误或者工程变更等发包人原因导致工程量清单偏差需要对综合单价应进行调整的，按照以下的计价办法结算：</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fldChar w:fldCharType="begin"/>
      </w:r>
      <w:r>
        <w:rPr>
          <w:rFonts w:hint="eastAsia" w:ascii="宋体" w:hAnsi="宋体"/>
          <w:color w:val="auto"/>
          <w:szCs w:val="21"/>
          <w:highlight w:val="none"/>
          <w:u w:val="single"/>
        </w:rPr>
        <w:instrText xml:space="preserve"> = 1 \* GB3 </w:instrText>
      </w:r>
      <w:r>
        <w:rPr>
          <w:rFonts w:hint="eastAsia" w:ascii="宋体" w:hAnsi="宋体"/>
          <w:color w:val="auto"/>
          <w:szCs w:val="21"/>
          <w:highlight w:val="none"/>
          <w:u w:val="single"/>
        </w:rPr>
        <w:fldChar w:fldCharType="separate"/>
      </w:r>
      <w:r>
        <w:rPr>
          <w:rFonts w:hint="eastAsia" w:ascii="宋体" w:hAnsi="宋体"/>
          <w:color w:val="auto"/>
          <w:szCs w:val="21"/>
          <w:highlight w:val="none"/>
          <w:u w:val="single"/>
        </w:rPr>
        <w:t>①</w:t>
      </w:r>
      <w:r>
        <w:rPr>
          <w:rFonts w:hint="eastAsia" w:ascii="宋体" w:hAnsi="宋体"/>
          <w:color w:val="auto"/>
          <w:szCs w:val="21"/>
          <w:highlight w:val="none"/>
          <w:u w:val="single"/>
        </w:rPr>
        <w:fldChar w:fldCharType="end"/>
      </w:r>
      <w:r>
        <w:rPr>
          <w:rFonts w:hint="eastAsia" w:ascii="宋体" w:hAnsi="宋体"/>
          <w:color w:val="auto"/>
          <w:szCs w:val="21"/>
          <w:highlight w:val="none"/>
          <w:u w:val="single"/>
        </w:rPr>
        <w:t>当工程因变更、签证或清单工程量错误等原因导致实际工程量变化时，该项目的单价应按下列方式调整：</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当Q1＞1.15Q0时：  S＝1.15Q0×P0+(Q1－1.15Q0)×P1</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当0.85Q0≤Q1≤1.15Q0时：S＝Q1×P0</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当Q1＜0.85Q0：  S＝Q1×P1</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S－调整后的某一分部分项工程费结算价</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Q1－最终完成的工程量</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Q0－招标工程量清单中列出的工程量</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P0－承包人在工程量清单中填报的综合单价</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P1－按照最终完成工程量重新调整后的综合单价（即按招标控制价编制依据计价×（1-承包人报价浮动率），如招标控制价中出现明显错误的综合单价时，可按控制价编制原则进行修正，[报价浮动率c＝（1－中标价/招标控制价）×100%，中标价、招标控制价须扣除暂估价、暂列金额及相应的规费税金]提出变更工程项目的单价，并应报发包人确认后调整。）</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当工程量增加15%以上时，增加部分的工程量综合单价应予调低(P0与P1两者取较小值)；</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当工程量减少15%以上时，减少后剩余部分工程量的综合单价应予调高，当P0&lt;P1时，调高部分按Q1*（P1-P0）*30%计取，即S＝Q1×P0+ Q1*（P1-P0）*30%；当P0&gt;P1时，则S＝Q1×P0。但若承包人出现不平衡报价，当P0&lt;P1*0.85时，则S＝Q1×P0，当P0&gt;1.15*P1时，即S＝Q1×P1。</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fldChar w:fldCharType="begin"/>
      </w:r>
      <w:r>
        <w:rPr>
          <w:rFonts w:hint="eastAsia" w:ascii="宋体" w:hAnsi="宋体"/>
          <w:color w:val="auto"/>
          <w:szCs w:val="21"/>
          <w:highlight w:val="none"/>
          <w:u w:val="single"/>
        </w:rPr>
        <w:instrText xml:space="preserve"> = 2 \* GB3 </w:instrText>
      </w:r>
      <w:r>
        <w:rPr>
          <w:rFonts w:hint="eastAsia" w:ascii="宋体" w:hAnsi="宋体"/>
          <w:color w:val="auto"/>
          <w:szCs w:val="21"/>
          <w:highlight w:val="none"/>
          <w:u w:val="single"/>
        </w:rPr>
        <w:fldChar w:fldCharType="separate"/>
      </w:r>
      <w:r>
        <w:rPr>
          <w:rFonts w:hint="eastAsia" w:ascii="宋体" w:hAnsi="宋体"/>
          <w:color w:val="auto"/>
          <w:szCs w:val="21"/>
          <w:highlight w:val="none"/>
          <w:u w:val="single"/>
        </w:rPr>
        <w:t>②</w:t>
      </w:r>
      <w:r>
        <w:rPr>
          <w:rFonts w:hint="eastAsia" w:ascii="宋体" w:hAnsi="宋体"/>
          <w:color w:val="auto"/>
          <w:szCs w:val="21"/>
          <w:highlight w:val="none"/>
          <w:u w:val="single"/>
        </w:rPr>
        <w:fldChar w:fldCharType="end"/>
      </w:r>
      <w:r>
        <w:rPr>
          <w:rFonts w:hint="eastAsia" w:ascii="宋体" w:hAnsi="宋体"/>
          <w:color w:val="auto"/>
          <w:szCs w:val="21"/>
          <w:highlight w:val="none"/>
          <w:u w:val="single"/>
        </w:rPr>
        <w:t>已标价工程量清单中有适用于变更工程项目的，应采用该项目的单价；已标价工程量清单中没有适用但有类似于变更工程项目的，可在合理范围内参照类似项目的单价。</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fldChar w:fldCharType="begin"/>
      </w:r>
      <w:r>
        <w:rPr>
          <w:rFonts w:hint="eastAsia" w:ascii="宋体" w:hAnsi="宋体"/>
          <w:color w:val="auto"/>
          <w:szCs w:val="21"/>
          <w:highlight w:val="none"/>
          <w:u w:val="single"/>
        </w:rPr>
        <w:instrText xml:space="preserve"> = 3 \* GB3 </w:instrText>
      </w:r>
      <w:r>
        <w:rPr>
          <w:rFonts w:hint="eastAsia" w:ascii="宋体" w:hAnsi="宋体"/>
          <w:color w:val="auto"/>
          <w:szCs w:val="21"/>
          <w:highlight w:val="none"/>
          <w:u w:val="single"/>
        </w:rPr>
        <w:fldChar w:fldCharType="separate"/>
      </w:r>
      <w:r>
        <w:rPr>
          <w:rFonts w:hint="eastAsia" w:ascii="宋体" w:hAnsi="宋体"/>
          <w:color w:val="auto"/>
          <w:szCs w:val="21"/>
          <w:highlight w:val="none"/>
          <w:u w:val="single"/>
        </w:rPr>
        <w:t>③</w:t>
      </w:r>
      <w:r>
        <w:rPr>
          <w:rFonts w:hint="eastAsia" w:ascii="宋体" w:hAnsi="宋体"/>
          <w:color w:val="auto"/>
          <w:szCs w:val="21"/>
          <w:highlight w:val="none"/>
          <w:u w:val="single"/>
        </w:rPr>
        <w:fldChar w:fldCharType="end"/>
      </w:r>
      <w:r>
        <w:rPr>
          <w:rFonts w:hint="eastAsia" w:ascii="宋体" w:hAnsi="宋体"/>
          <w:color w:val="auto"/>
          <w:szCs w:val="21"/>
          <w:highlight w:val="none"/>
          <w:u w:val="single"/>
        </w:rPr>
        <w:t>已标价工程量清单中没有适用也没有类似于变更工程项目的，应由承包人根据变更工程资料、计量规则和按招标控制价编制依据计价×（1-承包人报价浮动率）[报价浮动率c＝（1－中标价/招标控制价）×100%，中标价、招标控制价须扣除暂估价、暂列金额及相应的规费税金]提出变更工程项目的单价，并应报发包人确认后调整。</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fldChar w:fldCharType="begin"/>
      </w:r>
      <w:r>
        <w:rPr>
          <w:rFonts w:hint="eastAsia" w:ascii="宋体" w:hAnsi="宋体"/>
          <w:color w:val="auto"/>
          <w:szCs w:val="21"/>
          <w:highlight w:val="none"/>
          <w:u w:val="single"/>
        </w:rPr>
        <w:instrText xml:space="preserve"> = 4 \* GB3 </w:instrText>
      </w:r>
      <w:r>
        <w:rPr>
          <w:rFonts w:hint="eastAsia" w:ascii="宋体" w:hAnsi="宋体"/>
          <w:color w:val="auto"/>
          <w:szCs w:val="21"/>
          <w:highlight w:val="none"/>
          <w:u w:val="single"/>
        </w:rPr>
        <w:fldChar w:fldCharType="separate"/>
      </w:r>
      <w:r>
        <w:rPr>
          <w:rFonts w:hint="eastAsia" w:ascii="宋体" w:hAnsi="宋体"/>
          <w:color w:val="auto"/>
          <w:szCs w:val="21"/>
          <w:highlight w:val="none"/>
          <w:u w:val="single"/>
        </w:rPr>
        <w:t>④</w:t>
      </w:r>
      <w:r>
        <w:rPr>
          <w:rFonts w:hint="eastAsia" w:ascii="宋体" w:hAnsi="宋体"/>
          <w:color w:val="auto"/>
          <w:szCs w:val="21"/>
          <w:highlight w:val="none"/>
          <w:u w:val="single"/>
        </w:rPr>
        <w:fldChar w:fldCharType="end"/>
      </w:r>
      <w:r>
        <w:rPr>
          <w:rFonts w:hint="eastAsia" w:ascii="宋体" w:hAnsi="宋体"/>
          <w:color w:val="auto"/>
          <w:szCs w:val="21"/>
          <w:highlight w:val="none"/>
          <w:u w:val="single"/>
        </w:rPr>
        <w:t>已标价工程量清单中没有适用也没有类似于变更工程项目，且南通市建设工程造价管理处发布的信息价格缺价的，应由承包人根据变更工程资料、计量规则和计价办法和通过市场调查等取得有合法依据的市场价格提出变更工程项目的单价，并应报发包人确认后调整。</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3）工程变更引起施工方案改变并使措施项目发生变化时，承包人提出调整措施项目费的，应事先将拟实施的方案提交发包人确认，并应详细说明与原方案措施项目相比的变化情况。经发承包双方确认后执行，并按照下列规定调整：安全文明施工费按招标文件规定的费率且以最终核定的结果为准；采用单价计算的措施项目费，应按照实际发生变化的措施项目调整，按本条目中的有关约定确定单价（招标文件另有约定按照投标报价一次性包定结算时不调整的项目除外）；按总价（或系数）计算的措施项目费，则一次性包定，结算时不予调整。</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4）关于变更估价的约定：</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 xml:space="preserve">1、承包人应在工程设计变更或工程量签证确定后14天内，提出变更工程价款报告，经监理机构审批后调整合同价款，否则，视为该工程不涉及合同价款的变更。 </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2、承包人不得随意更改设计，因承包人自身原因导致的工程变更，承包人无权要求追加合同价款。承包人提出的合理化建议等涉及到设计变更或补充的，应征得总监及发包人同意。</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3、设计变更、签证资料必须及时报经监理初审，并报发包人确认，隐蔽性工程的变更签证要在3日内办理完成，其它变更签证15日内办理完成，逾期签证发包人将不予受理。</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4、工程变更价款调整：详见本合同专业条款第12.1条。</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Start w:id="328" w:name="_Toc297048383"/>
      <w:bookmarkStart w:id="329" w:name="_Toc303539150"/>
      <w:bookmarkStart w:id="330" w:name="_Toc296347196"/>
      <w:bookmarkStart w:id="331" w:name="_Toc296503197"/>
      <w:bookmarkStart w:id="332" w:name="_Toc292559402"/>
      <w:bookmarkStart w:id="333" w:name="_Toc297123544"/>
      <w:bookmarkStart w:id="334" w:name="_Toc296944536"/>
      <w:bookmarkStart w:id="335" w:name="_Toc297216203"/>
      <w:bookmarkStart w:id="336" w:name="_Toc296891237"/>
      <w:bookmarkStart w:id="337" w:name="_Toc300934993"/>
      <w:bookmarkStart w:id="338" w:name="_Toc292559907"/>
      <w:bookmarkStart w:id="339" w:name="_Toc296891025"/>
      <w:bookmarkStart w:id="340" w:name="_Toc297120497"/>
      <w:bookmarkStart w:id="341" w:name="_Toc296346698"/>
      <w:bookmarkStart w:id="342" w:name="_Toc304295570"/>
      <w:bookmarkStart w:id="343" w:name="_Toc312677503"/>
      <w:bookmarkStart w:id="344" w:name="_Toc312678029"/>
      <w:r>
        <w:rPr>
          <w:rFonts w:ascii="宋体" w:hAnsi="宋体"/>
          <w:color w:val="auto"/>
          <w:szCs w:val="21"/>
          <w:highlight w:val="none"/>
        </w:rPr>
        <w:t>0.5</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Start w:id="345" w:name="_Toc297048389"/>
      <w:bookmarkStart w:id="346" w:name="_Toc296891243"/>
      <w:bookmarkStart w:id="347" w:name="_Toc292559408"/>
      <w:bookmarkStart w:id="348" w:name="_Toc296347202"/>
      <w:bookmarkStart w:id="349" w:name="_Toc296503203"/>
      <w:bookmarkStart w:id="350" w:name="_Toc296346704"/>
      <w:bookmarkStart w:id="351" w:name="_Toc297123545"/>
      <w:bookmarkStart w:id="352" w:name="_Toc296891031"/>
      <w:bookmarkStart w:id="353" w:name="_Toc292559913"/>
      <w:bookmarkStart w:id="354" w:name="_Toc303539151"/>
      <w:bookmarkStart w:id="355" w:name="_Toc297216204"/>
      <w:bookmarkStart w:id="356" w:name="_Toc300934994"/>
      <w:bookmarkStart w:id="357" w:name="_Toc297120503"/>
      <w:bookmarkStart w:id="358" w:name="_Toc296944542"/>
      <w:r>
        <w:rPr>
          <w:rFonts w:hint="eastAsia" w:ascii="宋体" w:hAnsi="宋体"/>
          <w:color w:val="auto"/>
          <w:szCs w:val="21"/>
          <w:highlight w:val="none"/>
        </w:rPr>
        <w:t>承包人</w:t>
      </w:r>
      <w:r>
        <w:rPr>
          <w:rFonts w:ascii="宋体" w:hAnsi="宋体"/>
          <w:color w:val="auto"/>
          <w:szCs w:val="21"/>
          <w:highlight w:val="none"/>
        </w:rPr>
        <w:t>的合理化建议</w:t>
      </w:r>
    </w:p>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监理人审查</w:t>
      </w:r>
      <w:r>
        <w:rPr>
          <w:rFonts w:hint="eastAsia" w:ascii="宋体" w:hAnsi="宋体"/>
          <w:color w:val="auto"/>
          <w:szCs w:val="21"/>
          <w:highlight w:val="none"/>
        </w:rPr>
        <w:t>承包人</w:t>
      </w:r>
      <w:r>
        <w:rPr>
          <w:rFonts w:ascii="宋体" w:hAnsi="宋体"/>
          <w:color w:val="auto"/>
          <w:szCs w:val="21"/>
          <w:highlight w:val="none"/>
        </w:rPr>
        <w:t>合理化建议的期限：</w:t>
      </w:r>
      <w:r>
        <w:rPr>
          <w:rFonts w:hint="eastAsia" w:ascii="宋体" w:hAnsi="宋体"/>
          <w:color w:val="auto"/>
          <w:szCs w:val="21"/>
          <w:highlight w:val="none"/>
          <w:u w:val="single"/>
        </w:rPr>
        <w:t>/</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发包人审批</w:t>
      </w:r>
      <w:r>
        <w:rPr>
          <w:rFonts w:hint="eastAsia" w:ascii="宋体" w:hAnsi="宋体"/>
          <w:color w:val="auto"/>
          <w:szCs w:val="21"/>
          <w:highlight w:val="none"/>
        </w:rPr>
        <w:t>承包人</w:t>
      </w:r>
      <w:r>
        <w:rPr>
          <w:rFonts w:ascii="宋体" w:hAnsi="宋体"/>
          <w:color w:val="auto"/>
          <w:szCs w:val="21"/>
          <w:highlight w:val="none"/>
        </w:rPr>
        <w:t>合理化建议的期限：</w:t>
      </w:r>
      <w:r>
        <w:rPr>
          <w:rFonts w:hint="eastAsia" w:ascii="宋体" w:hAnsi="宋体"/>
          <w:color w:val="auto"/>
          <w:szCs w:val="21"/>
          <w:highlight w:val="none"/>
          <w:u w:val="single"/>
        </w:rPr>
        <w:t>/</w:t>
      </w:r>
      <w:r>
        <w:rPr>
          <w:rFonts w:ascii="宋体" w:hAnsi="宋体"/>
          <w:color w:val="auto"/>
          <w:szCs w:val="21"/>
          <w:highlight w:val="none"/>
        </w:rPr>
        <w:t>。</w:t>
      </w:r>
    </w:p>
    <w:p>
      <w:pPr>
        <w:spacing w:line="440" w:lineRule="exact"/>
        <w:jc w:val="left"/>
        <w:rPr>
          <w:rFonts w:ascii="宋体" w:hAnsi="宋体"/>
          <w:color w:val="auto"/>
          <w:szCs w:val="21"/>
          <w:highlight w:val="none"/>
          <w:u w:val="single"/>
        </w:rPr>
      </w:pPr>
      <w:bookmarkStart w:id="359" w:name="_Toc296944543"/>
      <w:bookmarkStart w:id="360" w:name="_Toc312678030"/>
      <w:bookmarkStart w:id="361" w:name="_Toc296346705"/>
      <w:bookmarkStart w:id="362" w:name="_Toc292559409"/>
      <w:bookmarkStart w:id="363" w:name="_Toc318581175"/>
      <w:bookmarkStart w:id="364" w:name="_Toc297216205"/>
      <w:bookmarkStart w:id="365" w:name="_Toc296891032"/>
      <w:bookmarkStart w:id="366" w:name="_Toc304295571"/>
      <w:bookmarkStart w:id="367" w:name="_Toc297048390"/>
      <w:bookmarkStart w:id="368" w:name="_Toc296891244"/>
      <w:bookmarkStart w:id="369" w:name="_Toc297120504"/>
      <w:bookmarkStart w:id="370" w:name="_Toc303539152"/>
      <w:bookmarkStart w:id="371" w:name="_Toc297123546"/>
      <w:bookmarkStart w:id="372" w:name="_Toc296503204"/>
      <w:bookmarkStart w:id="373" w:name="_Toc292559914"/>
      <w:bookmarkStart w:id="374" w:name="_Toc312677504"/>
      <w:bookmarkStart w:id="375" w:name="_Toc300934995"/>
      <w:bookmarkStart w:id="376" w:name="_Toc296347203"/>
      <w:r>
        <w:rPr>
          <w:rFonts w:hint="eastAsia" w:ascii="宋体" w:hAnsi="宋体"/>
          <w:color w:val="auto"/>
          <w:szCs w:val="21"/>
          <w:highlight w:val="none"/>
        </w:rPr>
        <w:t>承包人</w:t>
      </w:r>
      <w:r>
        <w:rPr>
          <w:rFonts w:ascii="宋体" w:hAnsi="宋体"/>
          <w:color w:val="auto"/>
          <w:szCs w:val="21"/>
          <w:highlight w:val="none"/>
        </w:rPr>
        <w:t>提出的合理化建议降低了合同价格或者提高了工程经济效益的奖励的方法和金额为：</w:t>
      </w:r>
      <w:r>
        <w:rPr>
          <w:rFonts w:hint="eastAsia" w:ascii="宋体" w:hAnsi="宋体"/>
          <w:color w:val="auto"/>
          <w:szCs w:val="21"/>
          <w:highlight w:val="none"/>
          <w:u w:val="single"/>
        </w:rPr>
        <w:t>/</w:t>
      </w:r>
      <w:r>
        <w:rPr>
          <w:rFonts w:ascii="宋体" w:hAnsi="宋体"/>
          <w:color w:val="auto"/>
          <w:szCs w:val="21"/>
          <w:highlight w:val="none"/>
        </w:rPr>
        <w:t>。</w:t>
      </w:r>
    </w:p>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w:t>
      </w:r>
      <w:bookmarkStart w:id="377" w:name="_Toc296891239"/>
      <w:bookmarkStart w:id="378" w:name="_Toc300934997"/>
      <w:bookmarkStart w:id="379" w:name="_Toc297048385"/>
      <w:bookmarkStart w:id="380" w:name="_Toc292559404"/>
      <w:bookmarkStart w:id="381" w:name="_Toc304295574"/>
      <w:bookmarkStart w:id="382" w:name="_Toc296347198"/>
      <w:bookmarkStart w:id="383" w:name="_Toc296891027"/>
      <w:bookmarkStart w:id="384" w:name="_Toc296346700"/>
      <w:bookmarkStart w:id="385" w:name="_Toc296944538"/>
      <w:bookmarkStart w:id="386" w:name="_Toc297216207"/>
      <w:bookmarkStart w:id="387" w:name="_Toc292559909"/>
      <w:bookmarkStart w:id="388" w:name="_Toc312677507"/>
      <w:bookmarkStart w:id="389" w:name="_Toc297123548"/>
      <w:bookmarkStart w:id="390" w:name="_Toc312678033"/>
      <w:bookmarkStart w:id="391" w:name="_Toc297120499"/>
      <w:bookmarkStart w:id="392" w:name="_Toc303539154"/>
      <w:bookmarkStart w:id="393" w:name="_Toc296503199"/>
      <w:r>
        <w:rPr>
          <w:rFonts w:ascii="宋体" w:hAnsi="宋体"/>
          <w:color w:val="auto"/>
          <w:szCs w:val="21"/>
          <w:highlight w:val="none"/>
        </w:rPr>
        <w:t>0.7 暂估价</w:t>
      </w:r>
    </w:p>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w:t>
      </w:r>
      <w:bookmarkStart w:id="394" w:name="_Toc318581177"/>
      <w:bookmarkStart w:id="395" w:name="_Toc312677509"/>
      <w:bookmarkStart w:id="396" w:name="_Toc312678035"/>
      <w:r>
        <w:rPr>
          <w:rFonts w:ascii="宋体" w:hAnsi="宋体"/>
          <w:color w:val="auto"/>
          <w:szCs w:val="21"/>
          <w:highlight w:val="none"/>
        </w:rPr>
        <w:t>0.7.1 依法必须招标的暂估价项目</w:t>
      </w:r>
    </w:p>
    <w:bookmarkEnd w:id="394"/>
    <w:bookmarkEnd w:id="395"/>
    <w:bookmarkEnd w:id="396"/>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对于依法必须招标的暂估价项目的确认和批准采取第</w:t>
      </w:r>
      <w:r>
        <w:rPr>
          <w:rFonts w:hint="eastAsia" w:ascii="宋体" w:hAnsi="宋体"/>
          <w:color w:val="auto"/>
          <w:szCs w:val="21"/>
          <w:highlight w:val="none"/>
          <w:u w:val="single"/>
        </w:rPr>
        <w:t xml:space="preserve">/ </w:t>
      </w:r>
      <w:r>
        <w:rPr>
          <w:rFonts w:ascii="宋体" w:hAnsi="宋体"/>
          <w:color w:val="auto"/>
          <w:szCs w:val="21"/>
          <w:highlight w:val="none"/>
        </w:rPr>
        <w:t>种方式确定。</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10.7.2 不属于依法必须招标的暂估价项目</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对于不属于依法必须招标的暂估价项目的确认和批准采取第</w:t>
      </w:r>
      <w:r>
        <w:rPr>
          <w:rFonts w:hint="eastAsia" w:ascii="宋体" w:hAnsi="宋体"/>
          <w:color w:val="auto"/>
          <w:szCs w:val="21"/>
          <w:highlight w:val="none"/>
          <w:u w:val="single"/>
        </w:rPr>
        <w:t xml:space="preserve">/ </w:t>
      </w:r>
      <w:r>
        <w:rPr>
          <w:rFonts w:ascii="宋体" w:hAnsi="宋体"/>
          <w:color w:val="auto"/>
          <w:szCs w:val="21"/>
          <w:highlight w:val="none"/>
        </w:rPr>
        <w:t xml:space="preserve"> 种方式确定。</w:t>
      </w:r>
    </w:p>
    <w:p>
      <w:pPr>
        <w:spacing w:line="440" w:lineRule="exact"/>
        <w:ind w:firstLine="420" w:firstLineChars="200"/>
        <w:jc w:val="left"/>
        <w:rPr>
          <w:rFonts w:ascii="宋体" w:hAnsi="宋体"/>
          <w:color w:val="auto"/>
          <w:kern w:val="0"/>
          <w:szCs w:val="21"/>
          <w:highlight w:val="none"/>
        </w:rPr>
      </w:pPr>
      <w:r>
        <w:rPr>
          <w:rFonts w:ascii="宋体" w:hAnsi="宋体"/>
          <w:color w:val="auto"/>
          <w:szCs w:val="21"/>
          <w:highlight w:val="none"/>
        </w:rPr>
        <w:t>第3种方式：</w:t>
      </w:r>
      <w:r>
        <w:rPr>
          <w:rFonts w:hint="eastAsia" w:ascii="宋体" w:hAnsi="宋体"/>
          <w:color w:val="auto"/>
          <w:kern w:val="0"/>
          <w:szCs w:val="21"/>
          <w:highlight w:val="none"/>
        </w:rPr>
        <w:t>承包人</w:t>
      </w:r>
      <w:r>
        <w:rPr>
          <w:rFonts w:ascii="宋体" w:hAnsi="宋体"/>
          <w:color w:val="auto"/>
          <w:kern w:val="0"/>
          <w:szCs w:val="21"/>
          <w:highlight w:val="none"/>
        </w:rPr>
        <w:t>直接实施的暂估价项目</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承包人</w:t>
      </w:r>
      <w:r>
        <w:rPr>
          <w:rFonts w:ascii="宋体" w:hAnsi="宋体"/>
          <w:color w:val="auto"/>
          <w:szCs w:val="21"/>
          <w:highlight w:val="none"/>
        </w:rPr>
        <w:t>直接实施的暂估价项目的约定：</w:t>
      </w:r>
      <w:r>
        <w:rPr>
          <w:rFonts w:hint="eastAsia" w:ascii="宋体" w:hAnsi="宋体"/>
          <w:color w:val="auto"/>
          <w:szCs w:val="21"/>
          <w:highlight w:val="none"/>
          <w:u w:val="single"/>
        </w:rPr>
        <w:t>无</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发包人在工程量清单中给定的暂估价的材料、工程设备（见清单《材料暂估价格表》）属于依法必须招标的范围并达到规定的规模标准的，由承包人以招标的方式选择供应商，发包人参与货物的招标决策，材料采购招标有关招标文件只有经发包人加盖法人印鉴后才能生效，发包人将派代表参加评标委员会参与评标，否则中标结果对业主没有约束力。招标有关费用由承包人承担。发包人在工程量清单中给定的暂估价材料和设备不属于依法必须招标的范围或未达到规定的规模标准的，由承包人按通用条款约定提供，报发包人确认材料的价格。</w:t>
      </w:r>
    </w:p>
    <w:p>
      <w:pPr>
        <w:spacing w:line="440" w:lineRule="exact"/>
        <w:ind w:firstLine="460"/>
        <w:rPr>
          <w:rFonts w:ascii="宋体" w:hAnsi="宋体"/>
          <w:color w:val="auto"/>
          <w:szCs w:val="21"/>
          <w:highlight w:val="none"/>
          <w:u w:val="single"/>
        </w:rPr>
      </w:pPr>
      <w:r>
        <w:rPr>
          <w:rFonts w:hint="eastAsia" w:ascii="宋体" w:hAnsi="宋体"/>
          <w:color w:val="auto"/>
          <w:szCs w:val="21"/>
          <w:highlight w:val="none"/>
          <w:lang w:val="zh-CN"/>
        </w:rPr>
        <w:t>工程招标时暂估价材料竣工结算办法：</w:t>
      </w:r>
      <w:r>
        <w:rPr>
          <w:rFonts w:hint="eastAsia" w:ascii="宋体" w:hAnsi="宋体"/>
          <w:color w:val="auto"/>
          <w:szCs w:val="21"/>
          <w:highlight w:val="none"/>
          <w:u w:val="single"/>
        </w:rPr>
        <w:t>投标单位在投标报价时擅自改变暂估价或暂列金额且评审时未被发现，报价低于暂估价或暂列金额结算时统一先按招标文件明确暂估价或暂列金额扣除，报价高于暂估价或暂列金额时统一先按报价扣除；</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10.8 暂列金额</w:t>
      </w:r>
    </w:p>
    <w:p>
      <w:pPr>
        <w:spacing w:line="440" w:lineRule="exact"/>
        <w:ind w:firstLine="420" w:firstLineChars="200"/>
        <w:jc w:val="left"/>
        <w:rPr>
          <w:rFonts w:ascii="宋体" w:hAnsi="宋体"/>
          <w:color w:val="auto"/>
          <w:kern w:val="0"/>
          <w:szCs w:val="21"/>
          <w:highlight w:val="none"/>
        </w:rPr>
      </w:pPr>
      <w:r>
        <w:rPr>
          <w:rFonts w:hint="eastAsia" w:ascii="宋体" w:hAnsi="宋体"/>
          <w:color w:val="auto"/>
          <w:szCs w:val="21"/>
          <w:highlight w:val="none"/>
        </w:rPr>
        <w:t>合</w:t>
      </w:r>
      <w:r>
        <w:rPr>
          <w:rFonts w:hint="eastAsia" w:ascii="宋体" w:hAnsi="宋体"/>
          <w:color w:val="auto"/>
          <w:kern w:val="0"/>
          <w:szCs w:val="21"/>
          <w:highlight w:val="none"/>
        </w:rPr>
        <w:t>同当事人关于暂列金额使用的约定：</w:t>
      </w:r>
      <w:r>
        <w:rPr>
          <w:rFonts w:hint="eastAsia" w:ascii="宋体" w:hAnsi="宋体"/>
          <w:color w:val="auto"/>
          <w:szCs w:val="21"/>
          <w:highlight w:val="none"/>
          <w:u w:val="single"/>
        </w:rPr>
        <w:t xml:space="preserve">暂列金额使用权归发包人，结算时从合同价中扣除  </w:t>
      </w:r>
      <w:r>
        <w:rPr>
          <w:rFonts w:hint="eastAsia" w:ascii="宋体" w:hAnsi="宋体"/>
          <w:color w:val="auto"/>
          <w:kern w:val="0"/>
          <w:szCs w:val="21"/>
          <w:highlight w:val="none"/>
        </w:rPr>
        <w:t>。</w:t>
      </w:r>
    </w:p>
    <w:p>
      <w:pPr>
        <w:pStyle w:val="6"/>
        <w:spacing w:before="120" w:after="120" w:line="440" w:lineRule="exact"/>
        <w:rPr>
          <w:rFonts w:ascii="宋体" w:hAnsi="宋体"/>
          <w:color w:val="auto"/>
          <w:szCs w:val="21"/>
          <w:highlight w:val="none"/>
        </w:rPr>
      </w:pPr>
      <w:bookmarkStart w:id="397" w:name="_Toc351203643"/>
      <w:r>
        <w:rPr>
          <w:rFonts w:hint="eastAsia" w:ascii="宋体" w:hAnsi="宋体"/>
          <w:color w:val="auto"/>
          <w:szCs w:val="21"/>
          <w:highlight w:val="none"/>
        </w:rPr>
        <w:t>11. 价格调整</w:t>
      </w:r>
      <w:bookmarkEnd w:id="397"/>
    </w:p>
    <w:p>
      <w:pPr>
        <w:spacing w:line="440" w:lineRule="exact"/>
        <w:ind w:firstLine="420" w:firstLineChars="200"/>
        <w:jc w:val="left"/>
        <w:rPr>
          <w:rFonts w:ascii="宋体" w:hAnsi="宋体"/>
          <w:color w:val="auto"/>
          <w:szCs w:val="21"/>
          <w:highlight w:val="none"/>
        </w:rPr>
      </w:pPr>
      <w:bookmarkStart w:id="398" w:name="_Toc292559406"/>
      <w:bookmarkStart w:id="399" w:name="_Toc296347200"/>
      <w:bookmarkStart w:id="400" w:name="_Toc297216209"/>
      <w:bookmarkStart w:id="401" w:name="_Toc296503201"/>
      <w:bookmarkStart w:id="402" w:name="_Toc304295577"/>
      <w:bookmarkStart w:id="403" w:name="_Toc312678039"/>
      <w:bookmarkStart w:id="404" w:name="_Toc297123550"/>
      <w:bookmarkStart w:id="405" w:name="_Toc303539157"/>
      <w:bookmarkStart w:id="406" w:name="_Toc296346702"/>
      <w:bookmarkStart w:id="407" w:name="_Toc297048387"/>
      <w:bookmarkStart w:id="408" w:name="_Toc300935000"/>
      <w:bookmarkStart w:id="409" w:name="_Toc296891029"/>
      <w:bookmarkStart w:id="410" w:name="_Toc297120501"/>
      <w:bookmarkStart w:id="411" w:name="_Toc296891241"/>
      <w:bookmarkStart w:id="412" w:name="_Toc292559911"/>
      <w:bookmarkStart w:id="413" w:name="_Toc296944540"/>
      <w:r>
        <w:rPr>
          <w:rFonts w:ascii="宋体" w:hAnsi="宋体"/>
          <w:color w:val="auto"/>
          <w:szCs w:val="21"/>
          <w:highlight w:val="none"/>
        </w:rPr>
        <w:t>11.1 市场价格波动引起的调整</w:t>
      </w:r>
    </w:p>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Pr>
        <w:spacing w:line="480" w:lineRule="exact"/>
        <w:ind w:firstLine="420" w:firstLineChars="200"/>
        <w:jc w:val="left"/>
        <w:rPr>
          <w:rFonts w:ascii="宋体" w:hAnsi="宋体"/>
          <w:b/>
          <w:bCs/>
          <w:color w:val="auto"/>
          <w:szCs w:val="21"/>
          <w:highlight w:val="none"/>
          <w:u w:val="single"/>
        </w:rPr>
      </w:pPr>
      <w:r>
        <w:rPr>
          <w:rFonts w:ascii="宋体" w:hAnsi="宋体"/>
          <w:color w:val="auto"/>
          <w:szCs w:val="21"/>
          <w:highlight w:val="none"/>
        </w:rPr>
        <w:t>市场价格波动是否调整合同价格的约定</w:t>
      </w:r>
      <w:bookmarkEnd w:id="304"/>
      <w:bookmarkEnd w:id="305"/>
      <w:bookmarkEnd w:id="306"/>
      <w:bookmarkEnd w:id="307"/>
      <w:bookmarkEnd w:id="308"/>
      <w:bookmarkEnd w:id="309"/>
      <w:bookmarkStart w:id="414" w:name="_Toc296346706"/>
      <w:bookmarkStart w:id="415" w:name="_Toc297048391"/>
      <w:bookmarkStart w:id="416" w:name="_Toc296944544"/>
      <w:bookmarkStart w:id="417" w:name="_Toc296891033"/>
      <w:bookmarkStart w:id="418" w:name="_Toc296891245"/>
      <w:bookmarkStart w:id="419" w:name="_Toc296503205"/>
      <w:bookmarkStart w:id="420" w:name="_Toc292559410"/>
      <w:bookmarkStart w:id="421" w:name="_Toc297120505"/>
      <w:bookmarkStart w:id="422" w:name="_Toc296347204"/>
      <w:bookmarkStart w:id="423" w:name="_Toc292559915"/>
      <w:bookmarkStart w:id="424" w:name="_Toc351203644"/>
      <w:bookmarkStart w:id="425" w:name="_Toc300935002"/>
      <w:bookmarkStart w:id="426" w:name="_Toc297216211"/>
      <w:bookmarkStart w:id="427" w:name="_Toc304295579"/>
      <w:bookmarkStart w:id="428" w:name="_Toc297123552"/>
      <w:bookmarkStart w:id="429" w:name="_Toc303539159"/>
      <w:bookmarkStart w:id="430" w:name="_Toc312678040"/>
      <w:r>
        <w:rPr>
          <w:rFonts w:hint="eastAsia" w:ascii="宋体" w:hAnsi="宋体"/>
          <w:color w:val="auto"/>
          <w:szCs w:val="21"/>
          <w:highlight w:val="none"/>
        </w:rPr>
        <w:t xml:space="preserve">： </w:t>
      </w:r>
      <w:r>
        <w:rPr>
          <w:rFonts w:hint="eastAsia" w:ascii="宋体" w:hAnsi="宋体"/>
          <w:b/>
          <w:bCs/>
          <w:color w:val="auto"/>
          <w:szCs w:val="21"/>
          <w:highlight w:val="none"/>
          <w:u w:val="single"/>
        </w:rPr>
        <w:t>施工期间各类建材的市场风险和国家政策性风险（不含人</w:t>
      </w:r>
      <w:r>
        <w:rPr>
          <w:rFonts w:hint="eastAsia" w:ascii="宋体" w:hAnsi="宋体"/>
          <w:b/>
          <w:bCs/>
          <w:color w:val="auto"/>
          <w:spacing w:val="-2"/>
          <w:szCs w:val="21"/>
          <w:highlight w:val="none"/>
          <w:u w:val="single"/>
        </w:rPr>
        <w:t>工工资的政策性调整），</w:t>
      </w:r>
      <w:r>
        <w:rPr>
          <w:rFonts w:hint="eastAsia" w:ascii="宋体" w:hAnsi="宋体"/>
          <w:b/>
          <w:bCs/>
          <w:color w:val="auto"/>
          <w:szCs w:val="21"/>
          <w:highlight w:val="none"/>
          <w:u w:val="single"/>
        </w:rPr>
        <w:t>一律不作任何调整。</w:t>
      </w:r>
    </w:p>
    <w:p>
      <w:pPr>
        <w:pStyle w:val="6"/>
        <w:spacing w:before="120" w:after="120" w:line="440" w:lineRule="exact"/>
        <w:rPr>
          <w:rFonts w:ascii="宋体" w:hAnsi="宋体"/>
          <w:color w:val="auto"/>
          <w:szCs w:val="21"/>
          <w:highlight w:val="none"/>
        </w:rPr>
      </w:pPr>
      <w:r>
        <w:rPr>
          <w:rFonts w:hint="eastAsia" w:ascii="宋体" w:hAnsi="宋体"/>
          <w:color w:val="auto"/>
          <w:szCs w:val="21"/>
          <w:highlight w:val="none"/>
        </w:rPr>
        <w:t xml:space="preserve">12. </w:t>
      </w:r>
      <w:bookmarkEnd w:id="414"/>
      <w:bookmarkEnd w:id="415"/>
      <w:bookmarkEnd w:id="416"/>
      <w:bookmarkEnd w:id="417"/>
      <w:bookmarkEnd w:id="418"/>
      <w:bookmarkEnd w:id="419"/>
      <w:bookmarkEnd w:id="420"/>
      <w:bookmarkEnd w:id="421"/>
      <w:bookmarkEnd w:id="422"/>
      <w:bookmarkEnd w:id="423"/>
      <w:r>
        <w:rPr>
          <w:rFonts w:hint="eastAsia" w:ascii="宋体" w:hAnsi="宋体"/>
          <w:color w:val="auto"/>
          <w:szCs w:val="21"/>
          <w:highlight w:val="none"/>
        </w:rPr>
        <w:t>合同价格、计量与支付</w:t>
      </w:r>
      <w:bookmarkEnd w:id="424"/>
    </w:p>
    <w:bookmarkEnd w:id="425"/>
    <w:bookmarkEnd w:id="426"/>
    <w:bookmarkEnd w:id="427"/>
    <w:bookmarkEnd w:id="428"/>
    <w:bookmarkEnd w:id="429"/>
    <w:bookmarkEnd w:id="430"/>
    <w:p>
      <w:pPr>
        <w:spacing w:line="440" w:lineRule="exact"/>
        <w:ind w:firstLine="420" w:firstLineChars="200"/>
        <w:jc w:val="left"/>
        <w:rPr>
          <w:rFonts w:ascii="宋体" w:hAnsi="宋体"/>
          <w:color w:val="auto"/>
          <w:szCs w:val="21"/>
          <w:highlight w:val="none"/>
        </w:rPr>
      </w:pPr>
      <w:bookmarkStart w:id="431" w:name="_Toc292559916"/>
      <w:bookmarkStart w:id="432" w:name="_Toc267251461"/>
      <w:bookmarkStart w:id="433" w:name="_Toc292559411"/>
      <w:bookmarkStart w:id="434" w:name="_Toc297048392"/>
      <w:bookmarkStart w:id="435" w:name="_Toc296891034"/>
      <w:bookmarkStart w:id="436" w:name="_Toc296347205"/>
      <w:bookmarkStart w:id="437" w:name="_Toc296503206"/>
      <w:bookmarkStart w:id="438" w:name="_Toc296944545"/>
      <w:bookmarkStart w:id="439" w:name="_Toc297120506"/>
      <w:bookmarkStart w:id="440" w:name="_Toc296346707"/>
      <w:bookmarkStart w:id="441" w:name="_Toc296891246"/>
      <w:bookmarkStart w:id="442" w:name="_Toc304295580"/>
      <w:bookmarkStart w:id="443" w:name="_Toc303539160"/>
      <w:bookmarkStart w:id="444" w:name="_Toc297216212"/>
      <w:bookmarkStart w:id="445" w:name="_Toc300935003"/>
      <w:bookmarkStart w:id="446" w:name="_Toc312678041"/>
      <w:bookmarkStart w:id="447" w:name="_Toc297123553"/>
      <w:bookmarkStart w:id="448" w:name="_Toc303539161"/>
      <w:bookmarkStart w:id="449" w:name="_Toc300935004"/>
      <w:bookmarkStart w:id="450" w:name="_Toc304295581"/>
      <w:bookmarkStart w:id="451" w:name="_Toc297216213"/>
      <w:bookmarkStart w:id="452" w:name="_Toc312678042"/>
      <w:bookmarkStart w:id="453" w:name="_Toc297123554"/>
      <w:bookmarkStart w:id="454" w:name="_Toc296346708"/>
      <w:bookmarkStart w:id="455" w:name="_Toc297048393"/>
      <w:bookmarkStart w:id="456" w:name="_Toc292559917"/>
      <w:bookmarkStart w:id="457" w:name="_Toc296944546"/>
      <w:bookmarkStart w:id="458" w:name="_Toc296347206"/>
      <w:bookmarkStart w:id="459" w:name="_Toc292559412"/>
      <w:bookmarkStart w:id="460" w:name="_Toc296503207"/>
      <w:bookmarkStart w:id="461" w:name="_Toc296891035"/>
      <w:bookmarkStart w:id="462" w:name="_Toc296891247"/>
      <w:bookmarkStart w:id="463" w:name="_Toc297120507"/>
      <w:r>
        <w:rPr>
          <w:rFonts w:hint="eastAsia" w:ascii="宋体" w:hAnsi="宋体"/>
          <w:color w:val="auto"/>
          <w:szCs w:val="21"/>
          <w:highlight w:val="none"/>
        </w:rPr>
        <w:t>12.</w:t>
      </w:r>
      <w:r>
        <w:rPr>
          <w:rFonts w:ascii="宋体" w:hAnsi="宋体"/>
          <w:color w:val="auto"/>
          <w:szCs w:val="21"/>
          <w:highlight w:val="none"/>
        </w:rPr>
        <w:t>1 合</w:t>
      </w:r>
      <w:bookmarkEnd w:id="431"/>
      <w:bookmarkEnd w:id="432"/>
      <w:bookmarkEnd w:id="433"/>
      <w:r>
        <w:rPr>
          <w:rFonts w:ascii="宋体" w:hAnsi="宋体"/>
          <w:color w:val="auto"/>
          <w:szCs w:val="21"/>
          <w:highlight w:val="none"/>
        </w:rPr>
        <w:t>同价</w:t>
      </w:r>
      <w:bookmarkEnd w:id="434"/>
      <w:bookmarkEnd w:id="435"/>
      <w:bookmarkEnd w:id="436"/>
      <w:bookmarkEnd w:id="437"/>
      <w:bookmarkEnd w:id="438"/>
      <w:bookmarkEnd w:id="439"/>
      <w:bookmarkEnd w:id="440"/>
      <w:bookmarkEnd w:id="441"/>
      <w:r>
        <w:rPr>
          <w:rFonts w:ascii="宋体" w:hAnsi="宋体"/>
          <w:color w:val="auto"/>
          <w:szCs w:val="21"/>
          <w:highlight w:val="none"/>
        </w:rPr>
        <w:t>格形式</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1、单价合同（本工程采用一般计税方法）。</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综合单价包含的风险范围：除下述风险范围内容可调整外，其余不可调整。</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（1）工程量偏差；</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（2）与招标清单项目特征描述不符（合同条款另有约定的除外）；</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 xml:space="preserve">（3）工程量清单缺、漏项； </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（4）工程变更；</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（5）现场签证；</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（6）暂列金额及暂估价；</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（7）发承包人双方约定的其他调整事项。</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风险费用的计算方法：承包人在投标报价时已经充分考虑，竣工结算时不作任何调整。</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风险范围以外合同价款调整范围及方法：</w:t>
      </w:r>
    </w:p>
    <w:p>
      <w:pPr>
        <w:spacing w:line="440" w:lineRule="exact"/>
        <w:ind w:firstLine="420" w:firstLineChars="200"/>
        <w:jc w:val="left"/>
        <w:rPr>
          <w:rFonts w:ascii="宋体" w:hAnsi="宋体" w:cs="宋体"/>
          <w:bCs/>
          <w:color w:val="auto"/>
          <w:kern w:val="0"/>
          <w:szCs w:val="21"/>
          <w:highlight w:val="none"/>
          <w:u w:val="single"/>
        </w:rPr>
      </w:pPr>
      <w:r>
        <w:rPr>
          <w:rFonts w:hint="eastAsia" w:ascii="宋体" w:hAnsi="宋体"/>
          <w:color w:val="auto"/>
          <w:szCs w:val="21"/>
          <w:highlight w:val="none"/>
          <w:u w:val="single"/>
        </w:rPr>
        <w:t>（1）</w:t>
      </w:r>
      <w:r>
        <w:rPr>
          <w:rFonts w:hint="eastAsia" w:ascii="宋体" w:hAnsi="宋体" w:cs="宋体"/>
          <w:bCs/>
          <w:color w:val="auto"/>
          <w:kern w:val="0"/>
          <w:szCs w:val="21"/>
          <w:highlight w:val="none"/>
          <w:u w:val="single"/>
        </w:rPr>
        <w:t>本工程以投标截止日前28天为基准，其后国家的法律、法规、规章和政策发生变化影响工程造价，按照省级或行业建设主管部门或其授权的工程造价管理机构发布的规定及合同的约定调整合同价格。</w:t>
      </w:r>
    </w:p>
    <w:p>
      <w:pPr>
        <w:autoSpaceDE w:val="0"/>
        <w:autoSpaceDN w:val="0"/>
        <w:adjustRightInd w:val="0"/>
        <w:spacing w:line="360" w:lineRule="auto"/>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（2）工程量计量时，若发现工程量清单中出现的漏项或缺项部分</w:t>
      </w:r>
      <w:r>
        <w:rPr>
          <w:rFonts w:hint="eastAsia" w:ascii="宋体" w:hAnsi="宋体" w:cs="宋体"/>
          <w:bCs/>
          <w:color w:val="auto"/>
          <w:kern w:val="0"/>
          <w:szCs w:val="21"/>
          <w:highlight w:val="none"/>
          <w:u w:val="single"/>
          <w:lang w:val="en-US" w:eastAsia="zh-CN"/>
        </w:rPr>
        <w:t>不结算费用</w:t>
      </w:r>
      <w:r>
        <w:rPr>
          <w:rFonts w:hint="eastAsia" w:ascii="宋体" w:hAnsi="宋体" w:cs="宋体"/>
          <w:bCs/>
          <w:color w:val="auto"/>
          <w:kern w:val="0"/>
          <w:szCs w:val="21"/>
          <w:highlight w:val="none"/>
          <w:u w:val="single"/>
        </w:rPr>
        <w:t>，竣工结算的工程量按发承包双方在合同中约定应予计量且实际完成并验收合格的工程量和项目确定，完成发包人要求的合同以外的零星工作或发生非承包人责任事件的工程量按现场签证确定。</w:t>
      </w:r>
    </w:p>
    <w:p>
      <w:pPr>
        <w:autoSpaceDE w:val="0"/>
        <w:autoSpaceDN w:val="0"/>
        <w:adjustRightInd w:val="0"/>
        <w:spacing w:line="360" w:lineRule="auto"/>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（3）当招标工程量清单出现错误或者工程变更等发包人原因导致工程量清单偏差需要对综合单价应进行调整的，按照以下的计价办法结算：</w:t>
      </w:r>
    </w:p>
    <w:p>
      <w:pPr>
        <w:autoSpaceDE w:val="0"/>
        <w:autoSpaceDN w:val="0"/>
        <w:adjustRightInd w:val="0"/>
        <w:spacing w:line="360" w:lineRule="auto"/>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A、当工程因变更、签证或清单工程量错误等原因导致实际工程量变化时，该项目的单价应按下列方式调整：</w:t>
      </w:r>
    </w:p>
    <w:p>
      <w:pPr>
        <w:autoSpaceDE w:val="0"/>
        <w:autoSpaceDN w:val="0"/>
        <w:adjustRightInd w:val="0"/>
        <w:spacing w:line="360" w:lineRule="auto"/>
        <w:ind w:firstLine="480"/>
        <w:rPr>
          <w:rFonts w:ascii="宋体" w:hAnsi="宋体" w:cs="宋体"/>
          <w:b/>
          <w:color w:val="auto"/>
          <w:kern w:val="0"/>
          <w:szCs w:val="21"/>
          <w:highlight w:val="none"/>
          <w:u w:val="single"/>
        </w:rPr>
      </w:pPr>
      <w:r>
        <w:rPr>
          <w:rFonts w:hint="eastAsia" w:ascii="宋体" w:hAnsi="宋体" w:cs="宋体"/>
          <w:b/>
          <w:color w:val="auto"/>
          <w:kern w:val="0"/>
          <w:szCs w:val="21"/>
          <w:highlight w:val="none"/>
          <w:u w:val="single"/>
        </w:rPr>
        <w:t>当Q1＞1.15Q0时：  S＝1.15Q0×P0+(Q1－1.15Q0)×P1</w:t>
      </w:r>
    </w:p>
    <w:p>
      <w:pPr>
        <w:autoSpaceDE w:val="0"/>
        <w:autoSpaceDN w:val="0"/>
        <w:adjustRightInd w:val="0"/>
        <w:spacing w:line="360" w:lineRule="auto"/>
        <w:ind w:firstLine="480"/>
        <w:rPr>
          <w:rFonts w:ascii="宋体" w:hAnsi="宋体" w:cs="宋体"/>
          <w:b/>
          <w:color w:val="auto"/>
          <w:kern w:val="0"/>
          <w:szCs w:val="21"/>
          <w:highlight w:val="none"/>
          <w:u w:val="single"/>
        </w:rPr>
      </w:pPr>
      <w:r>
        <w:rPr>
          <w:rFonts w:hint="eastAsia" w:ascii="宋体" w:hAnsi="宋体" w:cs="宋体"/>
          <w:b/>
          <w:color w:val="auto"/>
          <w:kern w:val="0"/>
          <w:szCs w:val="21"/>
          <w:highlight w:val="none"/>
          <w:u w:val="single"/>
        </w:rPr>
        <w:t>当0.85Q0≤Q1≤1.15Q0时：  S＝Q1×P0</w:t>
      </w:r>
    </w:p>
    <w:p>
      <w:pPr>
        <w:autoSpaceDE w:val="0"/>
        <w:autoSpaceDN w:val="0"/>
        <w:adjustRightInd w:val="0"/>
        <w:spacing w:line="360" w:lineRule="auto"/>
        <w:ind w:firstLine="482"/>
        <w:rPr>
          <w:rFonts w:ascii="宋体" w:hAnsi="宋体" w:cs="宋体"/>
          <w:b/>
          <w:color w:val="auto"/>
          <w:kern w:val="0"/>
          <w:szCs w:val="21"/>
          <w:highlight w:val="none"/>
          <w:u w:val="single"/>
        </w:rPr>
      </w:pPr>
      <w:r>
        <w:rPr>
          <w:rFonts w:hint="eastAsia" w:ascii="宋体" w:hAnsi="宋体" w:cs="宋体"/>
          <w:b/>
          <w:color w:val="auto"/>
          <w:kern w:val="0"/>
          <w:szCs w:val="21"/>
          <w:highlight w:val="none"/>
          <w:u w:val="single"/>
        </w:rPr>
        <w:t>当Q1＜0.85Q0：  S＝Q1×P1</w:t>
      </w:r>
    </w:p>
    <w:p>
      <w:pPr>
        <w:autoSpaceDE w:val="0"/>
        <w:autoSpaceDN w:val="0"/>
        <w:adjustRightInd w:val="0"/>
        <w:spacing w:line="360" w:lineRule="auto"/>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S－调整后的某一分部分项工程费结算价</w:t>
      </w:r>
    </w:p>
    <w:p>
      <w:pPr>
        <w:autoSpaceDE w:val="0"/>
        <w:autoSpaceDN w:val="0"/>
        <w:adjustRightInd w:val="0"/>
        <w:spacing w:line="360" w:lineRule="auto"/>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Q1－最终完成的工程量</w:t>
      </w:r>
    </w:p>
    <w:p>
      <w:pPr>
        <w:autoSpaceDE w:val="0"/>
        <w:autoSpaceDN w:val="0"/>
        <w:adjustRightInd w:val="0"/>
        <w:spacing w:line="360" w:lineRule="auto"/>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Q0－招标工程量清单中列出的工程量</w:t>
      </w:r>
    </w:p>
    <w:p>
      <w:pPr>
        <w:autoSpaceDE w:val="0"/>
        <w:autoSpaceDN w:val="0"/>
        <w:adjustRightInd w:val="0"/>
        <w:spacing w:line="360" w:lineRule="auto"/>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P0－承包人在工程量清单中填报的综合单价</w:t>
      </w:r>
    </w:p>
    <w:p>
      <w:pPr>
        <w:autoSpaceDE w:val="0"/>
        <w:autoSpaceDN w:val="0"/>
        <w:adjustRightInd w:val="0"/>
        <w:spacing w:line="360" w:lineRule="auto"/>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P1－按照最终完成工程量重新调整后的综合单价（即按招标控制价编制依据计价×（1-承包人报价浮动率），如招标控制价中出现明显错误的综合单价时，可按控制价编制原则进行修正，[报价浮动率c＝（1－中标价/招标控制价）×100%，中标价、招标控制价须扣除暂估价、暂列金额及相应的规费税金]提出变更工程项目的单价，并应报发包人确认后调整。）</w:t>
      </w:r>
    </w:p>
    <w:p>
      <w:pPr>
        <w:autoSpaceDE w:val="0"/>
        <w:autoSpaceDN w:val="0"/>
        <w:adjustRightInd w:val="0"/>
        <w:spacing w:line="360" w:lineRule="auto"/>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当工程量增加15%以上时，增加部分的工程量综合单价应予调低(P0与P1两者取较小值)；</w:t>
      </w:r>
    </w:p>
    <w:p>
      <w:pPr>
        <w:autoSpaceDE w:val="0"/>
        <w:autoSpaceDN w:val="0"/>
        <w:adjustRightInd w:val="0"/>
        <w:spacing w:line="360" w:lineRule="auto"/>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当工程量减少15%以上时，减少后剩余部分工程量的综合单价应予调高，当P0&lt;P1时，调高部分按Q1*（P1-P0）*30%计取，即S＝Q1×P0+ Q1*（P1-P0）*30%；当P0&gt;P1时，则S＝Q1×P0。但若承包人出现不平衡报价，当P0&lt;P1*0.85时，则S＝Q1×P0，当P0&gt;1.15*P1时，即S＝Q1×P1。</w:t>
      </w:r>
    </w:p>
    <w:p>
      <w:pPr>
        <w:autoSpaceDE w:val="0"/>
        <w:autoSpaceDN w:val="0"/>
        <w:adjustRightInd w:val="0"/>
        <w:spacing w:line="360" w:lineRule="auto"/>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B、已标价工程量清单中有适用于变更工程项目的，应采用该项目的单价；已标价工程量清单中没有适用但有类似于变更工程项目的，可在合理范围内参照类似项目的单价。</w:t>
      </w:r>
    </w:p>
    <w:p>
      <w:pPr>
        <w:autoSpaceDE w:val="0"/>
        <w:autoSpaceDN w:val="0"/>
        <w:adjustRightInd w:val="0"/>
        <w:spacing w:line="440" w:lineRule="exact"/>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C、已标价工程量清单中没有适用也没有类似于变更工程项目的，应由承包人根据变更工程资料、计量规则和按招标控制价编制依据计价×（1-承包人报价浮动率）[</w:t>
      </w:r>
      <w:r>
        <w:rPr>
          <w:rFonts w:hint="eastAsia" w:ascii="宋体" w:hAnsi="宋体" w:cs="宋体"/>
          <w:b/>
          <w:color w:val="auto"/>
          <w:kern w:val="0"/>
          <w:szCs w:val="21"/>
          <w:highlight w:val="none"/>
          <w:u w:val="single"/>
        </w:rPr>
        <w:t>报价浮动率c</w:t>
      </w:r>
      <w:r>
        <w:rPr>
          <w:rFonts w:hint="eastAsia" w:ascii="宋体" w:hAnsi="宋体" w:cs="宋体"/>
          <w:bCs/>
          <w:color w:val="auto"/>
          <w:kern w:val="0"/>
          <w:szCs w:val="21"/>
          <w:highlight w:val="none"/>
          <w:u w:val="single"/>
        </w:rPr>
        <w:t>＝（1－中标价/招标控制价）×100%，中标价、招标控制价须扣除暂估价、暂列金额及相应的规费税金]提出变更工程项目的单价，并应报发包人确认后调整。</w:t>
      </w:r>
    </w:p>
    <w:p>
      <w:pPr>
        <w:autoSpaceDE w:val="0"/>
        <w:autoSpaceDN w:val="0"/>
        <w:adjustRightInd w:val="0"/>
        <w:spacing w:line="440" w:lineRule="exact"/>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D、已标价工程量清单中没有适用也没有类似于变更工程项目，且南通市建设工程造价管理处发布的信息价格缺价的，应由承包人根据变更工程资料、计量规则和计价办法和通过市场调查等取得有合法依据的市场价格提出变更工程项目的单价，并应报发包人确认后调整。</w:t>
      </w:r>
    </w:p>
    <w:p>
      <w:pPr>
        <w:autoSpaceDE w:val="0"/>
        <w:autoSpaceDN w:val="0"/>
        <w:adjustRightInd w:val="0"/>
        <w:spacing w:line="440" w:lineRule="exact"/>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4）因工程变更造成施工方案变更，引起措施项目发生变化时，措施项目费应按下列原则调整：单价措施项目变更原则同分部分项工程；总价措施项目中以费率报价的，费率不变；总价项目中以费用报价的，按投标时口径折算成费率调整；原措施费中没有的措施项目，由承包人提出适当的措施费变更要求，经发包人确认后调整。</w:t>
      </w:r>
    </w:p>
    <w:p>
      <w:pPr>
        <w:autoSpaceDE w:val="0"/>
        <w:autoSpaceDN w:val="0"/>
        <w:adjustRightInd w:val="0"/>
        <w:spacing w:line="440" w:lineRule="exact"/>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（5）市场价格波动引起的主要材料价格调整的约定，按11.1相关条款执行。最终按除税价进行调整。</w:t>
      </w:r>
    </w:p>
    <w:p>
      <w:pPr>
        <w:autoSpaceDE w:val="0"/>
        <w:autoSpaceDN w:val="0"/>
        <w:adjustRightInd w:val="0"/>
        <w:spacing w:line="440" w:lineRule="exact"/>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（6）人工工资执行《省住房城乡建设厅关于发布建设工程人工工资指导价的通知》（苏建函价[</w:t>
      </w:r>
      <w:r>
        <w:rPr>
          <w:rFonts w:hint="eastAsia" w:ascii="宋体" w:hAnsi="宋体" w:cs="宋体"/>
          <w:bCs/>
          <w:color w:val="auto"/>
          <w:kern w:val="0"/>
          <w:szCs w:val="21"/>
          <w:highlight w:val="none"/>
          <w:u w:val="single"/>
          <w:lang w:val="en-US" w:eastAsia="zh-CN"/>
        </w:rPr>
        <w:t>2023</w:t>
      </w:r>
      <w:r>
        <w:rPr>
          <w:rFonts w:hint="eastAsia" w:ascii="宋体" w:hAnsi="宋体" w:cs="宋体"/>
          <w:bCs/>
          <w:color w:val="auto"/>
          <w:kern w:val="0"/>
          <w:szCs w:val="21"/>
          <w:highlight w:val="none"/>
          <w:u w:val="single"/>
        </w:rPr>
        <w:t>]</w:t>
      </w:r>
      <w:r>
        <w:rPr>
          <w:rFonts w:hint="eastAsia" w:ascii="宋体" w:hAnsi="宋体" w:cs="宋体"/>
          <w:bCs/>
          <w:color w:val="auto"/>
          <w:kern w:val="0"/>
          <w:szCs w:val="21"/>
          <w:highlight w:val="none"/>
          <w:u w:val="single"/>
          <w:lang w:val="en-US" w:eastAsia="zh-CN"/>
        </w:rPr>
        <w:t>391</w:t>
      </w:r>
      <w:bookmarkStart w:id="597" w:name="_GoBack"/>
      <w:bookmarkEnd w:id="597"/>
      <w:r>
        <w:rPr>
          <w:rFonts w:hint="eastAsia" w:ascii="宋体" w:hAnsi="宋体" w:cs="宋体"/>
          <w:bCs/>
          <w:color w:val="auto"/>
          <w:kern w:val="0"/>
          <w:szCs w:val="21"/>
          <w:highlight w:val="none"/>
          <w:u w:val="single"/>
        </w:rPr>
        <w:t>号），结算不作调整。</w:t>
      </w:r>
    </w:p>
    <w:p>
      <w:pPr>
        <w:autoSpaceDE w:val="0"/>
        <w:autoSpaceDN w:val="0"/>
        <w:adjustRightInd w:val="0"/>
        <w:spacing w:line="440" w:lineRule="exact"/>
        <w:ind w:firstLine="480"/>
        <w:rPr>
          <w:rFonts w:ascii="宋体" w:hAnsi="宋体" w:cs="宋体"/>
          <w:bCs/>
          <w:color w:val="auto"/>
          <w:kern w:val="0"/>
          <w:szCs w:val="21"/>
          <w:highlight w:val="none"/>
          <w:u w:val="single"/>
        </w:rPr>
      </w:pPr>
      <w:r>
        <w:rPr>
          <w:rFonts w:hint="eastAsia" w:ascii="宋体" w:hAnsi="宋体" w:cs="宋体"/>
          <w:bCs/>
          <w:color w:val="auto"/>
          <w:kern w:val="0"/>
          <w:szCs w:val="21"/>
          <w:highlight w:val="none"/>
          <w:u w:val="single"/>
        </w:rPr>
        <w:t>（7）暂列金额及暂估价详见合同相关条款。</w:t>
      </w:r>
    </w:p>
    <w:bookmarkEnd w:id="442"/>
    <w:bookmarkEnd w:id="443"/>
    <w:bookmarkEnd w:id="444"/>
    <w:bookmarkEnd w:id="445"/>
    <w:bookmarkEnd w:id="446"/>
    <w:bookmarkEnd w:id="447"/>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12.2 预付款</w:t>
      </w:r>
    </w:p>
    <w:bookmarkEnd w:id="448"/>
    <w:bookmarkEnd w:id="449"/>
    <w:bookmarkEnd w:id="450"/>
    <w:bookmarkEnd w:id="451"/>
    <w:bookmarkEnd w:id="452"/>
    <w:bookmarkEnd w:id="453"/>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12.2.1 预付款的支付</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预付款支付比例或金额：</w:t>
      </w:r>
      <w:r>
        <w:rPr>
          <w:rFonts w:hint="eastAsia" w:ascii="宋体" w:hAnsi="宋体"/>
          <w:b/>
          <w:bCs/>
          <w:color w:val="auto"/>
          <w:kern w:val="0"/>
          <w:szCs w:val="21"/>
          <w:highlight w:val="none"/>
          <w:u w:val="single"/>
        </w:rPr>
        <w:t>承包人交纳履约保证金且施工合同签订</w:t>
      </w:r>
      <w:r>
        <w:rPr>
          <w:rFonts w:hint="eastAsia" w:ascii="宋体" w:hAnsi="宋体"/>
          <w:b/>
          <w:color w:val="auto"/>
          <w:szCs w:val="21"/>
          <w:highlight w:val="none"/>
          <w:u w:val="single"/>
        </w:rPr>
        <w:t>，并进场开工后支付合同价</w:t>
      </w:r>
      <w:r>
        <w:rPr>
          <w:rFonts w:hint="eastAsia" w:ascii="宋体" w:hAnsi="宋体"/>
          <w:b/>
          <w:color w:val="auto"/>
          <w:szCs w:val="21"/>
          <w:highlight w:val="none"/>
          <w:u w:val="single"/>
          <w:lang w:val="en-US" w:eastAsia="zh-CN"/>
        </w:rPr>
        <w:t>10</w:t>
      </w:r>
      <w:r>
        <w:rPr>
          <w:rFonts w:hint="eastAsia" w:ascii="宋体" w:hAnsi="宋体"/>
          <w:b/>
          <w:color w:val="auto"/>
          <w:szCs w:val="21"/>
          <w:highlight w:val="none"/>
          <w:u w:val="single"/>
        </w:rPr>
        <w:t>%作为工程款</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预付款支付期限：</w:t>
      </w:r>
      <w:r>
        <w:rPr>
          <w:rFonts w:hint="eastAsia" w:ascii="宋体" w:hAnsi="宋体"/>
          <w:b/>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预付款扣回的方式：</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12.2.2 预付款担保</w:t>
      </w:r>
    </w:p>
    <w:p>
      <w:pPr>
        <w:spacing w:line="440" w:lineRule="exact"/>
        <w:ind w:firstLine="420" w:firstLineChars="200"/>
        <w:jc w:val="left"/>
        <w:rPr>
          <w:rFonts w:ascii="宋体" w:hAnsi="宋体"/>
          <w:b/>
          <w:color w:val="auto"/>
          <w:szCs w:val="21"/>
          <w:highlight w:val="none"/>
          <w:u w:val="single"/>
        </w:rPr>
      </w:pPr>
      <w:r>
        <w:rPr>
          <w:rFonts w:hint="eastAsia" w:ascii="宋体" w:hAnsi="宋体"/>
          <w:color w:val="auto"/>
          <w:szCs w:val="21"/>
          <w:highlight w:val="none"/>
        </w:rPr>
        <w:t>承包人</w:t>
      </w:r>
      <w:r>
        <w:rPr>
          <w:rFonts w:ascii="宋体" w:hAnsi="宋体"/>
          <w:color w:val="auto"/>
          <w:szCs w:val="21"/>
          <w:highlight w:val="none"/>
        </w:rPr>
        <w:t>提交预付款担保的期限：</w:t>
      </w:r>
      <w:r>
        <w:rPr>
          <w:rFonts w:hint="eastAsia" w:ascii="宋体" w:hAnsi="宋体"/>
          <w:b/>
          <w:color w:val="auto"/>
          <w:szCs w:val="21"/>
          <w:highlight w:val="none"/>
          <w:u w:val="single"/>
        </w:rPr>
        <w:t xml:space="preserve">   /</w:t>
      </w:r>
      <w:r>
        <w:rPr>
          <w:rFonts w:ascii="宋体" w:hAnsi="宋体"/>
          <w:b/>
          <w:color w:val="auto"/>
          <w:szCs w:val="21"/>
          <w:highlight w:val="none"/>
          <w:u w:val="single"/>
        </w:rPr>
        <w:t xml:space="preserve"> 。</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预付款担保的形式为：</w:t>
      </w:r>
      <w:r>
        <w:rPr>
          <w:rFonts w:hint="eastAsia" w:ascii="宋体" w:hAnsi="宋体"/>
          <w:b/>
          <w:color w:val="auto"/>
          <w:szCs w:val="21"/>
          <w:highlight w:val="none"/>
          <w:u w:val="single"/>
        </w:rPr>
        <w:t>/</w:t>
      </w:r>
      <w:r>
        <w:rPr>
          <w:rFonts w:ascii="宋体" w:hAnsi="宋体"/>
          <w:color w:val="auto"/>
          <w:szCs w:val="21"/>
          <w:highlight w:val="none"/>
        </w:rPr>
        <w:t>。</w:t>
      </w:r>
    </w:p>
    <w:bookmarkEnd w:id="454"/>
    <w:bookmarkEnd w:id="455"/>
    <w:bookmarkEnd w:id="456"/>
    <w:bookmarkEnd w:id="457"/>
    <w:bookmarkEnd w:id="458"/>
    <w:bookmarkEnd w:id="459"/>
    <w:bookmarkEnd w:id="460"/>
    <w:bookmarkEnd w:id="461"/>
    <w:bookmarkEnd w:id="462"/>
    <w:bookmarkEnd w:id="463"/>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12.3 计量</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12.3.1 计量原则</w:t>
      </w:r>
    </w:p>
    <w:p>
      <w:pPr>
        <w:spacing w:line="440" w:lineRule="exact"/>
        <w:ind w:firstLine="420" w:firstLineChars="200"/>
        <w:jc w:val="left"/>
        <w:rPr>
          <w:rFonts w:ascii="宋体" w:hAnsi="宋体"/>
          <w:b/>
          <w:bCs/>
          <w:color w:val="auto"/>
          <w:szCs w:val="21"/>
          <w:highlight w:val="none"/>
          <w:u w:val="single"/>
        </w:rPr>
      </w:pPr>
      <w:r>
        <w:rPr>
          <w:rFonts w:hint="eastAsia" w:ascii="宋体" w:hAnsi="宋体"/>
          <w:color w:val="auto"/>
          <w:szCs w:val="21"/>
          <w:highlight w:val="none"/>
        </w:rPr>
        <w:t>工程量计算规则：</w:t>
      </w:r>
      <w:r>
        <w:rPr>
          <w:rFonts w:hint="eastAsia" w:ascii="宋体" w:hAnsi="宋体"/>
          <w:b/>
          <w:color w:val="auto"/>
          <w:szCs w:val="21"/>
          <w:highlight w:val="none"/>
          <w:u w:val="single"/>
        </w:rPr>
        <w:t>《江苏省建设工程费用定额》2014版、《建设工程工程量清单计价规范》（GB50500-2013）、《江苏省仿古建筑与园林工程计价表》 (2007年版)、《通用安装工程</w:t>
      </w:r>
      <w:r>
        <w:rPr>
          <w:rFonts w:ascii="宋体" w:hAnsi="宋体"/>
          <w:b/>
          <w:color w:val="auto"/>
          <w:szCs w:val="21"/>
          <w:highlight w:val="none"/>
          <w:u w:val="single"/>
        </w:rPr>
        <w:t>工程量计算规范</w:t>
      </w:r>
      <w:r>
        <w:rPr>
          <w:rFonts w:hint="eastAsia" w:ascii="宋体" w:hAnsi="宋体"/>
          <w:b/>
          <w:color w:val="auto"/>
          <w:szCs w:val="21"/>
          <w:highlight w:val="none"/>
          <w:u w:val="single"/>
        </w:rPr>
        <w:t>》（GB50856-2013）、《市政工程</w:t>
      </w:r>
      <w:r>
        <w:rPr>
          <w:rFonts w:ascii="宋体" w:hAnsi="宋体"/>
          <w:b/>
          <w:color w:val="auto"/>
          <w:szCs w:val="21"/>
          <w:highlight w:val="none"/>
          <w:u w:val="single"/>
        </w:rPr>
        <w:t>工程量计算规范</w:t>
      </w:r>
      <w:r>
        <w:rPr>
          <w:rFonts w:hint="eastAsia" w:ascii="宋体" w:hAnsi="宋体"/>
          <w:b/>
          <w:color w:val="auto"/>
          <w:szCs w:val="21"/>
          <w:highlight w:val="none"/>
          <w:u w:val="single"/>
        </w:rPr>
        <w:t>》（GB50857-2013）；《江苏省建筑与装饰工程计价定额》2014年版、《江苏省安装工程计价定额》2014年版、《江苏省市政工程计价定额》2014年版、《江苏省房屋修缮工程计价表》（2009年版）、《江苏省仿古建筑与园林工程计价表》 2007年版、《省住房城乡建设厅关于建筑业增值税计价政策调整的通知》（苏建函价[2018]298号）一般计税方法计取以及相应的补充规定和省市颁布的有关工程造价文件  。</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12.3.2 计量周期</w:t>
      </w:r>
    </w:p>
    <w:p>
      <w:pPr>
        <w:spacing w:line="460" w:lineRule="exact"/>
        <w:ind w:firstLine="420" w:firstLineChars="200"/>
        <w:rPr>
          <w:rFonts w:ascii="宋体" w:hAnsi="宋体"/>
          <w:b/>
          <w:color w:val="auto"/>
          <w:szCs w:val="21"/>
          <w:highlight w:val="none"/>
          <w:u w:val="single"/>
        </w:rPr>
      </w:pPr>
      <w:r>
        <w:rPr>
          <w:rFonts w:hint="eastAsia" w:ascii="宋体" w:hAnsi="宋体"/>
          <w:color w:val="auto"/>
          <w:szCs w:val="21"/>
          <w:highlight w:val="none"/>
        </w:rPr>
        <w:t>关于计量周期的约定：</w:t>
      </w:r>
      <w:r>
        <w:rPr>
          <w:rFonts w:hint="eastAsia" w:ascii="宋体" w:hAnsi="宋体"/>
          <w:b/>
          <w:color w:val="auto"/>
          <w:szCs w:val="21"/>
          <w:highlight w:val="none"/>
          <w:u w:val="single"/>
        </w:rPr>
        <w:t xml:space="preserve"> /      </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12.3.3 单价合同的计量</w:t>
      </w:r>
    </w:p>
    <w:p>
      <w:pPr>
        <w:spacing w:line="440" w:lineRule="exact"/>
        <w:ind w:firstLine="420" w:firstLineChars="200"/>
        <w:jc w:val="left"/>
        <w:rPr>
          <w:rFonts w:ascii="宋体" w:hAnsi="宋体"/>
          <w:b/>
          <w:color w:val="auto"/>
          <w:szCs w:val="21"/>
          <w:highlight w:val="none"/>
          <w:u w:val="single"/>
        </w:rPr>
      </w:pPr>
      <w:r>
        <w:rPr>
          <w:rFonts w:hint="eastAsia" w:ascii="宋体" w:hAnsi="宋体"/>
          <w:color w:val="auto"/>
          <w:szCs w:val="21"/>
          <w:highlight w:val="none"/>
        </w:rPr>
        <w:t>关于单价合同计量的约定：</w:t>
      </w:r>
      <w:r>
        <w:rPr>
          <w:rFonts w:hint="eastAsia" w:ascii="宋体" w:hAnsi="宋体"/>
          <w:b/>
          <w:color w:val="auto"/>
          <w:szCs w:val="21"/>
          <w:highlight w:val="none"/>
          <w:u w:val="single"/>
        </w:rPr>
        <w:t>竣工结算的工程量按发承包双方在合同中约定应予计量且实际完成的工程量确定，完成发包人要求的合同以外的零星工作或发生非承包人责任事件的工程量按现场签证确定。</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12.3.4 总价合同的计量</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关于总价合同计量的约定：</w:t>
      </w:r>
      <w:r>
        <w:rPr>
          <w:rFonts w:hint="eastAsia" w:ascii="宋体" w:hAnsi="宋体"/>
          <w:color w:val="auto"/>
          <w:szCs w:val="21"/>
          <w:highlight w:val="none"/>
          <w:u w:val="single"/>
        </w:rPr>
        <w:t xml:space="preserve">               /               </w:t>
      </w:r>
      <w:r>
        <w:rPr>
          <w:rFonts w:hint="eastAsia"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12.3.5总价合同采用支付分解表计量支付的，是否适用第</w:t>
      </w:r>
      <w:r>
        <w:rPr>
          <w:rFonts w:hint="eastAsia" w:ascii="宋体" w:hAnsi="宋体"/>
          <w:color w:val="auto"/>
          <w:kern w:val="0"/>
          <w:szCs w:val="21"/>
          <w:highlight w:val="none"/>
        </w:rPr>
        <w:t xml:space="preserve">12.3.4 </w:t>
      </w:r>
      <w:r>
        <w:rPr>
          <w:rFonts w:hint="eastAsia" w:ascii="宋体" w:hAnsi="宋体"/>
          <w:color w:val="auto"/>
          <w:szCs w:val="21"/>
          <w:highlight w:val="none"/>
        </w:rPr>
        <w:t>项</w:t>
      </w:r>
      <w:r>
        <w:rPr>
          <w:rFonts w:hint="eastAsia" w:ascii="宋体" w:hAnsi="宋体"/>
          <w:color w:val="auto"/>
          <w:kern w:val="0"/>
          <w:szCs w:val="21"/>
          <w:highlight w:val="none"/>
        </w:rPr>
        <w:t>〔总价合同的计量〕</w:t>
      </w:r>
      <w:r>
        <w:rPr>
          <w:rFonts w:hint="eastAsia" w:ascii="宋体" w:hAnsi="宋体"/>
          <w:color w:val="auto"/>
          <w:szCs w:val="21"/>
          <w:highlight w:val="none"/>
        </w:rPr>
        <w:t>约定进行计量：</w:t>
      </w:r>
      <w:r>
        <w:rPr>
          <w:rFonts w:hint="eastAsia" w:ascii="宋体" w:hAnsi="宋体"/>
          <w:color w:val="auto"/>
          <w:szCs w:val="21"/>
          <w:highlight w:val="none"/>
          <w:u w:val="single"/>
        </w:rPr>
        <w:t xml:space="preserve">             /        </w:t>
      </w:r>
      <w:r>
        <w:rPr>
          <w:rFonts w:hint="eastAsia"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12.3.6 其他价格形式合同的计量</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其他价格形式的计量方式和程序：</w:t>
      </w:r>
      <w:r>
        <w:rPr>
          <w:rFonts w:hint="eastAsia" w:ascii="宋体" w:hAnsi="宋体"/>
          <w:color w:val="auto"/>
          <w:szCs w:val="21"/>
          <w:highlight w:val="none"/>
          <w:u w:val="single"/>
        </w:rPr>
        <w:t xml:space="preserve">       /               </w:t>
      </w:r>
      <w:r>
        <w:rPr>
          <w:rFonts w:hint="eastAsia" w:ascii="宋体" w:hAnsi="宋体"/>
          <w:color w:val="auto"/>
          <w:szCs w:val="21"/>
          <w:highlight w:val="none"/>
        </w:rPr>
        <w:t xml:space="preserve"> 。</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12.4 工程进度款支付</w:t>
      </w:r>
    </w:p>
    <w:p>
      <w:pPr>
        <w:spacing w:line="440" w:lineRule="exact"/>
        <w:ind w:firstLine="420" w:firstLineChars="200"/>
        <w:jc w:val="left"/>
        <w:rPr>
          <w:rFonts w:ascii="宋体" w:hAnsi="宋体"/>
          <w:b/>
          <w:bCs/>
          <w:color w:val="auto"/>
          <w:szCs w:val="21"/>
          <w:highlight w:val="none"/>
          <w:u w:val="single"/>
        </w:rPr>
      </w:pPr>
      <w:bookmarkStart w:id="464" w:name="_Toc296503211"/>
      <w:bookmarkStart w:id="465" w:name="_Toc292559921"/>
      <w:bookmarkStart w:id="466" w:name="_Toc292559416"/>
      <w:bookmarkStart w:id="467" w:name="_Toc297120511"/>
      <w:bookmarkStart w:id="468" w:name="_Toc296347210"/>
      <w:bookmarkStart w:id="469" w:name="_Toc296346712"/>
      <w:bookmarkStart w:id="470" w:name="_Toc297123556"/>
      <w:bookmarkStart w:id="471" w:name="_Toc297216215"/>
      <w:bookmarkStart w:id="472" w:name="_Toc297048397"/>
      <w:bookmarkStart w:id="473" w:name="_Toc296891039"/>
      <w:bookmarkStart w:id="474" w:name="_Toc300935006"/>
      <w:bookmarkStart w:id="475" w:name="_Toc296944550"/>
      <w:bookmarkStart w:id="476" w:name="_Toc303539163"/>
      <w:bookmarkStart w:id="477" w:name="_Toc296891251"/>
      <w:r>
        <w:rPr>
          <w:rFonts w:hint="eastAsia" w:ascii="宋体" w:hAnsi="宋体"/>
          <w:color w:val="auto"/>
          <w:szCs w:val="21"/>
          <w:highlight w:val="none"/>
        </w:rPr>
        <w:t>12.4.1 付款周期</w:t>
      </w:r>
    </w:p>
    <w:p>
      <w:pPr>
        <w:spacing w:line="440" w:lineRule="exact"/>
        <w:ind w:firstLine="422" w:firstLineChars="200"/>
        <w:jc w:val="left"/>
        <w:rPr>
          <w:rFonts w:ascii="宋体" w:hAnsi="宋体"/>
          <w:b/>
          <w:bCs/>
          <w:color w:val="auto"/>
          <w:szCs w:val="21"/>
          <w:highlight w:val="none"/>
          <w:u w:val="single"/>
        </w:rPr>
      </w:pPr>
      <w:r>
        <w:rPr>
          <w:rFonts w:hint="eastAsia" w:ascii="宋体" w:hAnsi="宋体"/>
          <w:b/>
          <w:bCs/>
          <w:color w:val="auto"/>
          <w:szCs w:val="21"/>
          <w:highlight w:val="none"/>
          <w:u w:val="single"/>
        </w:rPr>
        <w:t>承包人交纳履约保证金且施工合同签订，并进场开工后一周内，付工程合同价</w:t>
      </w:r>
      <w:r>
        <w:rPr>
          <w:rFonts w:hint="eastAsia" w:ascii="宋体" w:hAnsi="宋体"/>
          <w:b/>
          <w:bCs/>
          <w:color w:val="auto"/>
          <w:szCs w:val="21"/>
          <w:highlight w:val="none"/>
          <w:u w:val="single"/>
          <w:lang w:val="en-US" w:eastAsia="zh-CN"/>
        </w:rPr>
        <w:t>10</w:t>
      </w:r>
      <w:r>
        <w:rPr>
          <w:rFonts w:hint="eastAsia" w:ascii="宋体" w:hAnsi="宋体"/>
          <w:b/>
          <w:bCs/>
          <w:color w:val="auto"/>
          <w:szCs w:val="21"/>
          <w:highlight w:val="none"/>
          <w:u w:val="single"/>
        </w:rPr>
        <w:t>%的工程款；工程</w:t>
      </w:r>
      <w:r>
        <w:rPr>
          <w:rFonts w:hint="eastAsia" w:ascii="宋体" w:hAnsi="宋体"/>
          <w:b/>
          <w:bCs/>
          <w:color w:val="auto"/>
          <w:szCs w:val="21"/>
          <w:highlight w:val="none"/>
          <w:u w:val="single"/>
          <w:lang w:val="en-US" w:eastAsia="zh-CN"/>
        </w:rPr>
        <w:t>完成50%的工程量，付合同价的30%；</w:t>
      </w:r>
      <w:r>
        <w:rPr>
          <w:rFonts w:hint="eastAsia" w:ascii="宋体" w:hAnsi="宋体"/>
          <w:b/>
          <w:bCs/>
          <w:color w:val="auto"/>
          <w:szCs w:val="21"/>
          <w:highlight w:val="none"/>
          <w:u w:val="single"/>
        </w:rPr>
        <w:t>竣工验收合格、再支付工程合同价</w:t>
      </w:r>
      <w:r>
        <w:rPr>
          <w:rFonts w:hint="eastAsia" w:ascii="宋体" w:hAnsi="宋体"/>
          <w:b/>
          <w:bCs/>
          <w:color w:val="auto"/>
          <w:szCs w:val="21"/>
          <w:highlight w:val="none"/>
          <w:u w:val="single"/>
          <w:lang w:val="en-US" w:eastAsia="zh-CN"/>
        </w:rPr>
        <w:t>3</w:t>
      </w:r>
      <w:r>
        <w:rPr>
          <w:rFonts w:hint="eastAsia" w:ascii="宋体" w:hAnsi="宋体"/>
          <w:b/>
          <w:bCs/>
          <w:color w:val="auto"/>
          <w:szCs w:val="21"/>
          <w:highlight w:val="none"/>
          <w:u w:val="single"/>
        </w:rPr>
        <w:t>0%的工程款，并经发包人和监理确认满足履约保证金条款要求后，退还相应履约保证金（不计息）；工程审</w:t>
      </w:r>
      <w:r>
        <w:rPr>
          <w:rFonts w:hint="eastAsia" w:ascii="宋体" w:hAnsi="宋体"/>
          <w:b/>
          <w:bCs/>
          <w:color w:val="auto"/>
          <w:szCs w:val="21"/>
          <w:highlight w:val="none"/>
          <w:u w:val="single"/>
          <w:lang w:val="en-US" w:eastAsia="zh-CN"/>
        </w:rPr>
        <w:t>计</w:t>
      </w:r>
      <w:r>
        <w:rPr>
          <w:rFonts w:hint="eastAsia" w:ascii="宋体" w:hAnsi="宋体"/>
          <w:b/>
          <w:bCs/>
          <w:color w:val="auto"/>
          <w:szCs w:val="21"/>
          <w:highlight w:val="none"/>
          <w:u w:val="single"/>
        </w:rPr>
        <w:t>完成后，发包人支付至审</w:t>
      </w:r>
      <w:r>
        <w:rPr>
          <w:rFonts w:hint="eastAsia" w:ascii="宋体" w:hAnsi="宋体"/>
          <w:b/>
          <w:bCs/>
          <w:color w:val="auto"/>
          <w:szCs w:val="21"/>
          <w:highlight w:val="none"/>
          <w:u w:val="single"/>
          <w:lang w:val="en-US" w:eastAsia="zh-CN"/>
        </w:rPr>
        <w:t>计</w:t>
      </w:r>
      <w:r>
        <w:rPr>
          <w:rFonts w:hint="eastAsia" w:ascii="宋体" w:hAnsi="宋体"/>
          <w:b/>
          <w:bCs/>
          <w:color w:val="auto"/>
          <w:szCs w:val="21"/>
          <w:highlight w:val="none"/>
          <w:u w:val="single"/>
        </w:rPr>
        <w:t>价</w:t>
      </w:r>
      <w:r>
        <w:rPr>
          <w:rFonts w:hint="eastAsia" w:ascii="宋体" w:hAnsi="宋体"/>
          <w:b/>
          <w:bCs/>
          <w:color w:val="auto"/>
          <w:szCs w:val="21"/>
          <w:highlight w:val="none"/>
          <w:u w:val="single"/>
          <w:lang w:val="en-US" w:eastAsia="zh-CN"/>
        </w:rPr>
        <w:t>97</w:t>
      </w:r>
      <w:r>
        <w:rPr>
          <w:rFonts w:hint="eastAsia" w:ascii="宋体" w:hAnsi="宋体"/>
          <w:b/>
          <w:bCs/>
          <w:color w:val="auto"/>
          <w:szCs w:val="21"/>
          <w:highlight w:val="none"/>
          <w:u w:val="single"/>
        </w:rPr>
        <w:t>%的工程款；余款工程审计总价的3%作为工程质量保修金</w:t>
      </w:r>
      <w:r>
        <w:rPr>
          <w:rFonts w:hint="eastAsia" w:ascii="宋体" w:hAnsi="宋体"/>
          <w:b/>
          <w:bCs/>
          <w:color w:val="auto"/>
          <w:szCs w:val="21"/>
          <w:highlight w:val="none"/>
          <w:u w:val="single"/>
          <w:lang w:eastAsia="zh-CN"/>
        </w:rPr>
        <w:t>，</w:t>
      </w:r>
      <w:r>
        <w:rPr>
          <w:rFonts w:hint="eastAsia" w:ascii="宋体" w:hAnsi="宋体"/>
          <w:b/>
          <w:bCs/>
          <w:color w:val="auto"/>
          <w:szCs w:val="21"/>
          <w:highlight w:val="none"/>
          <w:u w:val="single"/>
        </w:rPr>
        <w:t>质量保修金在项目验收合格满两年、无质量问题后无息返还。</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其他：</w:t>
      </w:r>
    </w:p>
    <w:p>
      <w:pPr>
        <w:spacing w:line="440" w:lineRule="exact"/>
        <w:ind w:firstLine="422" w:firstLineChars="200"/>
        <w:jc w:val="left"/>
        <w:rPr>
          <w:rFonts w:hint="default" w:ascii="宋体" w:hAnsi="宋体" w:eastAsia="宋体"/>
          <w:b/>
          <w:color w:val="auto"/>
          <w:sz w:val="24"/>
          <w:highlight w:val="none"/>
          <w:u w:val="single"/>
          <w:lang w:val="en-US" w:eastAsia="zh-CN"/>
        </w:rPr>
      </w:pPr>
      <w:r>
        <w:rPr>
          <w:rFonts w:hint="eastAsia" w:ascii="宋体" w:hAnsi="宋体"/>
          <w:b/>
          <w:bCs/>
          <w:color w:val="auto"/>
          <w:szCs w:val="21"/>
          <w:highlight w:val="none"/>
          <w:u w:val="single"/>
        </w:rPr>
        <w:t>调整价款、变更增补项目价款不在进度款中支付。违约金由承包人缴纳至发包人指定账户或从其工程款中扣除。所有工程款的支付必须由承包人递交付款申请，总监理工程师和发包人现场代表审核。发包人代垫代扣的所有费用可以从工程款中直接扣除。每次支付前，承包人均应出具税务部门认可的相应金额的发票，机构所在地不在崇川区的施工企业，异地项目根据税法按规定要在当地先预缴2%的增值税及附加，每次支付前，须提供在南通市崇川区税务部门开出的预缴增值税的相关资料，承包人未提供符合要求的发票，发包人有权拒绝付款。 工程竣工结算由发包人在崇川审计局设立的“政府投资建设项目协审中介机构资源库”中委托产生第三方审计机构审计确认，最终审计结果作为工程竣工结算依据。</w:t>
      </w:r>
      <w:r>
        <w:rPr>
          <w:rFonts w:hint="eastAsia" w:ascii="宋体" w:hAnsi="宋体"/>
          <w:b/>
          <w:bCs/>
          <w:color w:val="auto"/>
          <w:szCs w:val="21"/>
          <w:highlight w:val="none"/>
          <w:u w:val="single"/>
          <w:lang w:eastAsia="zh-CN"/>
        </w:rPr>
        <w:t>设计费用</w:t>
      </w:r>
      <w:r>
        <w:rPr>
          <w:rFonts w:hint="eastAsia" w:ascii="宋体" w:hAnsi="宋体"/>
          <w:b/>
          <w:bCs/>
          <w:color w:val="auto"/>
          <w:szCs w:val="21"/>
          <w:highlight w:val="none"/>
          <w:u w:val="single"/>
          <w:lang w:val="en-US" w:eastAsia="zh-CN"/>
        </w:rPr>
        <w:t>19000.00元由施工单位从工程款内直接付给设计单位。</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12.4</w:t>
      </w:r>
      <w:r>
        <w:rPr>
          <w:rFonts w:ascii="宋体" w:hAnsi="宋体"/>
          <w:color w:val="auto"/>
          <w:szCs w:val="21"/>
          <w:highlight w:val="none"/>
        </w:rPr>
        <w:t>.2 进度付款申请单的编制</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关于进度付款申请单编制的约定：</w:t>
      </w:r>
      <w:r>
        <w:rPr>
          <w:rFonts w:hint="eastAsia" w:ascii="宋体" w:hAnsi="宋体"/>
          <w:color w:val="auto"/>
          <w:szCs w:val="21"/>
          <w:highlight w:val="none"/>
          <w:u w:val="single"/>
        </w:rPr>
        <w:t>/</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r>
        <w:rPr>
          <w:rFonts w:ascii="宋体" w:hAnsi="宋体"/>
          <w:color w:val="auto"/>
          <w:szCs w:val="21"/>
          <w:highlight w:val="none"/>
        </w:rPr>
        <w:t>2.4.3 进度付款申请单的提交</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（1）单价合同进度付款申请单提交的约定</w:t>
      </w:r>
      <w:r>
        <w:rPr>
          <w:rFonts w:hint="eastAsia" w:ascii="宋体" w:hAnsi="宋体"/>
          <w:color w:val="auto"/>
          <w:szCs w:val="21"/>
          <w:highlight w:val="none"/>
        </w:rPr>
        <w:t>：</w:t>
      </w:r>
      <w:r>
        <w:rPr>
          <w:rFonts w:hint="eastAsia" w:ascii="宋体" w:hAnsi="宋体"/>
          <w:color w:val="auto"/>
          <w:szCs w:val="21"/>
          <w:highlight w:val="none"/>
          <w:u w:val="single"/>
        </w:rPr>
        <w:t xml:space="preserve">      /     </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（2）总价合同进度付款申请单提交的约定</w:t>
      </w:r>
      <w:r>
        <w:rPr>
          <w:rFonts w:hint="eastAsia" w:ascii="宋体" w:hAnsi="宋体"/>
          <w:color w:val="auto"/>
          <w:szCs w:val="21"/>
          <w:highlight w:val="none"/>
        </w:rPr>
        <w:t>：</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（3）其他价格形式合同进度付款申请单提交的约定：</w:t>
      </w:r>
      <w:r>
        <w:rPr>
          <w:rFonts w:hint="eastAsia" w:ascii="宋体" w:hAnsi="宋体"/>
          <w:color w:val="auto"/>
          <w:szCs w:val="21"/>
          <w:highlight w:val="none"/>
          <w:u w:val="single"/>
        </w:rPr>
        <w:t>/</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12.4.4 进度款审核和支付</w:t>
      </w:r>
    </w:p>
    <w:p>
      <w:pPr>
        <w:spacing w:line="440" w:lineRule="exact"/>
        <w:ind w:firstLine="420" w:firstLineChars="200"/>
        <w:jc w:val="left"/>
        <w:rPr>
          <w:rFonts w:ascii="宋体" w:hAnsi="宋体"/>
          <w:color w:val="auto"/>
          <w:szCs w:val="21"/>
          <w:highlight w:val="none"/>
          <w:u w:val="single"/>
        </w:rPr>
      </w:pPr>
      <w:r>
        <w:rPr>
          <w:rFonts w:ascii="宋体" w:hAnsi="宋体"/>
          <w:color w:val="auto"/>
          <w:szCs w:val="21"/>
          <w:highlight w:val="none"/>
        </w:rPr>
        <w:t>（1）监理人审查并报送发包人的期限：</w:t>
      </w:r>
      <w:r>
        <w:rPr>
          <w:rFonts w:hint="eastAsia" w:ascii="宋体" w:hAnsi="宋体"/>
          <w:color w:val="auto"/>
          <w:szCs w:val="21"/>
          <w:highlight w:val="none"/>
          <w:u w:val="single"/>
        </w:rPr>
        <w:t xml:space="preserve">     /    </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发包人完成审批并签发进度款支付证书的期限：</w:t>
      </w:r>
      <w:r>
        <w:rPr>
          <w:rFonts w:hint="eastAsia" w:ascii="宋体" w:hAnsi="宋体"/>
          <w:color w:val="auto"/>
          <w:szCs w:val="21"/>
          <w:highlight w:val="none"/>
          <w:u w:val="single"/>
        </w:rPr>
        <w:t xml:space="preserve">   /            </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（2）发包人支付进度款的期限：</w:t>
      </w:r>
      <w:r>
        <w:rPr>
          <w:rFonts w:hint="eastAsia" w:ascii="宋体" w:hAnsi="宋体"/>
          <w:color w:val="auto"/>
          <w:szCs w:val="21"/>
          <w:highlight w:val="none"/>
          <w:u w:val="single"/>
        </w:rPr>
        <w:t xml:space="preserve">      /         </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发包人逾期支付进度款的违约金的计算方式：</w:t>
      </w:r>
      <w:r>
        <w:rPr>
          <w:rFonts w:hint="eastAsia" w:ascii="宋体" w:hAnsi="宋体"/>
          <w:color w:val="auto"/>
          <w:szCs w:val="21"/>
          <w:highlight w:val="none"/>
          <w:u w:val="single"/>
        </w:rPr>
        <w:t>/</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12.4.6 支付分解表的编制</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2、总价合同支付分解表的编制与审批：</w:t>
      </w:r>
      <w:r>
        <w:rPr>
          <w:rFonts w:hint="eastAsia" w:ascii="宋体" w:hAnsi="宋体"/>
          <w:color w:val="auto"/>
          <w:szCs w:val="21"/>
          <w:highlight w:val="none"/>
          <w:u w:val="single"/>
        </w:rPr>
        <w:t>/</w:t>
      </w:r>
      <w:r>
        <w:rPr>
          <w:rFonts w:ascii="宋体" w:hAnsi="宋体"/>
          <w:color w:val="auto"/>
          <w:szCs w:val="21"/>
          <w:highlight w:val="none"/>
        </w:rPr>
        <w:t xml:space="preserve"> 。</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3、单价合同的总价项目支付分解表的编制与审批：</w:t>
      </w:r>
      <w:r>
        <w:rPr>
          <w:rFonts w:hint="eastAsia" w:ascii="宋体" w:hAnsi="宋体"/>
          <w:color w:val="auto"/>
          <w:szCs w:val="21"/>
          <w:highlight w:val="none"/>
          <w:u w:val="single"/>
        </w:rPr>
        <w:t>/</w:t>
      </w:r>
      <w:r>
        <w:rPr>
          <w:rFonts w:ascii="宋体" w:hAnsi="宋体"/>
          <w:color w:val="auto"/>
          <w:szCs w:val="21"/>
          <w:highlight w:val="none"/>
        </w:rPr>
        <w:t>。</w:t>
      </w:r>
    </w:p>
    <w:bookmarkEnd w:id="310"/>
    <w:p>
      <w:pPr>
        <w:pStyle w:val="6"/>
        <w:spacing w:before="120" w:after="120" w:line="440" w:lineRule="exact"/>
        <w:rPr>
          <w:rFonts w:ascii="宋体" w:hAnsi="宋体"/>
          <w:b w:val="0"/>
          <w:color w:val="auto"/>
          <w:szCs w:val="21"/>
          <w:highlight w:val="none"/>
        </w:rPr>
      </w:pPr>
      <w:bookmarkStart w:id="478" w:name="_Toc351203645"/>
      <w:bookmarkStart w:id="479" w:name="_Toc297216223"/>
      <w:bookmarkStart w:id="480" w:name="_Toc297048405"/>
      <w:bookmarkStart w:id="481" w:name="_Toc300935015"/>
      <w:bookmarkStart w:id="482" w:name="_Toc303539172"/>
      <w:bookmarkStart w:id="483" w:name="_Toc297123564"/>
      <w:bookmarkStart w:id="484" w:name="_Toc292559424"/>
      <w:bookmarkStart w:id="485" w:name="_Toc304295593"/>
      <w:bookmarkStart w:id="486" w:name="_Toc296346720"/>
      <w:bookmarkStart w:id="487" w:name="_Toc297120519"/>
      <w:bookmarkStart w:id="488" w:name="_Toc292559929"/>
      <w:bookmarkStart w:id="489" w:name="_Toc296347218"/>
      <w:bookmarkStart w:id="490" w:name="_Toc312678053"/>
      <w:bookmarkStart w:id="491" w:name="_Toc296891047"/>
      <w:bookmarkStart w:id="492" w:name="_Toc296503219"/>
      <w:bookmarkStart w:id="493" w:name="_Toc296891259"/>
      <w:bookmarkStart w:id="494" w:name="_Toc296944558"/>
      <w:r>
        <w:rPr>
          <w:rFonts w:ascii="宋体" w:hAnsi="宋体"/>
          <w:b w:val="0"/>
          <w:color w:val="auto"/>
          <w:szCs w:val="21"/>
          <w:highlight w:val="none"/>
        </w:rPr>
        <w:t>13.验收和工程试车</w:t>
      </w:r>
      <w:bookmarkEnd w:id="478"/>
    </w:p>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13.1 分部分项工程验收</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13.1.2监理人不能按时进行验收时，应提前</w:t>
      </w:r>
      <w:r>
        <w:rPr>
          <w:rFonts w:hint="eastAsia" w:ascii="宋体" w:hAnsi="宋体"/>
          <w:color w:val="auto"/>
          <w:szCs w:val="21"/>
          <w:highlight w:val="none"/>
          <w:u w:val="single"/>
        </w:rPr>
        <w:t>/</w:t>
      </w:r>
      <w:r>
        <w:rPr>
          <w:rFonts w:ascii="宋体" w:hAnsi="宋体"/>
          <w:color w:val="auto"/>
          <w:szCs w:val="21"/>
          <w:highlight w:val="none"/>
        </w:rPr>
        <w:t>小时提交书面延期要求。</w:t>
      </w:r>
    </w:p>
    <w:p>
      <w:pPr>
        <w:spacing w:line="440" w:lineRule="exact"/>
        <w:ind w:firstLine="420" w:firstLineChars="200"/>
        <w:jc w:val="left"/>
        <w:rPr>
          <w:rFonts w:ascii="宋体" w:hAnsi="宋体"/>
          <w:b/>
          <w:color w:val="auto"/>
          <w:szCs w:val="21"/>
          <w:highlight w:val="none"/>
        </w:rPr>
      </w:pPr>
      <w:r>
        <w:rPr>
          <w:rFonts w:ascii="宋体" w:hAnsi="宋体"/>
          <w:color w:val="auto"/>
          <w:szCs w:val="21"/>
          <w:highlight w:val="none"/>
        </w:rPr>
        <w:t>关于延期最长不得超过：</w:t>
      </w:r>
      <w:r>
        <w:rPr>
          <w:rFonts w:hint="eastAsia" w:ascii="宋体" w:hAnsi="宋体"/>
          <w:color w:val="auto"/>
          <w:szCs w:val="21"/>
          <w:highlight w:val="none"/>
          <w:u w:val="single"/>
        </w:rPr>
        <w:t xml:space="preserve">/           </w:t>
      </w:r>
      <w:r>
        <w:rPr>
          <w:rFonts w:ascii="宋体" w:hAnsi="宋体"/>
          <w:color w:val="auto"/>
          <w:szCs w:val="21"/>
          <w:highlight w:val="none"/>
        </w:rPr>
        <w:t>小时。</w:t>
      </w:r>
    </w:p>
    <w:p>
      <w:pPr>
        <w:spacing w:line="440" w:lineRule="exact"/>
        <w:ind w:firstLine="420" w:firstLineChars="200"/>
        <w:jc w:val="left"/>
        <w:rPr>
          <w:rFonts w:ascii="宋体" w:hAnsi="宋体"/>
          <w:color w:val="auto"/>
          <w:szCs w:val="21"/>
          <w:highlight w:val="none"/>
        </w:rPr>
      </w:pPr>
      <w:bookmarkStart w:id="495" w:name="_Toc296346724"/>
      <w:bookmarkStart w:id="496" w:name="_Toc292559933"/>
      <w:bookmarkStart w:id="497" w:name="_Toc296503223"/>
      <w:bookmarkStart w:id="498" w:name="_Toc297048409"/>
      <w:bookmarkStart w:id="499" w:name="_Toc296891051"/>
      <w:bookmarkStart w:id="500" w:name="_Toc300935016"/>
      <w:bookmarkStart w:id="501" w:name="_Toc297123565"/>
      <w:bookmarkStart w:id="502" w:name="_Toc296347222"/>
      <w:bookmarkStart w:id="503" w:name="_Toc303539173"/>
      <w:bookmarkStart w:id="504" w:name="_Toc296891263"/>
      <w:bookmarkStart w:id="505" w:name="_Toc297216224"/>
      <w:bookmarkStart w:id="506" w:name="_Toc296944562"/>
      <w:bookmarkStart w:id="507" w:name="_Toc297120523"/>
      <w:bookmarkStart w:id="508" w:name="_Toc292559428"/>
      <w:bookmarkStart w:id="509" w:name="_Toc312678056"/>
      <w:bookmarkStart w:id="510" w:name="_Toc304295596"/>
      <w:bookmarkStart w:id="511" w:name="_Toc267251473"/>
      <w:bookmarkStart w:id="512" w:name="_Toc267251472"/>
      <w:bookmarkStart w:id="513" w:name="_Toc267251470"/>
      <w:bookmarkStart w:id="514" w:name="_Toc267251474"/>
      <w:bookmarkStart w:id="515" w:name="_Toc267251476"/>
      <w:bookmarkStart w:id="516" w:name="_Toc267251471"/>
      <w:bookmarkStart w:id="517" w:name="_Toc267251475"/>
      <w:r>
        <w:rPr>
          <w:rFonts w:ascii="宋体" w:hAnsi="宋体"/>
          <w:color w:val="auto"/>
          <w:szCs w:val="21"/>
          <w:highlight w:val="none"/>
        </w:rPr>
        <w:t>13.2 竣工验收</w:t>
      </w:r>
    </w:p>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Pr>
        <w:spacing w:line="440" w:lineRule="exact"/>
        <w:ind w:firstLine="420" w:firstLineChars="200"/>
        <w:jc w:val="left"/>
        <w:rPr>
          <w:rFonts w:ascii="宋体" w:hAnsi="宋体"/>
          <w:color w:val="auto"/>
          <w:szCs w:val="21"/>
          <w:highlight w:val="none"/>
        </w:rPr>
      </w:pPr>
      <w:bookmarkStart w:id="518" w:name="_Toc280868704"/>
      <w:bookmarkStart w:id="519" w:name="_Toc280868705"/>
      <w:bookmarkStart w:id="520" w:name="_Toc280868706"/>
      <w:bookmarkStart w:id="521" w:name="_Toc280868707"/>
      <w:bookmarkStart w:id="522" w:name="_Toc280868708"/>
      <w:bookmarkStart w:id="523" w:name="_Toc280868709"/>
      <w:r>
        <w:rPr>
          <w:rFonts w:ascii="宋体" w:hAnsi="宋体"/>
          <w:color w:val="auto"/>
          <w:szCs w:val="21"/>
          <w:highlight w:val="none"/>
        </w:rPr>
        <w:t>13.2.2竣工验收程序</w:t>
      </w:r>
    </w:p>
    <w:bookmarkEnd w:id="518"/>
    <w:p>
      <w:pPr>
        <w:spacing w:line="440" w:lineRule="exact"/>
        <w:ind w:firstLine="420" w:firstLineChars="200"/>
        <w:jc w:val="left"/>
        <w:rPr>
          <w:rFonts w:ascii="宋体" w:hAnsi="宋体"/>
          <w:color w:val="auto"/>
          <w:szCs w:val="21"/>
          <w:highlight w:val="none"/>
        </w:rPr>
      </w:pPr>
      <w:r>
        <w:rPr>
          <w:rFonts w:ascii="宋体" w:hAnsi="宋体"/>
          <w:color w:val="auto"/>
          <w:kern w:val="0"/>
          <w:szCs w:val="21"/>
          <w:highlight w:val="none"/>
        </w:rPr>
        <w:t>关于竣工验收程序的约定：</w:t>
      </w:r>
      <w:r>
        <w:rPr>
          <w:rFonts w:hint="eastAsia" w:ascii="宋体" w:hAnsi="宋体"/>
          <w:color w:val="auto"/>
          <w:szCs w:val="21"/>
          <w:highlight w:val="none"/>
          <w:u w:val="single"/>
        </w:rPr>
        <w:t>按通用条款</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kern w:val="0"/>
          <w:szCs w:val="21"/>
          <w:highlight w:val="none"/>
        </w:rPr>
        <w:t>发包人不按照本项约定组织竣工验收、颁发工程接收证书的违约金的计算方法：</w:t>
      </w:r>
      <w:r>
        <w:rPr>
          <w:rFonts w:ascii="宋体" w:hAnsi="宋体"/>
          <w:color w:val="auto"/>
          <w:szCs w:val="21"/>
          <w:highlight w:val="none"/>
        </w:rPr>
        <w:t>。</w:t>
      </w:r>
    </w:p>
    <w:bookmarkEnd w:id="519"/>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13.2.5移交、接收全部与部分工程</w:t>
      </w:r>
    </w:p>
    <w:bookmarkEnd w:id="520"/>
    <w:p>
      <w:pPr>
        <w:spacing w:line="440" w:lineRule="exact"/>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承包人向发包人移交工程的期限：</w:t>
      </w:r>
      <w:r>
        <w:rPr>
          <w:rFonts w:hint="eastAsia" w:ascii="宋体" w:hAnsi="宋体"/>
          <w:color w:val="auto"/>
          <w:szCs w:val="21"/>
          <w:highlight w:val="none"/>
          <w:u w:val="single"/>
        </w:rPr>
        <w:t xml:space="preserve">按通用条款  </w:t>
      </w:r>
      <w:r>
        <w:rPr>
          <w:rFonts w:hint="eastAsia" w:ascii="宋体" w:hAnsi="宋体"/>
          <w:color w:val="auto"/>
          <w:szCs w:val="21"/>
          <w:highlight w:val="none"/>
        </w:rPr>
        <w:t>。</w:t>
      </w:r>
    </w:p>
    <w:p>
      <w:pPr>
        <w:spacing w:line="440" w:lineRule="exact"/>
        <w:ind w:firstLine="420" w:firstLineChars="200"/>
        <w:jc w:val="left"/>
        <w:rPr>
          <w:rFonts w:ascii="宋体" w:hAnsi="宋体"/>
          <w:color w:val="auto"/>
          <w:szCs w:val="21"/>
          <w:highlight w:val="none"/>
          <w:u w:val="single"/>
        </w:rPr>
      </w:pPr>
      <w:r>
        <w:rPr>
          <w:rFonts w:ascii="宋体" w:hAnsi="宋体"/>
          <w:color w:val="auto"/>
          <w:kern w:val="0"/>
          <w:szCs w:val="21"/>
          <w:highlight w:val="none"/>
        </w:rPr>
        <w:t>发包人未按本合同约定接收全部或部分工程的，违约金的计算方法为：</w:t>
      </w:r>
      <w:r>
        <w:rPr>
          <w:rFonts w:hint="eastAsia" w:ascii="宋体" w:hAnsi="宋体"/>
          <w:color w:val="auto"/>
          <w:szCs w:val="21"/>
          <w:highlight w:val="none"/>
          <w:u w:val="single"/>
        </w:rPr>
        <w:t>/</w:t>
      </w:r>
      <w:r>
        <w:rPr>
          <w:rFonts w:ascii="宋体" w:hAnsi="宋体"/>
          <w:color w:val="auto"/>
          <w:szCs w:val="21"/>
          <w:highlight w:val="none"/>
        </w:rPr>
        <w:t>。</w:t>
      </w:r>
    </w:p>
    <w:bookmarkEnd w:id="521"/>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承包人</w:t>
      </w:r>
      <w:r>
        <w:rPr>
          <w:rFonts w:ascii="宋体" w:hAnsi="宋体"/>
          <w:color w:val="auto"/>
          <w:szCs w:val="21"/>
          <w:highlight w:val="none"/>
        </w:rPr>
        <w:t>未按时移交工程的，违约金的计算方法为：。</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13.3 工程试车</w:t>
      </w:r>
    </w:p>
    <w:bookmarkEnd w:id="522"/>
    <w:p>
      <w:pPr>
        <w:spacing w:line="440" w:lineRule="exact"/>
        <w:ind w:firstLine="420" w:firstLineChars="200"/>
        <w:jc w:val="left"/>
        <w:rPr>
          <w:rFonts w:ascii="宋体" w:hAnsi="宋体"/>
          <w:color w:val="auto"/>
          <w:kern w:val="0"/>
          <w:szCs w:val="21"/>
          <w:highlight w:val="none"/>
        </w:rPr>
      </w:pPr>
      <w:r>
        <w:rPr>
          <w:rFonts w:ascii="宋体" w:hAnsi="宋体"/>
          <w:color w:val="auto"/>
          <w:szCs w:val="21"/>
          <w:highlight w:val="none"/>
        </w:rPr>
        <w:t>13</w:t>
      </w:r>
      <w:r>
        <w:rPr>
          <w:rFonts w:ascii="宋体" w:hAnsi="宋体"/>
          <w:color w:val="auto"/>
          <w:kern w:val="0"/>
          <w:szCs w:val="21"/>
          <w:highlight w:val="none"/>
        </w:rPr>
        <w:t>.3.1 试车程序</w:t>
      </w:r>
    </w:p>
    <w:p>
      <w:pPr>
        <w:spacing w:line="440" w:lineRule="exact"/>
        <w:ind w:firstLine="420" w:firstLineChars="200"/>
        <w:jc w:val="left"/>
        <w:rPr>
          <w:rFonts w:ascii="宋体" w:hAnsi="宋体"/>
          <w:color w:val="auto"/>
          <w:kern w:val="0"/>
          <w:szCs w:val="21"/>
          <w:highlight w:val="none"/>
        </w:rPr>
      </w:pPr>
      <w:r>
        <w:rPr>
          <w:rFonts w:ascii="宋体" w:hAnsi="宋体"/>
          <w:color w:val="auto"/>
          <w:kern w:val="0"/>
          <w:szCs w:val="21"/>
          <w:highlight w:val="none"/>
        </w:rPr>
        <w:t>工程试车内容：</w:t>
      </w:r>
      <w:r>
        <w:rPr>
          <w:rFonts w:hint="eastAsia" w:ascii="宋体" w:hAnsi="宋体"/>
          <w:color w:val="auto"/>
          <w:szCs w:val="21"/>
          <w:highlight w:val="none"/>
          <w:u w:val="single"/>
        </w:rPr>
        <w:t>/</w:t>
      </w:r>
      <w:r>
        <w:rPr>
          <w:rFonts w:ascii="宋体" w:hAnsi="宋体"/>
          <w:color w:val="auto"/>
          <w:szCs w:val="21"/>
          <w:highlight w:val="none"/>
        </w:rPr>
        <w:t>。</w:t>
      </w:r>
    </w:p>
    <w:p>
      <w:pPr>
        <w:spacing w:line="440" w:lineRule="exact"/>
        <w:ind w:firstLine="420" w:firstLineChars="200"/>
        <w:jc w:val="left"/>
        <w:rPr>
          <w:rFonts w:ascii="宋体" w:hAnsi="宋体"/>
          <w:color w:val="auto"/>
          <w:kern w:val="0"/>
          <w:szCs w:val="21"/>
          <w:highlight w:val="none"/>
        </w:rPr>
      </w:pPr>
      <w:r>
        <w:rPr>
          <w:rFonts w:ascii="宋体" w:hAnsi="宋体"/>
          <w:color w:val="auto"/>
          <w:kern w:val="0"/>
          <w:szCs w:val="21"/>
          <w:highlight w:val="none"/>
        </w:rPr>
        <w:t>（1）单机无负荷试车费用由</w:t>
      </w:r>
      <w:r>
        <w:rPr>
          <w:rFonts w:hint="eastAsia" w:ascii="宋体" w:hAnsi="宋体"/>
          <w:color w:val="auto"/>
          <w:szCs w:val="21"/>
          <w:highlight w:val="none"/>
          <w:u w:val="single"/>
        </w:rPr>
        <w:t>/</w:t>
      </w:r>
      <w:r>
        <w:rPr>
          <w:rFonts w:ascii="宋体" w:hAnsi="宋体"/>
          <w:color w:val="auto"/>
          <w:kern w:val="0"/>
          <w:szCs w:val="21"/>
          <w:highlight w:val="none"/>
        </w:rPr>
        <w:t>承担；</w:t>
      </w:r>
    </w:p>
    <w:p>
      <w:pPr>
        <w:spacing w:line="440" w:lineRule="exact"/>
        <w:ind w:firstLine="420" w:firstLineChars="200"/>
        <w:jc w:val="left"/>
        <w:rPr>
          <w:rFonts w:ascii="宋体" w:hAnsi="宋体"/>
          <w:color w:val="auto"/>
          <w:kern w:val="0"/>
          <w:szCs w:val="21"/>
          <w:highlight w:val="none"/>
        </w:rPr>
      </w:pPr>
      <w:r>
        <w:rPr>
          <w:rFonts w:ascii="宋体" w:hAnsi="宋体"/>
          <w:color w:val="auto"/>
          <w:kern w:val="0"/>
          <w:szCs w:val="21"/>
          <w:highlight w:val="none"/>
        </w:rPr>
        <w:t>（2）无负荷联动试车费用由</w:t>
      </w:r>
      <w:r>
        <w:rPr>
          <w:rFonts w:hint="eastAsia" w:ascii="宋体" w:hAnsi="宋体"/>
          <w:color w:val="auto"/>
          <w:szCs w:val="21"/>
          <w:highlight w:val="none"/>
          <w:u w:val="single"/>
        </w:rPr>
        <w:t>/</w:t>
      </w:r>
      <w:r>
        <w:rPr>
          <w:rFonts w:ascii="宋体" w:hAnsi="宋体"/>
          <w:color w:val="auto"/>
          <w:kern w:val="0"/>
          <w:szCs w:val="21"/>
          <w:highlight w:val="none"/>
        </w:rPr>
        <w:t>承担。</w:t>
      </w:r>
    </w:p>
    <w:p>
      <w:pPr>
        <w:spacing w:line="440" w:lineRule="exact"/>
        <w:ind w:firstLine="420" w:firstLineChars="200"/>
        <w:jc w:val="left"/>
        <w:rPr>
          <w:rFonts w:ascii="宋体" w:hAnsi="宋体"/>
          <w:color w:val="auto"/>
          <w:kern w:val="0"/>
          <w:szCs w:val="21"/>
          <w:highlight w:val="none"/>
        </w:rPr>
      </w:pPr>
      <w:r>
        <w:rPr>
          <w:rFonts w:ascii="宋体" w:hAnsi="宋体"/>
          <w:color w:val="auto"/>
          <w:kern w:val="0"/>
          <w:szCs w:val="21"/>
          <w:highlight w:val="none"/>
        </w:rPr>
        <w:t>13.3.3 投料试车</w:t>
      </w:r>
    </w:p>
    <w:p>
      <w:pPr>
        <w:spacing w:line="440" w:lineRule="exact"/>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关于投料试车相关事项的约定：</w:t>
      </w:r>
      <w:r>
        <w:rPr>
          <w:rFonts w:hint="eastAsia" w:ascii="宋体" w:hAnsi="宋体"/>
          <w:color w:val="auto"/>
          <w:szCs w:val="21"/>
          <w:highlight w:val="none"/>
          <w:u w:val="single"/>
        </w:rPr>
        <w:t xml:space="preserve">          /             </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13.6 竣工退场</w:t>
      </w:r>
    </w:p>
    <w:p>
      <w:pPr>
        <w:spacing w:line="440" w:lineRule="exact"/>
        <w:ind w:firstLine="420" w:firstLineChars="200"/>
        <w:jc w:val="left"/>
        <w:rPr>
          <w:rFonts w:ascii="宋体" w:hAnsi="宋体"/>
          <w:color w:val="auto"/>
          <w:kern w:val="0"/>
          <w:szCs w:val="21"/>
          <w:highlight w:val="none"/>
        </w:rPr>
      </w:pPr>
      <w:r>
        <w:rPr>
          <w:rFonts w:ascii="宋体" w:hAnsi="宋体"/>
          <w:color w:val="auto"/>
          <w:szCs w:val="21"/>
          <w:highlight w:val="none"/>
        </w:rPr>
        <w:t>13.6</w:t>
      </w:r>
      <w:r>
        <w:rPr>
          <w:rFonts w:ascii="宋体" w:hAnsi="宋体"/>
          <w:color w:val="auto"/>
          <w:kern w:val="0"/>
          <w:szCs w:val="21"/>
          <w:highlight w:val="none"/>
        </w:rPr>
        <w:t>.1 竣工退场</w:t>
      </w:r>
    </w:p>
    <w:p>
      <w:pPr>
        <w:spacing w:line="440" w:lineRule="exact"/>
        <w:ind w:firstLine="460"/>
        <w:rPr>
          <w:rFonts w:ascii="宋体" w:hAnsi="宋体"/>
          <w:color w:val="auto"/>
          <w:szCs w:val="21"/>
          <w:highlight w:val="none"/>
          <w:u w:val="single"/>
        </w:rPr>
      </w:pPr>
      <w:r>
        <w:rPr>
          <w:rFonts w:hint="eastAsia" w:ascii="宋体" w:hAnsi="宋体"/>
          <w:color w:val="auto"/>
          <w:kern w:val="0"/>
          <w:szCs w:val="21"/>
          <w:highlight w:val="none"/>
        </w:rPr>
        <w:t>承包人</w:t>
      </w:r>
      <w:r>
        <w:rPr>
          <w:rFonts w:ascii="宋体" w:hAnsi="宋体"/>
          <w:color w:val="auto"/>
          <w:kern w:val="0"/>
          <w:szCs w:val="21"/>
          <w:highlight w:val="none"/>
        </w:rPr>
        <w:t>完成竣工退场的期限：</w:t>
      </w:r>
      <w:r>
        <w:rPr>
          <w:rFonts w:hint="eastAsia" w:ascii="宋体" w:hAnsi="宋体"/>
          <w:color w:val="auto"/>
          <w:szCs w:val="21"/>
          <w:highlight w:val="none"/>
          <w:u w:val="single"/>
        </w:rPr>
        <w:t>承包人须在工程竣工验收后</w:t>
      </w:r>
      <w:r>
        <w:rPr>
          <w:rFonts w:ascii="宋体" w:hAnsi="宋体"/>
          <w:color w:val="auto"/>
          <w:szCs w:val="21"/>
          <w:highlight w:val="none"/>
          <w:u w:val="single"/>
        </w:rPr>
        <w:t>7</w:t>
      </w:r>
      <w:r>
        <w:rPr>
          <w:rFonts w:hint="eastAsia" w:ascii="宋体" w:hAnsi="宋体"/>
          <w:color w:val="auto"/>
          <w:szCs w:val="21"/>
          <w:highlight w:val="none"/>
          <w:u w:val="single"/>
        </w:rPr>
        <w:t>天内拆除现场所有临时设施。包括所有的建筑垃圾及剩余材料全部清运出现场的费用。清理标准应得到发包人认可，否则，如发生相关费用则由发包人按实际发生费用的2倍及以上在工程结算价款中扣除。环卫等部门预收保证金由承包人负责清退。</w:t>
      </w:r>
    </w:p>
    <w:p>
      <w:pPr>
        <w:spacing w:line="440" w:lineRule="exact"/>
        <w:ind w:firstLine="460"/>
        <w:rPr>
          <w:rFonts w:ascii="宋体" w:hAnsi="宋体"/>
          <w:color w:val="auto"/>
          <w:kern w:val="0"/>
          <w:szCs w:val="21"/>
          <w:highlight w:val="none"/>
        </w:rPr>
      </w:pPr>
      <w:r>
        <w:rPr>
          <w:rFonts w:hint="eastAsia" w:ascii="宋体" w:hAnsi="宋体"/>
          <w:color w:val="auto"/>
          <w:szCs w:val="21"/>
          <w:highlight w:val="none"/>
          <w:u w:val="single"/>
        </w:rPr>
        <w:t>竣工日期以验收合格当日的竣工验收报告日期为准，工程竣工验收后（发包人批准的除外），承包人的管理、施工人员，材料、设备必须在十天内全部退出现场；建筑、生活垃圾应随时清理出现场，确保场地清洁。人员全部撤离现场后仍然有配合监理和审计工作的义务，并能及时处理现场事务。</w:t>
      </w:r>
    </w:p>
    <w:p>
      <w:pPr>
        <w:pStyle w:val="6"/>
        <w:spacing w:before="120" w:after="120" w:line="440" w:lineRule="exact"/>
        <w:rPr>
          <w:rFonts w:ascii="宋体" w:hAnsi="宋体"/>
          <w:b w:val="0"/>
          <w:color w:val="auto"/>
          <w:szCs w:val="21"/>
          <w:highlight w:val="none"/>
        </w:rPr>
      </w:pPr>
      <w:bookmarkStart w:id="524" w:name="_Toc351203646"/>
      <w:r>
        <w:rPr>
          <w:rFonts w:ascii="宋体" w:hAnsi="宋体"/>
          <w:b w:val="0"/>
          <w:color w:val="auto"/>
          <w:szCs w:val="21"/>
          <w:highlight w:val="none"/>
        </w:rPr>
        <w:t>14. 竣工结算</w:t>
      </w:r>
      <w:bookmarkEnd w:id="524"/>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14.1 竣工</w:t>
      </w:r>
      <w:r>
        <w:rPr>
          <w:rFonts w:hint="eastAsia" w:ascii="宋体" w:hAnsi="宋体"/>
          <w:color w:val="auto"/>
          <w:szCs w:val="21"/>
          <w:highlight w:val="none"/>
        </w:rPr>
        <w:t>结算</w:t>
      </w:r>
      <w:r>
        <w:rPr>
          <w:rFonts w:ascii="宋体" w:hAnsi="宋体"/>
          <w:color w:val="auto"/>
          <w:szCs w:val="21"/>
          <w:highlight w:val="none"/>
        </w:rPr>
        <w:t>申请</w:t>
      </w:r>
    </w:p>
    <w:p>
      <w:pPr>
        <w:autoSpaceDE w:val="0"/>
        <w:autoSpaceDN w:val="0"/>
        <w:adjustRightInd w:val="0"/>
        <w:spacing w:line="440" w:lineRule="exact"/>
        <w:ind w:firstLine="480"/>
        <w:rPr>
          <w:rFonts w:ascii="宋体" w:hAnsi="宋体"/>
          <w:color w:val="auto"/>
          <w:szCs w:val="21"/>
          <w:highlight w:val="none"/>
          <w:u w:val="single"/>
        </w:rPr>
      </w:pPr>
      <w:r>
        <w:rPr>
          <w:rFonts w:hint="eastAsia" w:ascii="宋体" w:hAnsi="宋体"/>
          <w:color w:val="auto"/>
          <w:szCs w:val="21"/>
          <w:highlight w:val="none"/>
          <w:u w:val="single"/>
        </w:rPr>
        <w:t>承包人在工程竣工验收时应提供经监理工程师审查通过的完整的竣工图和其他竣工资料，承包人提供的所有资料必须及时且满足档案存档和工程备案要求。工程竣工验收合格后，承包人应向发包人递交完整的符合审计要求的结算资料，若承包人原因不能提交结算资料的，发包人有权拒绝或延期审计并拒付工程款，由此带来的一切后果由承包人承担。</w:t>
      </w:r>
      <w:r>
        <w:rPr>
          <w:rFonts w:ascii="宋体" w:hAnsi="宋体"/>
          <w:color w:val="auto"/>
          <w:szCs w:val="21"/>
          <w:highlight w:val="none"/>
          <w:u w:val="single"/>
        </w:rPr>
        <w:t>A</w:t>
      </w:r>
      <w:r>
        <w:rPr>
          <w:rFonts w:hint="eastAsia" w:ascii="宋体" w:hAnsi="宋体"/>
          <w:color w:val="auto"/>
          <w:szCs w:val="21"/>
          <w:highlight w:val="none"/>
          <w:u w:val="single"/>
        </w:rPr>
        <w:t>施工中没有设计变更，施工后由承包人在本项目的施工图纸上加盖竣工图章，提交发包人；</w:t>
      </w:r>
      <w:r>
        <w:rPr>
          <w:rFonts w:ascii="宋体" w:hAnsi="宋体"/>
          <w:color w:val="auto"/>
          <w:szCs w:val="21"/>
          <w:highlight w:val="none"/>
          <w:u w:val="single"/>
        </w:rPr>
        <w:t>B</w:t>
      </w:r>
      <w:r>
        <w:rPr>
          <w:rFonts w:hint="eastAsia" w:ascii="宋体" w:hAnsi="宋体"/>
          <w:color w:val="auto"/>
          <w:szCs w:val="21"/>
          <w:highlight w:val="none"/>
          <w:u w:val="single"/>
        </w:rPr>
        <w:t>施工中对原设计中变更较多，原施工图难于作为竣工图，应由承包人组织重新绘制竣工图，并承担相应费用。并经发包人确认后由发包人在崇川审计局设立的“政府投资建设项目协审中介机构资源库”中委托产生第三方审计机构审计。工程竣工验收合格后</w:t>
      </w:r>
      <w:r>
        <w:rPr>
          <w:rFonts w:ascii="宋体" w:hAnsi="宋体"/>
          <w:color w:val="auto"/>
          <w:szCs w:val="21"/>
          <w:highlight w:val="none"/>
          <w:u w:val="single"/>
        </w:rPr>
        <w:t>28</w:t>
      </w:r>
      <w:r>
        <w:rPr>
          <w:rFonts w:hint="eastAsia" w:ascii="宋体" w:hAnsi="宋体"/>
          <w:color w:val="auto"/>
          <w:szCs w:val="21"/>
          <w:highlight w:val="none"/>
          <w:u w:val="single"/>
        </w:rPr>
        <w:t>天内，承包人应向发包人递交完整的符合审计要求的结算资料，若承包人原因不能提交结算资料的，发包人有权拒绝或延期审计并拒付工程款。</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14.2 竣工结算审核</w:t>
      </w:r>
    </w:p>
    <w:p>
      <w:pPr>
        <w:spacing w:line="440" w:lineRule="exact"/>
        <w:ind w:firstLine="420" w:firstLineChars="200"/>
        <w:jc w:val="left"/>
        <w:rPr>
          <w:rFonts w:ascii="宋体" w:hAnsi="宋体"/>
          <w:color w:val="auto"/>
          <w:szCs w:val="21"/>
          <w:highlight w:val="none"/>
          <w:u w:val="single"/>
        </w:rPr>
      </w:pPr>
      <w:r>
        <w:rPr>
          <w:rFonts w:ascii="宋体" w:hAnsi="宋体"/>
          <w:color w:val="auto"/>
          <w:szCs w:val="21"/>
          <w:highlight w:val="none"/>
        </w:rPr>
        <w:t>发包人</w:t>
      </w:r>
      <w:r>
        <w:rPr>
          <w:rFonts w:hint="eastAsia" w:ascii="宋体" w:hAnsi="宋体"/>
          <w:color w:val="auto"/>
          <w:szCs w:val="21"/>
          <w:highlight w:val="none"/>
        </w:rPr>
        <w:t>审批</w:t>
      </w:r>
      <w:r>
        <w:rPr>
          <w:rFonts w:ascii="宋体" w:hAnsi="宋体"/>
          <w:color w:val="auto"/>
          <w:szCs w:val="21"/>
          <w:highlight w:val="none"/>
        </w:rPr>
        <w:t>竣工付款申请单的期限：</w:t>
      </w:r>
      <w:r>
        <w:rPr>
          <w:rFonts w:hint="eastAsia" w:ascii="宋体" w:hAnsi="宋体"/>
          <w:b/>
          <w:color w:val="auto"/>
          <w:szCs w:val="21"/>
          <w:highlight w:val="none"/>
          <w:u w:val="single"/>
        </w:rPr>
        <w:t>/</w:t>
      </w:r>
      <w:r>
        <w:rPr>
          <w:rFonts w:hint="eastAsia" w:ascii="宋体" w:hAnsi="宋体"/>
          <w:color w:val="auto"/>
          <w:szCs w:val="21"/>
          <w:highlight w:val="none"/>
          <w:u w:val="singl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发包人完成竣工付款的期限：</w:t>
      </w:r>
      <w:r>
        <w:rPr>
          <w:rFonts w:hint="eastAsia" w:ascii="宋体" w:hAnsi="宋体"/>
          <w:b/>
          <w:color w:val="auto"/>
          <w:szCs w:val="21"/>
          <w:highlight w:val="none"/>
          <w:u w:val="single"/>
        </w:rPr>
        <w:t>/</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关于竣工付款证书异议部分复核的方式和程序：</w:t>
      </w:r>
      <w:r>
        <w:rPr>
          <w:rFonts w:hint="eastAsia" w:ascii="宋体" w:hAnsi="宋体"/>
          <w:b/>
          <w:color w:val="auto"/>
          <w:szCs w:val="21"/>
          <w:highlight w:val="none"/>
          <w:u w:val="single"/>
        </w:rPr>
        <w:t>由双方协商</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14.4 最终结清</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14.4.1 最终结清申请单</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承包人</w:t>
      </w:r>
      <w:r>
        <w:rPr>
          <w:rFonts w:ascii="宋体" w:hAnsi="宋体"/>
          <w:color w:val="auto"/>
          <w:szCs w:val="21"/>
          <w:highlight w:val="none"/>
        </w:rPr>
        <w:t>提交最终结清申请单的份数：</w:t>
      </w:r>
      <w:r>
        <w:rPr>
          <w:rFonts w:hint="eastAsia" w:ascii="宋体" w:hAnsi="宋体"/>
          <w:b/>
          <w:color w:val="auto"/>
          <w:szCs w:val="21"/>
          <w:highlight w:val="none"/>
          <w:u w:val="single"/>
        </w:rPr>
        <w:t>按发包人最终要求</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承包人</w:t>
      </w:r>
      <w:r>
        <w:rPr>
          <w:rFonts w:ascii="宋体" w:hAnsi="宋体"/>
          <w:color w:val="auto"/>
          <w:szCs w:val="21"/>
          <w:highlight w:val="none"/>
        </w:rPr>
        <w:t>提交最终结算申请单的期限：</w:t>
      </w:r>
      <w:r>
        <w:rPr>
          <w:rFonts w:hint="eastAsia" w:ascii="宋体" w:hAnsi="宋体"/>
          <w:b/>
          <w:color w:val="auto"/>
          <w:szCs w:val="21"/>
          <w:highlight w:val="none"/>
          <w:u w:val="single"/>
        </w:rPr>
        <w:t>按通用条款</w:t>
      </w:r>
      <w:r>
        <w:rPr>
          <w:rFonts w:ascii="宋体" w:hAnsi="宋体"/>
          <w:color w:val="auto"/>
          <w:szCs w:val="21"/>
          <w:highlight w:val="none"/>
        </w:rPr>
        <w:t xml:space="preserve">。 </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14.4.2 最终结清证书和支付</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（1）发包人完成最终结清申请单的</w:t>
      </w:r>
      <w:r>
        <w:rPr>
          <w:rFonts w:hint="eastAsia" w:ascii="宋体" w:hAnsi="宋体"/>
          <w:color w:val="auto"/>
          <w:szCs w:val="21"/>
          <w:highlight w:val="none"/>
        </w:rPr>
        <w:t>审批</w:t>
      </w:r>
      <w:r>
        <w:rPr>
          <w:rFonts w:ascii="宋体" w:hAnsi="宋体"/>
          <w:color w:val="auto"/>
          <w:szCs w:val="21"/>
          <w:highlight w:val="none"/>
        </w:rPr>
        <w:t>并颁发最终结清证书的期限：</w:t>
      </w:r>
      <w:r>
        <w:rPr>
          <w:rFonts w:hint="eastAsia" w:ascii="宋体" w:hAnsi="宋体"/>
          <w:b/>
          <w:color w:val="auto"/>
          <w:szCs w:val="21"/>
          <w:highlight w:val="none"/>
          <w:u w:val="single"/>
        </w:rPr>
        <w:t>/</w:t>
      </w:r>
      <w:r>
        <w:rPr>
          <w:rFonts w:ascii="宋体" w:hAnsi="宋体"/>
          <w:color w:val="auto"/>
          <w:szCs w:val="21"/>
          <w:highlight w:val="none"/>
        </w:rPr>
        <w:t>。</w:t>
      </w:r>
    </w:p>
    <w:p>
      <w:pPr>
        <w:spacing w:after="120" w:line="440" w:lineRule="exact"/>
        <w:ind w:firstLine="420" w:firstLineChars="200"/>
        <w:rPr>
          <w:rFonts w:ascii="宋体" w:hAnsi="宋体"/>
          <w:color w:val="auto"/>
          <w:szCs w:val="21"/>
          <w:highlight w:val="none"/>
        </w:rPr>
      </w:pPr>
      <w:r>
        <w:rPr>
          <w:rFonts w:ascii="宋体" w:hAnsi="宋体"/>
          <w:color w:val="auto"/>
          <w:szCs w:val="21"/>
          <w:highlight w:val="none"/>
        </w:rPr>
        <w:t xml:space="preserve">（2）发包人完成支付的期限： </w:t>
      </w:r>
      <w:r>
        <w:rPr>
          <w:rFonts w:hint="eastAsia" w:ascii="宋体" w:hAnsi="宋体"/>
          <w:b/>
          <w:color w:val="auto"/>
          <w:szCs w:val="21"/>
          <w:highlight w:val="none"/>
          <w:u w:val="single"/>
        </w:rPr>
        <w:t>/</w:t>
      </w:r>
      <w:r>
        <w:rPr>
          <w:rFonts w:ascii="宋体" w:hAnsi="宋体"/>
          <w:color w:val="auto"/>
          <w:szCs w:val="21"/>
          <w:highlight w:val="none"/>
        </w:rPr>
        <w:t xml:space="preserve"> 。</w:t>
      </w:r>
    </w:p>
    <w:bookmarkEnd w:id="511"/>
    <w:bookmarkEnd w:id="512"/>
    <w:bookmarkEnd w:id="513"/>
    <w:bookmarkEnd w:id="514"/>
    <w:bookmarkEnd w:id="515"/>
    <w:bookmarkEnd w:id="516"/>
    <w:bookmarkEnd w:id="517"/>
    <w:bookmarkEnd w:id="523"/>
    <w:p>
      <w:pPr>
        <w:pStyle w:val="6"/>
        <w:spacing w:before="120" w:after="120" w:line="440" w:lineRule="exact"/>
        <w:rPr>
          <w:rFonts w:ascii="宋体" w:hAnsi="宋体"/>
          <w:b w:val="0"/>
          <w:color w:val="auto"/>
          <w:szCs w:val="21"/>
          <w:highlight w:val="none"/>
        </w:rPr>
      </w:pPr>
      <w:bookmarkStart w:id="525" w:name="_Toc351203647"/>
      <w:bookmarkStart w:id="526" w:name="_Toc267251483"/>
      <w:bookmarkStart w:id="527" w:name="_Toc267251484"/>
      <w:bookmarkStart w:id="528" w:name="_Toc267251482"/>
      <w:bookmarkStart w:id="529" w:name="_Toc267251485"/>
      <w:bookmarkStart w:id="530" w:name="_Toc267251490"/>
      <w:bookmarkStart w:id="531" w:name="_Toc267251488"/>
      <w:bookmarkStart w:id="532" w:name="_Toc267251489"/>
      <w:bookmarkStart w:id="533" w:name="_Toc267251486"/>
      <w:bookmarkStart w:id="534" w:name="_Toc267251492"/>
      <w:bookmarkStart w:id="535" w:name="_Toc267251502"/>
      <w:bookmarkStart w:id="536" w:name="_Toc267251496"/>
      <w:bookmarkStart w:id="537" w:name="_Toc267251501"/>
      <w:bookmarkStart w:id="538" w:name="_Toc267251498"/>
      <w:bookmarkStart w:id="539" w:name="_Toc267251503"/>
      <w:bookmarkStart w:id="540" w:name="_Toc267251497"/>
      <w:bookmarkStart w:id="541" w:name="_Toc267251493"/>
      <w:bookmarkStart w:id="542" w:name="_Toc267251494"/>
      <w:bookmarkStart w:id="543" w:name="_Toc267251499"/>
      <w:bookmarkStart w:id="544" w:name="_Toc267251495"/>
      <w:bookmarkStart w:id="545" w:name="_Toc267251491"/>
      <w:bookmarkStart w:id="546" w:name="_Toc267251506"/>
      <w:bookmarkStart w:id="547" w:name="_Toc267251504"/>
      <w:bookmarkStart w:id="548" w:name="_Toc267251507"/>
      <w:bookmarkStart w:id="549" w:name="_Toc267251508"/>
      <w:bookmarkStart w:id="550" w:name="_Toc267251511"/>
      <w:bookmarkStart w:id="551" w:name="_Toc267251515"/>
      <w:bookmarkStart w:id="552" w:name="_Toc267251510"/>
      <w:bookmarkStart w:id="553" w:name="_Toc267251514"/>
      <w:bookmarkStart w:id="554" w:name="_Toc267251509"/>
      <w:bookmarkStart w:id="555" w:name="_Toc267251513"/>
      <w:r>
        <w:rPr>
          <w:rFonts w:ascii="宋体" w:hAnsi="宋体"/>
          <w:b w:val="0"/>
          <w:color w:val="auto"/>
          <w:szCs w:val="21"/>
          <w:highlight w:val="none"/>
        </w:rPr>
        <w:t>15. 缺陷责任期与保修</w:t>
      </w:r>
      <w:bookmarkEnd w:id="525"/>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15.2缺陷责任期</w:t>
      </w:r>
      <w:bookmarkEnd w:id="526"/>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缺陷责任期的具体期限：</w:t>
      </w:r>
      <w:r>
        <w:rPr>
          <w:rFonts w:hint="eastAsia" w:ascii="宋体" w:hAnsi="宋体"/>
          <w:color w:val="auto"/>
          <w:szCs w:val="21"/>
          <w:highlight w:val="none"/>
          <w:u w:val="single"/>
        </w:rPr>
        <w:t xml:space="preserve">  详见质量保修书  </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15.3 质量保</w:t>
      </w:r>
      <w:r>
        <w:rPr>
          <w:rFonts w:hint="eastAsia" w:ascii="宋体" w:hAnsi="宋体"/>
          <w:color w:val="auto"/>
          <w:szCs w:val="21"/>
          <w:highlight w:val="none"/>
        </w:rPr>
        <w:t>修</w:t>
      </w:r>
      <w:r>
        <w:rPr>
          <w:rFonts w:ascii="宋体" w:hAnsi="宋体"/>
          <w:color w:val="auto"/>
          <w:szCs w:val="21"/>
          <w:highlight w:val="none"/>
        </w:rPr>
        <w:t>金</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关于是否扣留质量保修金的约定：</w:t>
      </w:r>
      <w:r>
        <w:rPr>
          <w:rFonts w:hint="eastAsia" w:ascii="宋体" w:hAnsi="宋体"/>
          <w:color w:val="auto"/>
          <w:szCs w:val="21"/>
          <w:highlight w:val="none"/>
          <w:u w:val="single"/>
        </w:rPr>
        <w:t xml:space="preserve">  是      </w:t>
      </w:r>
      <w:r>
        <w:rPr>
          <w:rFonts w:hint="eastAsia"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15.3.1 承包人提供质量保证金的方式</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质量保修金采用以下第</w:t>
      </w:r>
      <w:r>
        <w:rPr>
          <w:rFonts w:hint="eastAsia" w:ascii="宋体" w:hAnsi="宋体"/>
          <w:color w:val="auto"/>
          <w:szCs w:val="21"/>
          <w:highlight w:val="none"/>
          <w:u w:val="single"/>
        </w:rPr>
        <w:t xml:space="preserve">  （2）   </w:t>
      </w:r>
      <w:r>
        <w:rPr>
          <w:rFonts w:hint="eastAsia" w:ascii="宋体" w:hAnsi="宋体"/>
          <w:color w:val="auto"/>
          <w:szCs w:val="21"/>
          <w:highlight w:val="none"/>
        </w:rPr>
        <w:t>种方式：</w:t>
      </w:r>
    </w:p>
    <w:p>
      <w:pPr>
        <w:autoSpaceDE w:val="0"/>
        <w:autoSpaceDN w:val="0"/>
        <w:adjustRightInd w:val="0"/>
        <w:spacing w:line="440" w:lineRule="exact"/>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（1）质量保证金保函，保证金额为：</w:t>
      </w:r>
      <w:r>
        <w:rPr>
          <w:rFonts w:hint="eastAsia" w:ascii="宋体" w:hAnsi="宋体"/>
          <w:color w:val="auto"/>
          <w:kern w:val="0"/>
          <w:szCs w:val="21"/>
          <w:highlight w:val="none"/>
          <w:u w:val="single"/>
        </w:rPr>
        <w:t xml:space="preserve">       /         </w:t>
      </w:r>
      <w:r>
        <w:rPr>
          <w:rFonts w:hint="eastAsia" w:ascii="宋体" w:hAnsi="宋体"/>
          <w:color w:val="auto"/>
          <w:kern w:val="0"/>
          <w:szCs w:val="21"/>
          <w:highlight w:val="none"/>
        </w:rPr>
        <w:t xml:space="preserve">； </w:t>
      </w:r>
    </w:p>
    <w:p>
      <w:pPr>
        <w:autoSpaceDE w:val="0"/>
        <w:autoSpaceDN w:val="0"/>
        <w:adjustRightInd w:val="0"/>
        <w:spacing w:line="440" w:lineRule="exact"/>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w:t>
      </w:r>
      <w:r>
        <w:rPr>
          <w:rFonts w:ascii="宋体" w:hAnsi="宋体"/>
          <w:color w:val="auto"/>
          <w:kern w:val="0"/>
          <w:szCs w:val="21"/>
          <w:highlight w:val="none"/>
        </w:rPr>
        <w:t>2</w:t>
      </w:r>
      <w:r>
        <w:rPr>
          <w:rFonts w:hint="eastAsia" w:ascii="宋体" w:hAnsi="宋体"/>
          <w:color w:val="auto"/>
          <w:kern w:val="0"/>
          <w:szCs w:val="21"/>
          <w:highlight w:val="none"/>
        </w:rPr>
        <w:t>）</w:t>
      </w:r>
      <w:r>
        <w:rPr>
          <w:rFonts w:hint="eastAsia" w:ascii="宋体" w:hAnsi="宋体"/>
          <w:b/>
          <w:color w:val="auto"/>
          <w:szCs w:val="21"/>
          <w:highlight w:val="none"/>
          <w:u w:val="single"/>
        </w:rPr>
        <w:t>3%的工程总价（审计后）</w:t>
      </w:r>
      <w:r>
        <w:rPr>
          <w:rFonts w:hint="eastAsia" w:ascii="宋体" w:hAnsi="宋体"/>
          <w:color w:val="auto"/>
          <w:kern w:val="0"/>
          <w:szCs w:val="21"/>
          <w:highlight w:val="none"/>
        </w:rPr>
        <w:t>的工程款；</w:t>
      </w:r>
    </w:p>
    <w:p>
      <w:pPr>
        <w:autoSpaceDE w:val="0"/>
        <w:autoSpaceDN w:val="0"/>
        <w:adjustRightInd w:val="0"/>
        <w:spacing w:line="440" w:lineRule="exact"/>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（3）其他方式:。</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 xml:space="preserve">15.3.2 质量保证金的扣留 </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质量保证金的扣留采取以下第</w:t>
      </w:r>
      <w:r>
        <w:rPr>
          <w:rFonts w:hint="eastAsia" w:ascii="宋体" w:hAnsi="宋体"/>
          <w:color w:val="auto"/>
          <w:szCs w:val="21"/>
          <w:highlight w:val="none"/>
          <w:u w:val="single"/>
        </w:rPr>
        <w:t xml:space="preserve">  2   </w:t>
      </w:r>
      <w:r>
        <w:rPr>
          <w:rFonts w:hint="eastAsia" w:ascii="宋体" w:hAnsi="宋体"/>
          <w:color w:val="auto"/>
          <w:szCs w:val="21"/>
          <w:highlight w:val="none"/>
        </w:rPr>
        <w:t>种方式：</w:t>
      </w:r>
    </w:p>
    <w:p>
      <w:pPr>
        <w:autoSpaceDE w:val="0"/>
        <w:autoSpaceDN w:val="0"/>
        <w:adjustRightInd w:val="0"/>
        <w:spacing w:line="440" w:lineRule="exact"/>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（1）在支付工程进度款时逐次扣留，在此情形下，质量保证金的计算基数不包括预付款的支付、扣回以及价格调整的金额；</w:t>
      </w:r>
    </w:p>
    <w:p>
      <w:pPr>
        <w:autoSpaceDE w:val="0"/>
        <w:autoSpaceDN w:val="0"/>
        <w:adjustRightInd w:val="0"/>
        <w:spacing w:line="440" w:lineRule="exact"/>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（2）工程竣工结算时一次性扣留质量保证金；</w:t>
      </w:r>
    </w:p>
    <w:p>
      <w:pPr>
        <w:autoSpaceDE w:val="0"/>
        <w:autoSpaceDN w:val="0"/>
        <w:adjustRightInd w:val="0"/>
        <w:spacing w:line="440" w:lineRule="exact"/>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（3）其他扣留方式:</w:t>
      </w:r>
      <w:r>
        <w:rPr>
          <w:rFonts w:hint="eastAsia" w:ascii="宋体" w:hAnsi="宋体"/>
          <w:color w:val="auto"/>
          <w:kern w:val="0"/>
          <w:szCs w:val="21"/>
          <w:highlight w:val="none"/>
          <w:u w:val="single"/>
        </w:rPr>
        <w:t xml:space="preserve">       /        </w:t>
      </w:r>
      <w:r>
        <w:rPr>
          <w:rFonts w:hint="eastAsia" w:ascii="宋体" w:hAnsi="宋体"/>
          <w:color w:val="auto"/>
          <w:kern w:val="0"/>
          <w:szCs w:val="21"/>
          <w:highlight w:val="none"/>
        </w:rPr>
        <w:t>。</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rPr>
        <w:t>关于质量保修金的补充约定：</w:t>
      </w:r>
      <w:r>
        <w:rPr>
          <w:rFonts w:ascii="宋体" w:hAnsi="宋体"/>
          <w:b/>
          <w:bCs/>
          <w:color w:val="auto"/>
          <w:szCs w:val="21"/>
          <w:highlight w:val="none"/>
          <w:u w:val="single"/>
        </w:rPr>
        <w:t>待保修期满无质量问题后无息返还</w:t>
      </w:r>
      <w:r>
        <w:rPr>
          <w:rFonts w:ascii="宋体" w:hAnsi="宋体"/>
          <w:color w:val="auto"/>
          <w:szCs w:val="21"/>
          <w:highlight w:val="none"/>
          <w:u w:val="single"/>
        </w:rPr>
        <w:t>。</w:t>
      </w:r>
    </w:p>
    <w:bookmarkEnd w:id="527"/>
    <w:bookmarkEnd w:id="528"/>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15.4保修</w:t>
      </w:r>
    </w:p>
    <w:bookmarkEnd w:id="529"/>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15.4.1 保修责任</w:t>
      </w:r>
    </w:p>
    <w:p>
      <w:pPr>
        <w:spacing w:line="440" w:lineRule="exact"/>
        <w:ind w:firstLine="420" w:firstLineChars="200"/>
        <w:jc w:val="left"/>
        <w:rPr>
          <w:rFonts w:ascii="宋体" w:hAnsi="宋体"/>
          <w:color w:val="auto"/>
          <w:kern w:val="0"/>
          <w:szCs w:val="21"/>
          <w:highlight w:val="none"/>
        </w:rPr>
      </w:pPr>
      <w:r>
        <w:rPr>
          <w:rFonts w:hint="eastAsia" w:ascii="宋体" w:hAnsi="宋体"/>
          <w:color w:val="auto"/>
          <w:szCs w:val="21"/>
          <w:highlight w:val="none"/>
        </w:rPr>
        <w:t>工程保</w:t>
      </w:r>
      <w:r>
        <w:rPr>
          <w:rFonts w:hint="eastAsia" w:ascii="宋体" w:hAnsi="宋体"/>
          <w:color w:val="auto"/>
          <w:kern w:val="0"/>
          <w:szCs w:val="21"/>
          <w:highlight w:val="none"/>
        </w:rPr>
        <w:t>修期为：</w:t>
      </w:r>
      <w:r>
        <w:rPr>
          <w:rFonts w:hint="eastAsia" w:ascii="宋体" w:hAnsi="宋体"/>
          <w:b/>
          <w:bCs/>
          <w:color w:val="auto"/>
          <w:kern w:val="0"/>
          <w:szCs w:val="21"/>
          <w:highlight w:val="none"/>
          <w:u w:val="single"/>
        </w:rPr>
        <w:t xml:space="preserve">   见工程质量保修书   </w:t>
      </w:r>
      <w:r>
        <w:rPr>
          <w:rFonts w:hint="eastAsia" w:ascii="宋体" w:hAnsi="宋体"/>
          <w:color w:val="auto"/>
          <w:kern w:val="0"/>
          <w:szCs w:val="21"/>
          <w:highlight w:val="none"/>
        </w:rPr>
        <w:t>。</w:t>
      </w:r>
    </w:p>
    <w:p>
      <w:pPr>
        <w:autoSpaceDE w:val="0"/>
        <w:autoSpaceDN w:val="0"/>
        <w:adjustRightInd w:val="0"/>
        <w:spacing w:line="440" w:lineRule="exact"/>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15.4.3 修复通知</w:t>
      </w:r>
    </w:p>
    <w:p>
      <w:pPr>
        <w:autoSpaceDE w:val="0"/>
        <w:autoSpaceDN w:val="0"/>
        <w:adjustRightInd w:val="0"/>
        <w:spacing w:line="440" w:lineRule="exact"/>
        <w:ind w:firstLine="420" w:firstLineChars="200"/>
        <w:jc w:val="left"/>
        <w:rPr>
          <w:rFonts w:ascii="宋体" w:hAnsi="宋体"/>
          <w:color w:val="auto"/>
          <w:szCs w:val="21"/>
          <w:highlight w:val="none"/>
        </w:rPr>
      </w:pPr>
      <w:r>
        <w:rPr>
          <w:rFonts w:hint="eastAsia" w:ascii="宋体" w:hAnsi="宋体"/>
          <w:color w:val="auto"/>
          <w:kern w:val="0"/>
          <w:szCs w:val="21"/>
          <w:highlight w:val="none"/>
        </w:rPr>
        <w:t>承</w:t>
      </w:r>
      <w:r>
        <w:rPr>
          <w:rFonts w:hint="eastAsia" w:ascii="宋体" w:hAnsi="宋体"/>
          <w:color w:val="auto"/>
          <w:szCs w:val="21"/>
          <w:highlight w:val="none"/>
        </w:rPr>
        <w:t>包人收到保修通知并到达工程现场的合理时间：</w:t>
      </w:r>
      <w:r>
        <w:rPr>
          <w:rFonts w:hint="eastAsia" w:ascii="宋体" w:hAnsi="宋体"/>
          <w:b/>
          <w:bCs/>
          <w:color w:val="auto"/>
          <w:kern w:val="0"/>
          <w:szCs w:val="21"/>
          <w:highlight w:val="none"/>
          <w:u w:val="single"/>
        </w:rPr>
        <w:t>收到通知后24小时内</w:t>
      </w:r>
      <w:r>
        <w:rPr>
          <w:rFonts w:hint="eastAsia" w:ascii="宋体" w:hAnsi="宋体"/>
          <w:color w:val="auto"/>
          <w:szCs w:val="21"/>
          <w:highlight w:val="none"/>
        </w:rPr>
        <w:t>。</w:t>
      </w:r>
    </w:p>
    <w:bookmarkEnd w:id="530"/>
    <w:bookmarkEnd w:id="531"/>
    <w:bookmarkEnd w:id="532"/>
    <w:bookmarkEnd w:id="533"/>
    <w:p>
      <w:pPr>
        <w:pStyle w:val="6"/>
        <w:spacing w:before="120" w:after="120" w:line="440" w:lineRule="exact"/>
        <w:rPr>
          <w:rFonts w:ascii="宋体" w:hAnsi="宋体"/>
          <w:b w:val="0"/>
          <w:color w:val="auto"/>
          <w:szCs w:val="21"/>
          <w:highlight w:val="none"/>
        </w:rPr>
      </w:pPr>
      <w:bookmarkStart w:id="556" w:name="_Toc351203648"/>
      <w:bookmarkStart w:id="557" w:name="_Toc280868717"/>
      <w:bookmarkStart w:id="558" w:name="_Toc280868718"/>
      <w:r>
        <w:rPr>
          <w:rFonts w:ascii="宋体" w:hAnsi="宋体"/>
          <w:b w:val="0"/>
          <w:color w:val="auto"/>
          <w:szCs w:val="21"/>
          <w:highlight w:val="none"/>
        </w:rPr>
        <w:t>16. 违约</w:t>
      </w:r>
      <w:bookmarkEnd w:id="556"/>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16.1 发包人违约</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16.1.1发包人违约的情形</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发包</w:t>
      </w:r>
      <w:r>
        <w:rPr>
          <w:rFonts w:hint="eastAsia" w:ascii="宋体" w:hAnsi="宋体"/>
          <w:color w:val="auto"/>
          <w:kern w:val="0"/>
          <w:szCs w:val="21"/>
          <w:highlight w:val="none"/>
        </w:rPr>
        <w:t>人</w:t>
      </w:r>
      <w:r>
        <w:rPr>
          <w:rFonts w:hint="eastAsia" w:ascii="宋体" w:hAnsi="宋体"/>
          <w:color w:val="auto"/>
          <w:szCs w:val="21"/>
          <w:highlight w:val="none"/>
        </w:rPr>
        <w:t>违约的其他情形：</w:t>
      </w:r>
      <w:r>
        <w:rPr>
          <w:rFonts w:hint="eastAsia" w:ascii="宋体" w:hAnsi="宋体"/>
          <w:b/>
          <w:bCs/>
          <w:color w:val="auto"/>
          <w:szCs w:val="21"/>
          <w:highlight w:val="none"/>
          <w:u w:val="single"/>
        </w:rPr>
        <w:t xml:space="preserve">      /          </w:t>
      </w:r>
      <w:r>
        <w:rPr>
          <w:rFonts w:hint="eastAsia"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16.1.2 发包人违约的责任</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发包人违约责任的承担方式和计算方法：</w:t>
      </w:r>
    </w:p>
    <w:p>
      <w:pPr>
        <w:spacing w:line="440" w:lineRule="exact"/>
        <w:ind w:firstLine="420" w:firstLineChars="200"/>
        <w:jc w:val="left"/>
        <w:rPr>
          <w:rFonts w:ascii="宋体" w:hAnsi="宋体"/>
          <w:color w:val="auto"/>
          <w:kern w:val="0"/>
          <w:szCs w:val="21"/>
          <w:highlight w:val="none"/>
          <w:u w:val="single"/>
        </w:rPr>
      </w:pPr>
      <w:r>
        <w:rPr>
          <w:rFonts w:hint="eastAsia" w:ascii="宋体" w:hAnsi="宋体"/>
          <w:color w:val="auto"/>
          <w:szCs w:val="21"/>
          <w:highlight w:val="none"/>
        </w:rPr>
        <w:t>（1）因发</w:t>
      </w:r>
      <w:r>
        <w:rPr>
          <w:rFonts w:hint="eastAsia" w:ascii="宋体" w:hAnsi="宋体"/>
          <w:color w:val="auto"/>
          <w:kern w:val="0"/>
          <w:szCs w:val="21"/>
          <w:highlight w:val="none"/>
        </w:rPr>
        <w:t>包人原因未能在计划开工日期前</w:t>
      </w:r>
      <w:r>
        <w:rPr>
          <w:rFonts w:ascii="宋体" w:hAnsi="宋体"/>
          <w:color w:val="auto"/>
          <w:kern w:val="0"/>
          <w:szCs w:val="21"/>
          <w:highlight w:val="none"/>
        </w:rPr>
        <w:t>7</w:t>
      </w:r>
      <w:r>
        <w:rPr>
          <w:rFonts w:hint="eastAsia" w:ascii="宋体" w:hAnsi="宋体"/>
          <w:color w:val="auto"/>
          <w:kern w:val="0"/>
          <w:szCs w:val="21"/>
          <w:highlight w:val="none"/>
        </w:rPr>
        <w:t>天内下达开工通知的违约责任：</w:t>
      </w:r>
      <w:r>
        <w:rPr>
          <w:rFonts w:hint="eastAsia" w:ascii="宋体" w:hAnsi="宋体"/>
          <w:b/>
          <w:bCs/>
          <w:color w:val="auto"/>
          <w:kern w:val="0"/>
          <w:szCs w:val="21"/>
          <w:highlight w:val="none"/>
          <w:u w:val="single"/>
        </w:rPr>
        <w:t>双方另行协商</w:t>
      </w:r>
      <w:r>
        <w:rPr>
          <w:rFonts w:hint="eastAsia" w:ascii="宋体" w:hAnsi="宋体"/>
          <w:color w:val="auto"/>
          <w:kern w:val="0"/>
          <w:szCs w:val="21"/>
          <w:highlight w:val="none"/>
        </w:rPr>
        <w:t>。</w:t>
      </w:r>
    </w:p>
    <w:p>
      <w:pPr>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w:t>
      </w:r>
      <w:r>
        <w:rPr>
          <w:rFonts w:ascii="宋体" w:hAnsi="宋体"/>
          <w:color w:val="auto"/>
          <w:kern w:val="0"/>
          <w:szCs w:val="21"/>
          <w:highlight w:val="none"/>
        </w:rPr>
        <w:t>2</w:t>
      </w:r>
      <w:r>
        <w:rPr>
          <w:rFonts w:hint="eastAsia" w:ascii="宋体" w:hAnsi="宋体"/>
          <w:color w:val="auto"/>
          <w:kern w:val="0"/>
          <w:szCs w:val="21"/>
          <w:highlight w:val="none"/>
        </w:rPr>
        <w:t>）因发包人原因未能按合同约定支付合同价款的违约责任：双方另行协商。</w:t>
      </w:r>
    </w:p>
    <w:p>
      <w:pPr>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w:t>
      </w:r>
      <w:r>
        <w:rPr>
          <w:rFonts w:ascii="宋体" w:hAnsi="宋体"/>
          <w:color w:val="auto"/>
          <w:kern w:val="0"/>
          <w:szCs w:val="21"/>
          <w:highlight w:val="none"/>
        </w:rPr>
        <w:t>3</w:t>
      </w:r>
      <w:r>
        <w:rPr>
          <w:rFonts w:hint="eastAsia" w:ascii="宋体" w:hAnsi="宋体"/>
          <w:color w:val="auto"/>
          <w:kern w:val="0"/>
          <w:szCs w:val="21"/>
          <w:highlight w:val="none"/>
        </w:rPr>
        <w:t>）发包人违反第</w:t>
      </w:r>
      <w:r>
        <w:rPr>
          <w:rFonts w:ascii="宋体" w:hAnsi="宋体"/>
          <w:color w:val="auto"/>
          <w:kern w:val="0"/>
          <w:szCs w:val="21"/>
          <w:highlight w:val="none"/>
        </w:rPr>
        <w:t>10.1</w:t>
      </w:r>
      <w:r>
        <w:rPr>
          <w:rFonts w:hint="eastAsia" w:ascii="宋体" w:hAnsi="宋体"/>
          <w:color w:val="auto"/>
          <w:kern w:val="0"/>
          <w:szCs w:val="21"/>
          <w:highlight w:val="none"/>
        </w:rPr>
        <w:t>款〔变更的范围〕第（</w:t>
      </w:r>
      <w:r>
        <w:rPr>
          <w:rFonts w:ascii="宋体" w:hAnsi="宋体"/>
          <w:color w:val="auto"/>
          <w:kern w:val="0"/>
          <w:szCs w:val="21"/>
          <w:highlight w:val="none"/>
        </w:rPr>
        <w:t>2</w:t>
      </w:r>
      <w:r>
        <w:rPr>
          <w:rFonts w:hint="eastAsia" w:ascii="宋体" w:hAnsi="宋体"/>
          <w:color w:val="auto"/>
          <w:kern w:val="0"/>
          <w:szCs w:val="21"/>
          <w:highlight w:val="none"/>
        </w:rPr>
        <w:t>）项约定，自行实施被取消的工作或转由他人实施的违约责任：</w:t>
      </w:r>
      <w:r>
        <w:rPr>
          <w:rFonts w:hint="eastAsia" w:ascii="宋体" w:hAnsi="宋体"/>
          <w:b/>
          <w:bCs/>
          <w:color w:val="auto"/>
          <w:kern w:val="0"/>
          <w:szCs w:val="21"/>
          <w:highlight w:val="none"/>
          <w:u w:val="single"/>
        </w:rPr>
        <w:t>双方另行协商</w:t>
      </w:r>
      <w:r>
        <w:rPr>
          <w:rFonts w:hint="eastAsia" w:ascii="宋体" w:hAnsi="宋体"/>
          <w:color w:val="auto"/>
          <w:kern w:val="0"/>
          <w:szCs w:val="21"/>
          <w:highlight w:val="none"/>
        </w:rPr>
        <w:t>。</w:t>
      </w:r>
    </w:p>
    <w:p>
      <w:pPr>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w:t>
      </w:r>
      <w:r>
        <w:rPr>
          <w:rFonts w:ascii="宋体" w:hAnsi="宋体"/>
          <w:color w:val="auto"/>
          <w:kern w:val="0"/>
          <w:szCs w:val="21"/>
          <w:highlight w:val="none"/>
        </w:rPr>
        <w:t>4</w:t>
      </w:r>
      <w:r>
        <w:rPr>
          <w:rFonts w:hint="eastAsia" w:ascii="宋体" w:hAnsi="宋体"/>
          <w:color w:val="auto"/>
          <w:kern w:val="0"/>
          <w:szCs w:val="21"/>
          <w:highlight w:val="none"/>
        </w:rPr>
        <w:t>）发包人提供的材料、工程设备的规格、数量或质量不符合合同约定，或因发包人原因导致交货日期延误或交货地点变更等情况的违约责任：</w:t>
      </w:r>
      <w:r>
        <w:rPr>
          <w:rFonts w:hint="eastAsia" w:ascii="宋体" w:hAnsi="宋体"/>
          <w:b/>
          <w:bCs/>
          <w:color w:val="auto"/>
          <w:kern w:val="0"/>
          <w:szCs w:val="21"/>
          <w:highlight w:val="none"/>
          <w:u w:val="single"/>
        </w:rPr>
        <w:t>双方另行协商</w:t>
      </w:r>
      <w:r>
        <w:rPr>
          <w:rFonts w:hint="eastAsia" w:ascii="宋体" w:hAnsi="宋体"/>
          <w:color w:val="auto"/>
          <w:kern w:val="0"/>
          <w:szCs w:val="21"/>
          <w:highlight w:val="none"/>
        </w:rPr>
        <w:t>。</w:t>
      </w:r>
    </w:p>
    <w:p>
      <w:pPr>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w:t>
      </w:r>
      <w:r>
        <w:rPr>
          <w:rFonts w:ascii="宋体" w:hAnsi="宋体"/>
          <w:color w:val="auto"/>
          <w:kern w:val="0"/>
          <w:szCs w:val="21"/>
          <w:highlight w:val="none"/>
        </w:rPr>
        <w:t>5</w:t>
      </w:r>
      <w:r>
        <w:rPr>
          <w:rFonts w:hint="eastAsia" w:ascii="宋体" w:hAnsi="宋体"/>
          <w:color w:val="auto"/>
          <w:kern w:val="0"/>
          <w:szCs w:val="21"/>
          <w:highlight w:val="none"/>
        </w:rPr>
        <w:t>）因发包人违反合同约定造成暂停施工的违约责任：</w:t>
      </w:r>
      <w:r>
        <w:rPr>
          <w:rFonts w:hint="eastAsia" w:ascii="宋体" w:hAnsi="宋体"/>
          <w:b/>
          <w:bCs/>
          <w:color w:val="auto"/>
          <w:kern w:val="0"/>
          <w:szCs w:val="21"/>
          <w:highlight w:val="none"/>
          <w:u w:val="single"/>
        </w:rPr>
        <w:t>双方另行协商</w:t>
      </w:r>
      <w:r>
        <w:rPr>
          <w:rFonts w:hint="eastAsia" w:ascii="宋体" w:hAnsi="宋体"/>
          <w:color w:val="auto"/>
          <w:kern w:val="0"/>
          <w:szCs w:val="21"/>
          <w:highlight w:val="none"/>
        </w:rPr>
        <w:t>。</w:t>
      </w:r>
    </w:p>
    <w:p>
      <w:pPr>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w:t>
      </w:r>
      <w:r>
        <w:rPr>
          <w:rFonts w:ascii="宋体" w:hAnsi="宋体"/>
          <w:color w:val="auto"/>
          <w:kern w:val="0"/>
          <w:szCs w:val="21"/>
          <w:highlight w:val="none"/>
        </w:rPr>
        <w:t>6</w:t>
      </w:r>
      <w:r>
        <w:rPr>
          <w:rFonts w:hint="eastAsia" w:ascii="宋体" w:hAnsi="宋体"/>
          <w:color w:val="auto"/>
          <w:kern w:val="0"/>
          <w:szCs w:val="21"/>
          <w:highlight w:val="none"/>
        </w:rPr>
        <w:t>）发包人无正当理由没有在约定期限内发出复工指示，导致承包人无法复工的违约责任：</w:t>
      </w:r>
      <w:r>
        <w:rPr>
          <w:rFonts w:hint="eastAsia" w:ascii="宋体" w:hAnsi="宋体"/>
          <w:b/>
          <w:bCs/>
          <w:color w:val="auto"/>
          <w:kern w:val="0"/>
          <w:szCs w:val="21"/>
          <w:highlight w:val="none"/>
          <w:u w:val="single"/>
        </w:rPr>
        <w:t>双方另行协商</w:t>
      </w:r>
      <w:r>
        <w:rPr>
          <w:rFonts w:hint="eastAsia" w:ascii="宋体" w:hAnsi="宋体"/>
          <w:color w:val="auto"/>
          <w:kern w:val="0"/>
          <w:szCs w:val="21"/>
          <w:highlight w:val="none"/>
        </w:rPr>
        <w:t>。</w:t>
      </w:r>
    </w:p>
    <w:p>
      <w:pPr>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w:t>
      </w:r>
      <w:r>
        <w:rPr>
          <w:rFonts w:ascii="宋体" w:hAnsi="宋体"/>
          <w:color w:val="auto"/>
          <w:kern w:val="0"/>
          <w:szCs w:val="21"/>
          <w:highlight w:val="none"/>
        </w:rPr>
        <w:t>7</w:t>
      </w:r>
      <w:r>
        <w:rPr>
          <w:rFonts w:hint="eastAsia" w:ascii="宋体" w:hAnsi="宋体"/>
          <w:color w:val="auto"/>
          <w:kern w:val="0"/>
          <w:szCs w:val="21"/>
          <w:highlight w:val="none"/>
        </w:rPr>
        <w:t>）其他：</w:t>
      </w:r>
      <w:r>
        <w:rPr>
          <w:rFonts w:hint="eastAsia" w:ascii="宋体" w:hAnsi="宋体"/>
          <w:b/>
          <w:bCs/>
          <w:color w:val="auto"/>
          <w:kern w:val="0"/>
          <w:szCs w:val="21"/>
          <w:highlight w:val="none"/>
          <w:u w:val="single"/>
        </w:rPr>
        <w:t>双方另行协商</w:t>
      </w:r>
      <w:r>
        <w:rPr>
          <w:rFonts w:hint="eastAsia" w:ascii="宋体" w:hAnsi="宋体"/>
          <w:color w:val="auto"/>
          <w:kern w:val="0"/>
          <w:szCs w:val="21"/>
          <w:highlight w:val="none"/>
        </w:rPr>
        <w:t>。</w:t>
      </w:r>
    </w:p>
    <w:p>
      <w:pPr>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16.1.3 因发包人违约解除合同</w:t>
      </w:r>
    </w:p>
    <w:p>
      <w:pPr>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承</w:t>
      </w:r>
      <w:r>
        <w:rPr>
          <w:rFonts w:hint="eastAsia" w:ascii="宋体" w:hAnsi="宋体"/>
          <w:color w:val="auto"/>
          <w:szCs w:val="21"/>
          <w:highlight w:val="none"/>
        </w:rPr>
        <w:t>包人</w:t>
      </w:r>
      <w:r>
        <w:rPr>
          <w:rFonts w:hint="eastAsia" w:ascii="宋体" w:hAnsi="宋体"/>
          <w:color w:val="auto"/>
          <w:kern w:val="0"/>
          <w:szCs w:val="21"/>
          <w:highlight w:val="none"/>
        </w:rPr>
        <w:t>按</w:t>
      </w:r>
      <w:r>
        <w:rPr>
          <w:rFonts w:ascii="宋体" w:hAnsi="宋体"/>
          <w:color w:val="auto"/>
          <w:kern w:val="0"/>
          <w:szCs w:val="21"/>
          <w:highlight w:val="none"/>
        </w:rPr>
        <w:t>16.1.1</w:t>
      </w:r>
      <w:r>
        <w:rPr>
          <w:rFonts w:hint="eastAsia" w:ascii="宋体" w:hAnsi="宋体"/>
          <w:color w:val="auto"/>
          <w:kern w:val="0"/>
          <w:szCs w:val="21"/>
          <w:highlight w:val="none"/>
        </w:rPr>
        <w:t>项〔发包人违约的情形〕约定暂停施工满</w:t>
      </w:r>
      <w:r>
        <w:rPr>
          <w:rFonts w:hint="eastAsia" w:ascii="宋体" w:hAnsi="宋体"/>
          <w:b/>
          <w:bCs/>
          <w:color w:val="auto"/>
          <w:kern w:val="0"/>
          <w:szCs w:val="21"/>
          <w:highlight w:val="none"/>
          <w:u w:val="single"/>
        </w:rPr>
        <w:t xml:space="preserve">60 </w:t>
      </w:r>
      <w:r>
        <w:rPr>
          <w:rFonts w:hint="eastAsia" w:ascii="宋体" w:hAnsi="宋体"/>
          <w:color w:val="auto"/>
          <w:kern w:val="0"/>
          <w:szCs w:val="21"/>
          <w:highlight w:val="none"/>
        </w:rPr>
        <w:t>天后发包人仍不纠正其违约行为并致使合同目的不能实现的，承包人有权解除合同。</w:t>
      </w:r>
    </w:p>
    <w:p>
      <w:pPr>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16.2 承包人违约</w:t>
      </w:r>
    </w:p>
    <w:p>
      <w:pPr>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16.2.1 承包人违约的情形</w:t>
      </w:r>
    </w:p>
    <w:p>
      <w:pPr>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承包人违约的其他情形：承包人违约的其他情形：</w:t>
      </w:r>
      <w:r>
        <w:rPr>
          <w:rFonts w:hint="eastAsia" w:ascii="宋体" w:hAnsi="宋体"/>
          <w:color w:val="auto"/>
          <w:kern w:val="0"/>
          <w:szCs w:val="21"/>
          <w:highlight w:val="none"/>
          <w:u w:val="single"/>
        </w:rPr>
        <w:t>1、施工单位出现严重安全、质量事故，或在建设单位规定的整改期限内达不到整改要求或明显无法按期完工的，发包人有权要求施工单位退场，并按验收合格工程量的60%款项结算</w:t>
      </w:r>
      <w:r>
        <w:rPr>
          <w:rFonts w:hint="eastAsia" w:ascii="宋体" w:hAnsi="宋体"/>
          <w:color w:val="auto"/>
          <w:kern w:val="0"/>
          <w:szCs w:val="21"/>
          <w:highlight w:val="none"/>
        </w:rPr>
        <w:t xml:space="preserve">。 </w:t>
      </w:r>
    </w:p>
    <w:p>
      <w:pPr>
        <w:spacing w:line="360" w:lineRule="auto"/>
        <w:ind w:firstLine="420" w:firstLineChars="200"/>
        <w:jc w:val="left"/>
        <w:rPr>
          <w:rFonts w:ascii="宋体" w:hAnsi="宋体"/>
          <w:color w:val="auto"/>
          <w:kern w:val="0"/>
          <w:szCs w:val="21"/>
          <w:highlight w:val="none"/>
          <w:u w:val="single"/>
        </w:rPr>
      </w:pPr>
      <w:r>
        <w:rPr>
          <w:rFonts w:hint="eastAsia" w:ascii="宋体" w:hAnsi="宋体"/>
          <w:color w:val="auto"/>
          <w:kern w:val="0"/>
          <w:szCs w:val="21"/>
          <w:highlight w:val="none"/>
          <w:u w:val="single"/>
        </w:rPr>
        <w:t>2、本工程不得转包和违法分包，否则一经发现发包人有权终止合同，已完工程量不予结算。</w:t>
      </w:r>
    </w:p>
    <w:p>
      <w:pPr>
        <w:spacing w:line="360" w:lineRule="auto"/>
        <w:ind w:firstLine="420" w:firstLineChars="200"/>
        <w:jc w:val="left"/>
        <w:rPr>
          <w:rFonts w:ascii="宋体" w:hAnsi="宋体"/>
          <w:color w:val="auto"/>
          <w:kern w:val="0"/>
          <w:szCs w:val="21"/>
          <w:highlight w:val="none"/>
          <w:u w:val="single"/>
        </w:rPr>
      </w:pPr>
      <w:r>
        <w:rPr>
          <w:rFonts w:hint="eastAsia" w:ascii="宋体" w:hAnsi="宋体"/>
          <w:color w:val="auto"/>
          <w:kern w:val="0"/>
          <w:szCs w:val="21"/>
          <w:highlight w:val="none"/>
          <w:u w:val="single"/>
        </w:rPr>
        <w:t>3、</w:t>
      </w:r>
      <w:r>
        <w:rPr>
          <w:rFonts w:ascii="宋体" w:hAnsi="宋体"/>
          <w:color w:val="auto"/>
          <w:kern w:val="0"/>
          <w:szCs w:val="21"/>
          <w:highlight w:val="none"/>
          <w:u w:val="single"/>
        </w:rPr>
        <w:t>现场安全文明施工费需在工程施工过程中经监理单位、建设单位、造价管理处等单位现场共同考评，否则在结算时在其总价中扣除</w:t>
      </w:r>
      <w:r>
        <w:rPr>
          <w:rFonts w:hint="eastAsia" w:ascii="宋体" w:hAnsi="宋体"/>
          <w:color w:val="auto"/>
          <w:kern w:val="0"/>
          <w:szCs w:val="21"/>
          <w:highlight w:val="none"/>
          <w:u w:val="single"/>
        </w:rPr>
        <w:t>。</w:t>
      </w:r>
    </w:p>
    <w:p>
      <w:pPr>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u w:val="single"/>
        </w:rPr>
        <w:t>4、</w:t>
      </w:r>
      <w:r>
        <w:rPr>
          <w:rFonts w:ascii="宋体" w:hAnsi="宋体"/>
          <w:color w:val="auto"/>
          <w:kern w:val="0"/>
          <w:szCs w:val="21"/>
          <w:highlight w:val="none"/>
          <w:u w:val="single"/>
        </w:rPr>
        <w:t>监理、承包人对所有进场材料的质量共同把关，承包人必须根据有关规定要求由具备相应专业资质的试验单位对材料、设备进行必要的试验、检验，如发现质量问题时，应及时退货。如承包人不按规定送检或明知有问题而不予处理，继续施工，由此引起返工而造成的材料、人工、机械、工期损失等一切费用全部由承包人承担。监理根据需要可在事前、事中、事后进行抽检，不论在哪个阶段查出问题，所造成的损失均由承包人负责</w:t>
      </w:r>
      <w:r>
        <w:rPr>
          <w:rFonts w:hint="eastAsia" w:ascii="宋体" w:hAnsi="宋体"/>
          <w:color w:val="auto"/>
          <w:kern w:val="0"/>
          <w:szCs w:val="21"/>
          <w:highlight w:val="none"/>
        </w:rPr>
        <w:t>。</w:t>
      </w:r>
    </w:p>
    <w:p>
      <w:pPr>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16.2.2承包人违约的责任</w:t>
      </w:r>
    </w:p>
    <w:p>
      <w:pPr>
        <w:spacing w:line="360" w:lineRule="auto"/>
        <w:ind w:firstLine="420" w:firstLineChars="200"/>
        <w:jc w:val="left"/>
        <w:rPr>
          <w:rFonts w:ascii="宋体" w:hAnsi="宋体"/>
          <w:color w:val="auto"/>
          <w:kern w:val="0"/>
          <w:szCs w:val="21"/>
          <w:highlight w:val="none"/>
          <w:u w:val="single"/>
        </w:rPr>
      </w:pPr>
      <w:r>
        <w:rPr>
          <w:rFonts w:hint="eastAsia" w:ascii="宋体" w:hAnsi="宋体"/>
          <w:color w:val="auto"/>
          <w:kern w:val="0"/>
          <w:szCs w:val="21"/>
          <w:highlight w:val="none"/>
        </w:rPr>
        <w:t>承包人违约责任的承担方式和计算方法：</w:t>
      </w:r>
      <w:r>
        <w:rPr>
          <w:rFonts w:hint="eastAsia" w:ascii="宋体" w:hAnsi="宋体"/>
          <w:color w:val="auto"/>
          <w:kern w:val="0"/>
          <w:szCs w:val="21"/>
          <w:highlight w:val="none"/>
          <w:u w:val="single"/>
        </w:rPr>
        <w:t>（1）详见7.5.2条款；（2）详见3.7条款。</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16.2.3 因承包人违约解除合同</w:t>
      </w:r>
    </w:p>
    <w:p>
      <w:pPr>
        <w:spacing w:line="440" w:lineRule="exact"/>
        <w:ind w:firstLine="420" w:firstLineChars="200"/>
        <w:jc w:val="left"/>
        <w:rPr>
          <w:rFonts w:ascii="宋体" w:hAnsi="宋体"/>
          <w:color w:val="auto"/>
          <w:kern w:val="0"/>
          <w:szCs w:val="21"/>
          <w:highlight w:val="none"/>
          <w:u w:val="single"/>
        </w:rPr>
      </w:pPr>
      <w:r>
        <w:rPr>
          <w:rFonts w:hint="eastAsia" w:ascii="宋体" w:hAnsi="宋体"/>
          <w:color w:val="auto"/>
          <w:szCs w:val="21"/>
          <w:highlight w:val="none"/>
        </w:rPr>
        <w:t>关于承包人违约解除合同的特别约定：</w:t>
      </w:r>
      <w:r>
        <w:rPr>
          <w:rFonts w:hint="eastAsia" w:ascii="宋体" w:hAnsi="宋体"/>
          <w:b/>
          <w:color w:val="auto"/>
          <w:szCs w:val="21"/>
          <w:highlight w:val="none"/>
          <w:u w:val="single"/>
        </w:rPr>
        <w:t>由承包人承担全部费用并承担相关法律责任</w:t>
      </w:r>
      <w:r>
        <w:rPr>
          <w:rFonts w:hint="eastAsia" w:ascii="宋体" w:hAnsi="宋体"/>
          <w:color w:val="auto"/>
          <w:kern w:val="0"/>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 xml:space="preserve">16.2.3 </w:t>
      </w:r>
      <w:r>
        <w:rPr>
          <w:rFonts w:hint="eastAsia" w:ascii="宋体" w:hAnsi="宋体"/>
          <w:color w:val="auto"/>
          <w:szCs w:val="21"/>
          <w:highlight w:val="none"/>
        </w:rPr>
        <w:t>因承包人违约解除合同</w:t>
      </w:r>
    </w:p>
    <w:p>
      <w:pPr>
        <w:spacing w:line="440" w:lineRule="exact"/>
        <w:ind w:firstLine="420" w:firstLineChars="200"/>
        <w:rPr>
          <w:rFonts w:ascii="宋体" w:hAnsi="宋体"/>
          <w:color w:val="auto"/>
          <w:kern w:val="0"/>
          <w:szCs w:val="21"/>
          <w:highlight w:val="none"/>
        </w:rPr>
      </w:pPr>
      <w:r>
        <w:rPr>
          <w:rFonts w:hint="eastAsia" w:ascii="宋体" w:hAnsi="宋体"/>
          <w:color w:val="auto"/>
          <w:szCs w:val="21"/>
          <w:highlight w:val="none"/>
        </w:rPr>
        <w:t>关于</w:t>
      </w:r>
      <w:r>
        <w:rPr>
          <w:rFonts w:hint="eastAsia" w:ascii="宋体" w:hAnsi="宋体"/>
          <w:color w:val="auto"/>
          <w:kern w:val="0"/>
          <w:szCs w:val="21"/>
          <w:highlight w:val="none"/>
        </w:rPr>
        <w:t>承包人违约解除合同的特别约定：</w:t>
      </w:r>
      <w:r>
        <w:rPr>
          <w:rFonts w:hint="eastAsia" w:ascii="宋体" w:hAnsi="宋体"/>
          <w:b/>
          <w:color w:val="auto"/>
          <w:szCs w:val="21"/>
          <w:highlight w:val="none"/>
          <w:u w:val="single"/>
        </w:rPr>
        <w:t>按通用条款执行</w:t>
      </w:r>
      <w:r>
        <w:rPr>
          <w:rFonts w:hint="eastAsia" w:ascii="宋体" w:hAnsi="宋体"/>
          <w:color w:val="auto"/>
          <w:kern w:val="0"/>
          <w:szCs w:val="21"/>
          <w:highlight w:val="none"/>
        </w:rPr>
        <w:t>。</w:t>
      </w:r>
    </w:p>
    <w:p>
      <w:pPr>
        <w:spacing w:line="440" w:lineRule="exact"/>
        <w:ind w:firstLine="420" w:firstLineChars="200"/>
        <w:rPr>
          <w:rFonts w:ascii="宋体" w:hAnsi="宋体"/>
          <w:color w:val="auto"/>
          <w:kern w:val="0"/>
          <w:szCs w:val="21"/>
          <w:highlight w:val="none"/>
          <w:u w:val="single"/>
        </w:rPr>
      </w:pPr>
      <w:r>
        <w:rPr>
          <w:rFonts w:hint="eastAsia" w:ascii="宋体" w:hAnsi="宋体"/>
          <w:color w:val="auto"/>
          <w:kern w:val="0"/>
          <w:szCs w:val="21"/>
          <w:highlight w:val="none"/>
        </w:rPr>
        <w:t>发包人继续使用承包人在施工现场的材料、设备、临时工程、承包人文件和由承包人或以其名义编制的其他文件的费用承担方式</w:t>
      </w:r>
      <w:r>
        <w:rPr>
          <w:rFonts w:hint="eastAsia" w:ascii="宋体" w:hAnsi="宋体"/>
          <w:b/>
          <w:bCs/>
          <w:color w:val="auto"/>
          <w:kern w:val="0"/>
          <w:szCs w:val="21"/>
          <w:highlight w:val="none"/>
          <w:u w:val="single"/>
        </w:rPr>
        <w:t>：另行协商</w:t>
      </w:r>
    </w:p>
    <w:p>
      <w:pPr>
        <w:pStyle w:val="6"/>
        <w:spacing w:before="120" w:after="120" w:line="440" w:lineRule="exact"/>
        <w:rPr>
          <w:rFonts w:ascii="宋体" w:hAnsi="宋体"/>
          <w:b w:val="0"/>
          <w:color w:val="auto"/>
          <w:szCs w:val="21"/>
          <w:highlight w:val="none"/>
        </w:rPr>
      </w:pPr>
      <w:bookmarkStart w:id="559" w:name="_Toc351203649"/>
      <w:r>
        <w:rPr>
          <w:rFonts w:ascii="宋体" w:hAnsi="宋体"/>
          <w:b w:val="0"/>
          <w:color w:val="auto"/>
          <w:szCs w:val="21"/>
          <w:highlight w:val="none"/>
        </w:rPr>
        <w:t>17. 不可抗力</w:t>
      </w:r>
      <w:bookmarkEnd w:id="557"/>
      <w:bookmarkEnd w:id="559"/>
    </w:p>
    <w:p>
      <w:pPr>
        <w:spacing w:line="440" w:lineRule="exact"/>
        <w:ind w:firstLine="420" w:firstLineChars="200"/>
        <w:rPr>
          <w:rFonts w:ascii="宋体" w:hAnsi="宋体"/>
          <w:color w:val="auto"/>
          <w:szCs w:val="21"/>
          <w:highlight w:val="none"/>
        </w:rPr>
      </w:pPr>
      <w:r>
        <w:rPr>
          <w:rFonts w:ascii="宋体" w:hAnsi="宋体"/>
          <w:color w:val="auto"/>
          <w:szCs w:val="21"/>
          <w:highlight w:val="none"/>
        </w:rPr>
        <w:t>17.1 不可抗力的确认</w:t>
      </w:r>
    </w:p>
    <w:p>
      <w:pPr>
        <w:spacing w:line="440" w:lineRule="exact"/>
        <w:ind w:firstLine="420" w:firstLineChars="200"/>
        <w:rPr>
          <w:rFonts w:ascii="宋体" w:hAnsi="宋体"/>
          <w:b/>
          <w:bCs/>
          <w:color w:val="auto"/>
          <w:kern w:val="0"/>
          <w:szCs w:val="21"/>
          <w:highlight w:val="none"/>
          <w:u w:val="single"/>
        </w:rPr>
      </w:pPr>
      <w:r>
        <w:rPr>
          <w:rFonts w:ascii="宋体" w:hAnsi="宋体"/>
          <w:color w:val="auto"/>
          <w:szCs w:val="21"/>
          <w:highlight w:val="none"/>
        </w:rPr>
        <w:t>除通用合同条款约定的不可抗力事件之外，视为不可抗力的其他情形：</w:t>
      </w:r>
      <w:r>
        <w:rPr>
          <w:rFonts w:hint="eastAsia" w:ascii="宋体" w:hAnsi="宋体"/>
          <w:b/>
          <w:bCs/>
          <w:color w:val="auto"/>
          <w:kern w:val="0"/>
          <w:szCs w:val="21"/>
          <w:highlight w:val="none"/>
          <w:u w:val="single"/>
        </w:rPr>
        <w:t>由市级以上有关部门正式发布和认定的自然灾害。</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17.4 因不可抗力解除合同</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合同解除后，发包人应在商定或确定发包人应支付款项后</w:t>
      </w:r>
      <w:r>
        <w:rPr>
          <w:rFonts w:hint="eastAsia" w:ascii="宋体" w:hAnsi="宋体"/>
          <w:color w:val="auto"/>
          <w:szCs w:val="21"/>
          <w:highlight w:val="none"/>
          <w:u w:val="single"/>
        </w:rPr>
        <w:t>按通用条款</w:t>
      </w:r>
      <w:r>
        <w:rPr>
          <w:rFonts w:ascii="宋体" w:hAnsi="宋体"/>
          <w:color w:val="auto"/>
          <w:szCs w:val="21"/>
          <w:highlight w:val="none"/>
        </w:rPr>
        <w:t>天内完成款项的支付。</w:t>
      </w:r>
    </w:p>
    <w:p>
      <w:pPr>
        <w:pStyle w:val="6"/>
        <w:spacing w:before="120" w:after="120" w:line="440" w:lineRule="exact"/>
        <w:rPr>
          <w:rFonts w:ascii="宋体" w:hAnsi="宋体"/>
          <w:b w:val="0"/>
          <w:color w:val="auto"/>
          <w:szCs w:val="21"/>
          <w:highlight w:val="none"/>
        </w:rPr>
      </w:pPr>
      <w:bookmarkStart w:id="560" w:name="_Toc351203650"/>
      <w:r>
        <w:rPr>
          <w:rFonts w:ascii="宋体" w:hAnsi="宋体"/>
          <w:b w:val="0"/>
          <w:color w:val="auto"/>
          <w:szCs w:val="21"/>
          <w:highlight w:val="none"/>
        </w:rPr>
        <w:t>18. 保险</w:t>
      </w:r>
      <w:bookmarkEnd w:id="560"/>
    </w:p>
    <w:bookmarkEnd w:id="558"/>
    <w:p>
      <w:pPr>
        <w:spacing w:line="440" w:lineRule="exact"/>
        <w:ind w:firstLine="420" w:firstLineChars="200"/>
        <w:rPr>
          <w:rFonts w:ascii="宋体" w:hAnsi="宋体"/>
          <w:color w:val="auto"/>
          <w:szCs w:val="21"/>
          <w:highlight w:val="none"/>
        </w:rPr>
      </w:pPr>
      <w:r>
        <w:rPr>
          <w:rFonts w:ascii="宋体" w:hAnsi="宋体"/>
          <w:color w:val="auto"/>
          <w:szCs w:val="21"/>
          <w:highlight w:val="none"/>
        </w:rPr>
        <w:t>18.1 工程保险</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关于工程保险的特别约定：</w:t>
      </w:r>
      <w:r>
        <w:rPr>
          <w:rFonts w:hint="eastAsia" w:ascii="宋体" w:hAnsi="宋体"/>
          <w:color w:val="auto"/>
          <w:szCs w:val="21"/>
          <w:highlight w:val="none"/>
          <w:u w:val="single"/>
        </w:rPr>
        <w:t xml:space="preserve">    /   。</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18.3 其他保险</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关于其他保险的约定：</w:t>
      </w:r>
      <w:r>
        <w:rPr>
          <w:rFonts w:hint="eastAsia" w:ascii="宋体" w:hAnsi="宋体"/>
          <w:color w:val="auto"/>
          <w:szCs w:val="21"/>
          <w:highlight w:val="none"/>
          <w:u w:val="single"/>
        </w:rPr>
        <w:t>承包人投保内容须至少包含从事危险作业职工的意外伤害险、施工场地内自有人员的生命财产险、施工机械设备的财产险、第三方人员的生命财产险、运至施工场地内用于工程的材料和待安装设备的财产险。</w:t>
      </w:r>
    </w:p>
    <w:p>
      <w:pPr>
        <w:spacing w:line="440" w:lineRule="exact"/>
        <w:ind w:firstLine="420" w:firstLineChars="200"/>
        <w:jc w:val="left"/>
        <w:rPr>
          <w:rFonts w:ascii="宋体" w:hAnsi="宋体"/>
          <w:color w:val="auto"/>
          <w:kern w:val="0"/>
          <w:szCs w:val="21"/>
          <w:highlight w:val="none"/>
        </w:rPr>
      </w:pPr>
      <w:r>
        <w:rPr>
          <w:rFonts w:hint="eastAsia" w:ascii="宋体" w:hAnsi="宋体"/>
          <w:color w:val="auto"/>
          <w:szCs w:val="21"/>
          <w:highlight w:val="none"/>
        </w:rPr>
        <w:t>承包人</w:t>
      </w:r>
      <w:r>
        <w:rPr>
          <w:rFonts w:ascii="宋体" w:hAnsi="宋体"/>
          <w:color w:val="auto"/>
          <w:szCs w:val="21"/>
          <w:highlight w:val="none"/>
        </w:rPr>
        <w:t>是否应为其施工设备等办理财产保险：</w:t>
      </w:r>
      <w:r>
        <w:rPr>
          <w:rFonts w:hint="eastAsia" w:ascii="宋体" w:hAnsi="宋体"/>
          <w:color w:val="auto"/>
          <w:szCs w:val="21"/>
          <w:highlight w:val="none"/>
          <w:u w:val="single"/>
        </w:rPr>
        <w:t>承包人必须按规定办理由承包人投保的一切保险（包括但不限于工程施工期间的工程一切险、工程第三方责任险、人身意外险等）。如不办理，一切责任由承包人自行负责</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18.7 通知义务</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关于</w:t>
      </w:r>
      <w:r>
        <w:rPr>
          <w:rFonts w:ascii="宋体" w:hAnsi="宋体"/>
          <w:color w:val="auto"/>
          <w:kern w:val="0"/>
          <w:szCs w:val="21"/>
          <w:highlight w:val="none"/>
        </w:rPr>
        <w:t>变更保险合同时的通知义务的约定：</w:t>
      </w:r>
      <w:r>
        <w:rPr>
          <w:rFonts w:hint="eastAsia" w:ascii="宋体" w:hAnsi="宋体"/>
          <w:color w:val="auto"/>
          <w:szCs w:val="21"/>
          <w:highlight w:val="none"/>
          <w:u w:val="single"/>
        </w:rPr>
        <w:t>无</w:t>
      </w:r>
      <w:r>
        <w:rPr>
          <w:rFonts w:ascii="宋体" w:hAnsi="宋体"/>
          <w:color w:val="auto"/>
          <w:szCs w:val="21"/>
          <w:highlight w:val="none"/>
        </w:rPr>
        <w:t>。</w:t>
      </w:r>
    </w:p>
    <w:bookmarkEnd w:id="534"/>
    <w:bookmarkEnd w:id="535"/>
    <w:bookmarkEnd w:id="536"/>
    <w:bookmarkEnd w:id="537"/>
    <w:bookmarkEnd w:id="538"/>
    <w:bookmarkEnd w:id="539"/>
    <w:bookmarkEnd w:id="540"/>
    <w:bookmarkEnd w:id="541"/>
    <w:bookmarkEnd w:id="542"/>
    <w:bookmarkEnd w:id="543"/>
    <w:bookmarkEnd w:id="544"/>
    <w:bookmarkEnd w:id="545"/>
    <w:p>
      <w:pPr>
        <w:pStyle w:val="6"/>
        <w:spacing w:before="120" w:after="120" w:line="440" w:lineRule="exact"/>
        <w:rPr>
          <w:rFonts w:ascii="宋体" w:hAnsi="宋体"/>
          <w:b w:val="0"/>
          <w:color w:val="auto"/>
          <w:szCs w:val="21"/>
          <w:highlight w:val="none"/>
        </w:rPr>
      </w:pPr>
      <w:bookmarkStart w:id="561" w:name="_Toc351203651"/>
      <w:r>
        <w:rPr>
          <w:rFonts w:ascii="宋体" w:hAnsi="宋体"/>
          <w:b w:val="0"/>
          <w:color w:val="auto"/>
          <w:szCs w:val="21"/>
          <w:highlight w:val="none"/>
        </w:rPr>
        <w:t>20. 争议解决</w:t>
      </w:r>
      <w:bookmarkEnd w:id="561"/>
    </w:p>
    <w:bookmarkEnd w:id="546"/>
    <w:bookmarkEnd w:id="547"/>
    <w:p>
      <w:pPr>
        <w:spacing w:line="440" w:lineRule="exact"/>
        <w:ind w:firstLine="420" w:firstLineChars="200"/>
        <w:rPr>
          <w:rFonts w:ascii="宋体" w:hAnsi="宋体"/>
          <w:color w:val="auto"/>
          <w:szCs w:val="21"/>
          <w:highlight w:val="none"/>
        </w:rPr>
      </w:pPr>
      <w:r>
        <w:rPr>
          <w:rFonts w:ascii="宋体" w:hAnsi="宋体"/>
          <w:color w:val="auto"/>
          <w:szCs w:val="21"/>
          <w:highlight w:val="none"/>
        </w:rPr>
        <w:t>20.3 争</w:t>
      </w:r>
      <w:bookmarkEnd w:id="548"/>
      <w:r>
        <w:rPr>
          <w:rFonts w:ascii="宋体" w:hAnsi="宋体"/>
          <w:color w:val="auto"/>
          <w:szCs w:val="21"/>
          <w:highlight w:val="none"/>
        </w:rPr>
        <w:t>议评审</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合同当事人是否同意将工程争议提交争议评审小组决</w:t>
      </w:r>
      <w:r>
        <w:rPr>
          <w:rFonts w:hint="eastAsia" w:ascii="宋体" w:hAnsi="宋体"/>
          <w:color w:val="auto"/>
          <w:szCs w:val="21"/>
          <w:highlight w:val="none"/>
        </w:rPr>
        <w:t>定：</w:t>
      </w:r>
      <w:r>
        <w:rPr>
          <w:rFonts w:hint="eastAsia" w:ascii="宋体" w:hAnsi="宋体"/>
          <w:color w:val="auto"/>
          <w:szCs w:val="21"/>
          <w:highlight w:val="none"/>
          <w:u w:val="single"/>
        </w:rPr>
        <w:t xml:space="preserve">   /   </w:t>
      </w:r>
      <w:r>
        <w:rPr>
          <w:rFonts w:hint="eastAsia" w:ascii="宋体" w:hAnsi="宋体"/>
          <w:color w:val="auto"/>
          <w:szCs w:val="21"/>
          <w:highlight w:val="none"/>
        </w:rPr>
        <w:t xml:space="preserve">。  </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20.3.1 争议评审小组的确定</w:t>
      </w:r>
    </w:p>
    <w:p>
      <w:pPr>
        <w:spacing w:line="440" w:lineRule="exact"/>
        <w:ind w:firstLine="420" w:firstLineChars="200"/>
        <w:jc w:val="left"/>
        <w:rPr>
          <w:rFonts w:ascii="宋体" w:hAnsi="宋体"/>
          <w:color w:val="auto"/>
          <w:szCs w:val="21"/>
          <w:highlight w:val="none"/>
          <w:u w:val="single"/>
        </w:rPr>
      </w:pPr>
      <w:r>
        <w:rPr>
          <w:rFonts w:ascii="宋体" w:hAnsi="宋体"/>
          <w:color w:val="auto"/>
          <w:szCs w:val="21"/>
          <w:highlight w:val="none"/>
        </w:rPr>
        <w:t>争议评审小组成员的确定：</w:t>
      </w:r>
      <w:r>
        <w:rPr>
          <w:rFonts w:hint="eastAsia" w:ascii="宋体" w:hAnsi="宋体"/>
          <w:color w:val="auto"/>
          <w:szCs w:val="21"/>
          <w:highlight w:val="none"/>
          <w:u w:val="single"/>
        </w:rPr>
        <w:t xml:space="preserve">   /   </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选定争议评审员的期限：</w:t>
      </w:r>
      <w:r>
        <w:rPr>
          <w:rFonts w:hint="eastAsia" w:ascii="宋体" w:hAnsi="宋体"/>
          <w:color w:val="auto"/>
          <w:szCs w:val="21"/>
          <w:highlight w:val="none"/>
          <w:u w:val="single"/>
        </w:rPr>
        <w:t xml:space="preserve">   /   </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争议评审小组成员的报酬承担方式：</w:t>
      </w:r>
      <w:r>
        <w:rPr>
          <w:rFonts w:hint="eastAsia" w:ascii="宋体" w:hAnsi="宋体"/>
          <w:color w:val="auto"/>
          <w:szCs w:val="21"/>
          <w:highlight w:val="none"/>
          <w:u w:val="single"/>
        </w:rPr>
        <w:t xml:space="preserve">   /   </w:t>
      </w:r>
      <w:r>
        <w:rPr>
          <w:rFonts w:ascii="宋体" w:hAnsi="宋体"/>
          <w:color w:val="auto"/>
          <w:szCs w:val="21"/>
          <w:highlight w:val="none"/>
        </w:rPr>
        <w:t>。</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其他事项的约定：</w:t>
      </w:r>
      <w:r>
        <w:rPr>
          <w:rFonts w:hint="eastAsia" w:ascii="宋体" w:hAnsi="宋体"/>
          <w:color w:val="auto"/>
          <w:szCs w:val="21"/>
          <w:highlight w:val="none"/>
          <w:u w:val="single"/>
        </w:rPr>
        <w:t xml:space="preserve">   /   </w:t>
      </w:r>
      <w:r>
        <w:rPr>
          <w:rFonts w:ascii="宋体" w:hAnsi="宋体"/>
          <w:color w:val="auto"/>
          <w:szCs w:val="21"/>
          <w:highlight w:val="none"/>
        </w:rPr>
        <w:t>。</w:t>
      </w:r>
    </w:p>
    <w:p>
      <w:pPr>
        <w:autoSpaceDE w:val="0"/>
        <w:autoSpaceDN w:val="0"/>
        <w:adjustRightInd w:val="0"/>
        <w:spacing w:line="420" w:lineRule="exact"/>
        <w:ind w:firstLine="420" w:firstLineChars="200"/>
        <w:jc w:val="left"/>
        <w:rPr>
          <w:rFonts w:ascii="宋体" w:hAnsi="宋体"/>
          <w:color w:val="auto"/>
          <w:kern w:val="0"/>
          <w:szCs w:val="21"/>
          <w:highlight w:val="none"/>
        </w:rPr>
      </w:pPr>
      <w:r>
        <w:rPr>
          <w:rFonts w:ascii="宋体" w:hAnsi="宋体"/>
          <w:color w:val="auto"/>
          <w:kern w:val="0"/>
          <w:szCs w:val="21"/>
          <w:highlight w:val="none"/>
        </w:rPr>
        <w:t>20.3.2 争议评审小组的决定</w:t>
      </w:r>
    </w:p>
    <w:p>
      <w:pPr>
        <w:spacing w:line="420" w:lineRule="exact"/>
        <w:ind w:firstLine="420" w:firstLineChars="200"/>
        <w:jc w:val="left"/>
        <w:rPr>
          <w:rFonts w:ascii="宋体" w:hAnsi="宋体"/>
          <w:color w:val="auto"/>
          <w:szCs w:val="21"/>
          <w:highlight w:val="none"/>
        </w:rPr>
      </w:pPr>
      <w:r>
        <w:rPr>
          <w:rFonts w:ascii="宋体" w:hAnsi="宋体"/>
          <w:color w:val="auto"/>
          <w:szCs w:val="21"/>
          <w:highlight w:val="none"/>
        </w:rPr>
        <w:t>合同当事人关于本项的约定：</w:t>
      </w:r>
      <w:r>
        <w:rPr>
          <w:rFonts w:hint="eastAsia" w:ascii="宋体" w:hAnsi="宋体"/>
          <w:color w:val="auto"/>
          <w:szCs w:val="21"/>
          <w:highlight w:val="none"/>
          <w:u w:val="single"/>
        </w:rPr>
        <w:t xml:space="preserve">/ </w:t>
      </w:r>
      <w:r>
        <w:rPr>
          <w:rFonts w:ascii="宋体" w:hAnsi="宋体"/>
          <w:color w:val="auto"/>
          <w:szCs w:val="21"/>
          <w:highlight w:val="none"/>
        </w:rPr>
        <w:t>。</w:t>
      </w:r>
    </w:p>
    <w:p>
      <w:pPr>
        <w:spacing w:line="440" w:lineRule="exact"/>
        <w:ind w:firstLine="420" w:firstLineChars="200"/>
        <w:rPr>
          <w:rFonts w:ascii="宋体" w:hAnsi="宋体"/>
          <w:color w:val="auto"/>
          <w:szCs w:val="21"/>
          <w:highlight w:val="none"/>
        </w:rPr>
      </w:pPr>
      <w:r>
        <w:rPr>
          <w:rFonts w:ascii="宋体" w:hAnsi="宋体"/>
          <w:color w:val="auto"/>
          <w:szCs w:val="21"/>
          <w:highlight w:val="none"/>
        </w:rPr>
        <w:t>20.4仲裁或诉讼</w:t>
      </w:r>
      <w:bookmarkEnd w:id="549"/>
    </w:p>
    <w:p>
      <w:pPr>
        <w:spacing w:line="440" w:lineRule="exact"/>
        <w:ind w:firstLine="420" w:firstLineChars="200"/>
        <w:rPr>
          <w:rFonts w:ascii="宋体" w:hAnsi="宋体"/>
          <w:color w:val="auto"/>
          <w:szCs w:val="21"/>
          <w:highlight w:val="none"/>
        </w:rPr>
      </w:pPr>
      <w:r>
        <w:rPr>
          <w:rFonts w:ascii="宋体" w:hAnsi="宋体"/>
          <w:color w:val="auto"/>
          <w:szCs w:val="21"/>
          <w:highlight w:val="none"/>
        </w:rPr>
        <w:t>因合同及合同有关事项发生的争议，按下列第</w:t>
      </w:r>
      <w:r>
        <w:rPr>
          <w:rFonts w:hint="eastAsia" w:ascii="宋体" w:hAnsi="宋体"/>
          <w:color w:val="auto"/>
          <w:szCs w:val="21"/>
          <w:highlight w:val="none"/>
          <w:u w:val="single"/>
        </w:rPr>
        <w:t>（2）</w:t>
      </w:r>
      <w:r>
        <w:rPr>
          <w:rFonts w:ascii="宋体" w:hAnsi="宋体"/>
          <w:color w:val="auto"/>
          <w:szCs w:val="21"/>
          <w:highlight w:val="none"/>
        </w:rPr>
        <w:t>种方式</w:t>
      </w:r>
      <w:r>
        <w:rPr>
          <w:rFonts w:hint="eastAsia" w:ascii="宋体" w:hAnsi="宋体"/>
          <w:color w:val="auto"/>
          <w:szCs w:val="21"/>
          <w:highlight w:val="none"/>
        </w:rPr>
        <w:t>解</w:t>
      </w:r>
      <w:r>
        <w:rPr>
          <w:rFonts w:ascii="宋体" w:hAnsi="宋体"/>
          <w:color w:val="auto"/>
          <w:szCs w:val="21"/>
          <w:highlight w:val="none"/>
        </w:rPr>
        <w:t>决：</w:t>
      </w:r>
    </w:p>
    <w:p>
      <w:pPr>
        <w:spacing w:line="420" w:lineRule="exact"/>
        <w:ind w:firstLine="420" w:firstLineChars="200"/>
        <w:jc w:val="left"/>
        <w:rPr>
          <w:rFonts w:ascii="宋体" w:hAnsi="宋体"/>
          <w:color w:val="auto"/>
          <w:szCs w:val="21"/>
          <w:highlight w:val="none"/>
        </w:rPr>
      </w:pPr>
      <w:r>
        <w:rPr>
          <w:rFonts w:ascii="宋体" w:hAnsi="宋体"/>
          <w:color w:val="auto"/>
          <w:szCs w:val="21"/>
          <w:highlight w:val="none"/>
        </w:rPr>
        <w:t>（1）向</w:t>
      </w:r>
      <w:r>
        <w:rPr>
          <w:rFonts w:hint="eastAsia" w:ascii="宋体" w:hAnsi="宋体"/>
          <w:color w:val="auto"/>
          <w:szCs w:val="21"/>
          <w:highlight w:val="none"/>
          <w:u w:val="single"/>
        </w:rPr>
        <w:t>南通市</w:t>
      </w:r>
      <w:r>
        <w:rPr>
          <w:rFonts w:ascii="宋体" w:hAnsi="宋体"/>
          <w:color w:val="auto"/>
          <w:szCs w:val="21"/>
          <w:highlight w:val="none"/>
        </w:rPr>
        <w:t>仲裁委员会申请仲裁；</w:t>
      </w:r>
    </w:p>
    <w:p>
      <w:pPr>
        <w:spacing w:line="420" w:lineRule="exact"/>
        <w:ind w:firstLine="420" w:firstLineChars="200"/>
        <w:jc w:val="left"/>
        <w:rPr>
          <w:rFonts w:ascii="宋体" w:hAnsi="宋体"/>
          <w:color w:val="auto"/>
          <w:szCs w:val="21"/>
          <w:highlight w:val="none"/>
        </w:rPr>
      </w:pPr>
      <w:r>
        <w:rPr>
          <w:rFonts w:ascii="宋体" w:hAnsi="宋体"/>
          <w:color w:val="auto"/>
          <w:szCs w:val="21"/>
          <w:highlight w:val="none"/>
        </w:rPr>
        <w:t>（2）向</w:t>
      </w:r>
      <w:r>
        <w:rPr>
          <w:rFonts w:hint="eastAsia" w:ascii="宋体" w:hAnsi="宋体"/>
          <w:color w:val="auto"/>
          <w:szCs w:val="21"/>
          <w:highlight w:val="none"/>
          <w:u w:val="single"/>
        </w:rPr>
        <w:t>工程所在地</w:t>
      </w:r>
      <w:r>
        <w:rPr>
          <w:rFonts w:ascii="宋体" w:hAnsi="宋体"/>
          <w:color w:val="auto"/>
          <w:szCs w:val="21"/>
          <w:highlight w:val="none"/>
        </w:rPr>
        <w:t>人民法院起诉。</w:t>
      </w:r>
      <w:bookmarkEnd w:id="550"/>
      <w:bookmarkEnd w:id="551"/>
      <w:bookmarkEnd w:id="552"/>
      <w:bookmarkEnd w:id="553"/>
      <w:bookmarkEnd w:id="554"/>
      <w:bookmarkEnd w:id="555"/>
    </w:p>
    <w:p>
      <w:pPr>
        <w:pStyle w:val="6"/>
        <w:spacing w:before="120" w:after="120" w:line="420" w:lineRule="exact"/>
        <w:rPr>
          <w:rFonts w:ascii="宋体" w:hAnsi="宋体"/>
          <w:b w:val="0"/>
          <w:color w:val="auto"/>
          <w:szCs w:val="21"/>
          <w:highlight w:val="none"/>
        </w:rPr>
      </w:pPr>
      <w:r>
        <w:rPr>
          <w:rFonts w:hint="eastAsia" w:ascii="宋体" w:hAnsi="宋体"/>
          <w:b w:val="0"/>
          <w:color w:val="auto"/>
          <w:szCs w:val="21"/>
          <w:highlight w:val="none"/>
        </w:rPr>
        <w:t>21 补充条款</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1.廉政规定：承包人在投标过程和今后的施工过程中必须严格遵守国家廉政纪律，不得向发包人及相关单位的有关人员进行贿赂，一旦发现有违纪行为按20000元/次计违约金。</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2.开工令以甲方及监理签发的开工令为准。</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3.中标后承包人保证不实质或形式转包，否则发包人有权没收部分或全部履约保证金，并有权取消中标资格。</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4.承包人在施工过程中必须文明、</w:t>
      </w:r>
      <w:r>
        <w:rPr>
          <w:rFonts w:ascii="宋体" w:hAnsi="宋体"/>
          <w:color w:val="auto"/>
          <w:szCs w:val="21"/>
          <w:highlight w:val="none"/>
          <w:u w:val="single"/>
        </w:rPr>
        <w:t>安全、</w:t>
      </w:r>
      <w:r>
        <w:rPr>
          <w:rFonts w:hint="eastAsia" w:ascii="宋体" w:hAnsi="宋体"/>
          <w:color w:val="auto"/>
          <w:szCs w:val="21"/>
          <w:highlight w:val="none"/>
          <w:u w:val="single"/>
        </w:rPr>
        <w:t>规范施工，保持环境整洁，减少扰民影响，并就工地围墙、照明、防护、标志、警告信号和门卫等按相关要求做出具体安排，若有违章行为按规定处罚，一切责任自负。</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5.施工过程中涉及排污、环保、市容、城建城管、消防、治安、人口管理、居委会、派出所等相关部门收取的费用及相关手续，对临近居民、行人的影响等，夜间文明施工、保护周边地下管线和架空线的安全的费用等，承包人已在合同价中考虑，由承包人负责协调处理，竣工结算时一律不作调整。</w:t>
      </w:r>
      <w:r>
        <w:rPr>
          <w:rFonts w:ascii="宋体" w:hAnsi="宋体"/>
          <w:color w:val="auto"/>
          <w:szCs w:val="21"/>
          <w:highlight w:val="none"/>
          <w:u w:val="single"/>
        </w:rPr>
        <w:t>需</w:t>
      </w:r>
      <w:r>
        <w:rPr>
          <w:rFonts w:hint="eastAsia" w:ascii="宋体" w:hAnsi="宋体"/>
          <w:color w:val="auto"/>
          <w:szCs w:val="21"/>
          <w:highlight w:val="none"/>
          <w:u w:val="single"/>
        </w:rPr>
        <w:t>发包人</w:t>
      </w:r>
      <w:r>
        <w:rPr>
          <w:rFonts w:ascii="宋体" w:hAnsi="宋体"/>
          <w:color w:val="auto"/>
          <w:szCs w:val="21"/>
          <w:highlight w:val="none"/>
          <w:u w:val="single"/>
        </w:rPr>
        <w:t>配合的，</w:t>
      </w:r>
      <w:r>
        <w:rPr>
          <w:rFonts w:hint="eastAsia" w:ascii="宋体" w:hAnsi="宋体"/>
          <w:color w:val="auto"/>
          <w:szCs w:val="21"/>
          <w:highlight w:val="none"/>
          <w:u w:val="single"/>
        </w:rPr>
        <w:t>发包人</w:t>
      </w:r>
      <w:r>
        <w:rPr>
          <w:rFonts w:ascii="宋体" w:hAnsi="宋体"/>
          <w:color w:val="auto"/>
          <w:szCs w:val="21"/>
          <w:highlight w:val="none"/>
          <w:u w:val="single"/>
        </w:rPr>
        <w:t>提供必要的配合。</w:t>
      </w:r>
      <w:r>
        <w:rPr>
          <w:rFonts w:hint="eastAsia" w:ascii="宋体" w:hAnsi="宋体"/>
          <w:color w:val="auto"/>
          <w:szCs w:val="21"/>
          <w:highlight w:val="none"/>
          <w:u w:val="single"/>
        </w:rPr>
        <w:t>现场生活污水和生活垃圾必须定期清运，场地雨水和施工下水必须排入指定的排水沟或排水井内，并保持道路畅通整洁，费用由承包人承担。如污染城市道路和下水管网，一切责任由承包人负责。</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6.</w:t>
      </w:r>
      <w:r>
        <w:rPr>
          <w:rFonts w:ascii="宋体" w:hAnsi="宋体"/>
          <w:color w:val="auto"/>
          <w:szCs w:val="21"/>
          <w:highlight w:val="none"/>
          <w:u w:val="single"/>
        </w:rPr>
        <w:t>在履行合同过程中应遵守国家或地方的法律、法规、法令，或任何对工程有管辖权的部门的规章，并按要求支付有关费用。</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7.</w:t>
      </w:r>
      <w:r>
        <w:rPr>
          <w:rFonts w:ascii="宋体" w:hAnsi="宋体"/>
          <w:color w:val="auto"/>
          <w:szCs w:val="21"/>
          <w:highlight w:val="none"/>
          <w:u w:val="single"/>
        </w:rPr>
        <w:t>在履行合同过程中应遵守</w:t>
      </w:r>
      <w:r>
        <w:rPr>
          <w:rFonts w:hint="eastAsia" w:ascii="宋体" w:hAnsi="宋体"/>
          <w:color w:val="auto"/>
          <w:szCs w:val="21"/>
          <w:highlight w:val="none"/>
          <w:u w:val="single"/>
        </w:rPr>
        <w:t>发包人的所有规章制度。</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8.</w:t>
      </w:r>
      <w:r>
        <w:rPr>
          <w:rFonts w:ascii="宋体" w:hAnsi="宋体"/>
          <w:color w:val="auto"/>
          <w:szCs w:val="21"/>
          <w:highlight w:val="none"/>
          <w:u w:val="single"/>
        </w:rPr>
        <w:t>无论发包人是否</w:t>
      </w:r>
      <w:r>
        <w:rPr>
          <w:rFonts w:hint="eastAsia" w:ascii="宋体" w:hAnsi="宋体"/>
          <w:color w:val="auto"/>
          <w:szCs w:val="21"/>
          <w:highlight w:val="none"/>
          <w:u w:val="single"/>
        </w:rPr>
        <w:t>给予了</w:t>
      </w:r>
      <w:r>
        <w:rPr>
          <w:rFonts w:ascii="宋体" w:hAnsi="宋体"/>
          <w:color w:val="auto"/>
          <w:szCs w:val="21"/>
          <w:highlight w:val="none"/>
          <w:u w:val="single"/>
        </w:rPr>
        <w:t>批准或同意，</w:t>
      </w:r>
      <w:r>
        <w:rPr>
          <w:rFonts w:hint="eastAsia" w:ascii="宋体" w:hAnsi="宋体"/>
          <w:color w:val="auto"/>
          <w:szCs w:val="21"/>
          <w:highlight w:val="none"/>
          <w:u w:val="single"/>
        </w:rPr>
        <w:t>承包人</w:t>
      </w:r>
      <w:r>
        <w:rPr>
          <w:rFonts w:ascii="宋体" w:hAnsi="宋体"/>
          <w:color w:val="auto"/>
          <w:szCs w:val="21"/>
          <w:highlight w:val="none"/>
          <w:u w:val="single"/>
        </w:rPr>
        <w:t>应对现场作业、施工方法及所施工工程的完备性、稳定性和安全性承担全部责任，负责完成对工程的稳定、完整、安全、可靠及有效运行所必需的全部工作。</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9.</w:t>
      </w:r>
      <w:r>
        <w:rPr>
          <w:rFonts w:ascii="宋体" w:hAnsi="宋体"/>
          <w:color w:val="auto"/>
          <w:szCs w:val="21"/>
          <w:highlight w:val="none"/>
          <w:u w:val="single"/>
        </w:rPr>
        <w:t>本工程实行监理制度。</w:t>
      </w:r>
      <w:r>
        <w:rPr>
          <w:rFonts w:hint="eastAsia" w:ascii="宋体" w:hAnsi="宋体"/>
          <w:color w:val="auto"/>
          <w:szCs w:val="21"/>
          <w:highlight w:val="none"/>
          <w:u w:val="single"/>
        </w:rPr>
        <w:t>承包人</w:t>
      </w:r>
      <w:r>
        <w:rPr>
          <w:rFonts w:ascii="宋体" w:hAnsi="宋体"/>
          <w:color w:val="auto"/>
          <w:szCs w:val="21"/>
          <w:highlight w:val="none"/>
          <w:u w:val="single"/>
        </w:rPr>
        <w:t>必须服从发包人和监理工程师的管理监督，施工中发生的质量问题必须及时整改，因</w:t>
      </w:r>
      <w:r>
        <w:rPr>
          <w:rFonts w:hint="eastAsia" w:ascii="宋体" w:hAnsi="宋体"/>
          <w:color w:val="auto"/>
          <w:szCs w:val="21"/>
          <w:highlight w:val="none"/>
          <w:u w:val="single"/>
        </w:rPr>
        <w:t>承包人</w:t>
      </w:r>
      <w:r>
        <w:rPr>
          <w:rFonts w:ascii="宋体" w:hAnsi="宋体"/>
          <w:color w:val="auto"/>
          <w:szCs w:val="21"/>
          <w:highlight w:val="none"/>
          <w:u w:val="single"/>
        </w:rPr>
        <w:t>原因被责令停工和返工，所造成的一切损失由</w:t>
      </w:r>
      <w:r>
        <w:rPr>
          <w:rFonts w:hint="eastAsia" w:ascii="宋体" w:hAnsi="宋体"/>
          <w:color w:val="auto"/>
          <w:szCs w:val="21"/>
          <w:highlight w:val="none"/>
          <w:u w:val="single"/>
        </w:rPr>
        <w:t>承包人</w:t>
      </w:r>
      <w:r>
        <w:rPr>
          <w:rFonts w:ascii="宋体" w:hAnsi="宋体"/>
          <w:color w:val="auto"/>
          <w:szCs w:val="21"/>
          <w:highlight w:val="none"/>
          <w:u w:val="single"/>
        </w:rPr>
        <w:t>负责。</w:t>
      </w:r>
    </w:p>
    <w:p>
      <w:pPr>
        <w:autoSpaceDE w:val="0"/>
        <w:autoSpaceDN w:val="0"/>
        <w:adjustRightInd w:val="0"/>
        <w:spacing w:line="420" w:lineRule="exact"/>
        <w:ind w:firstLine="210" w:firstLineChars="100"/>
        <w:rPr>
          <w:rFonts w:ascii="宋体" w:hAnsi="宋体"/>
          <w:color w:val="auto"/>
          <w:szCs w:val="21"/>
          <w:highlight w:val="none"/>
          <w:u w:val="single"/>
        </w:rPr>
      </w:pPr>
      <w:r>
        <w:rPr>
          <w:rFonts w:hint="eastAsia" w:ascii="宋体" w:hAnsi="宋体"/>
          <w:color w:val="auto"/>
          <w:szCs w:val="21"/>
          <w:highlight w:val="none"/>
          <w:u w:val="single"/>
        </w:rPr>
        <w:t>10.承包人根据施工现场情况及现行规定，报价时已自行根据可行的施工方案对措施费用进行报价，结算时一律不作调整。</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11.承包人进场后，对施工区域周边地下管线进行仔细勘察，对施工图的各项数据进行复测，并请监理监督见证。如未进行该项工作，导致未实现施工图意图所造成的一切损失由承包人承担。</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12.文明施工措施费，结算时按南通市造价管理处核定为准。</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13.本工程的施工须严格按国家规范要求，承包人必须严格按照发包人要求的日期进场施工。由于承包人原因引起的工程投资增加由承包人负责，由于供货等承包人原因影响工期进度安排的，所产生的一切后果由承包人承担。施工过程中因违反国家有关规定而发生的罚款等费用由责任人承担。</w:t>
      </w:r>
    </w:p>
    <w:p>
      <w:pPr>
        <w:autoSpaceDE w:val="0"/>
        <w:autoSpaceDN w:val="0"/>
        <w:adjustRightInd w:val="0"/>
        <w:spacing w:line="420" w:lineRule="exact"/>
        <w:ind w:firstLine="480"/>
        <w:rPr>
          <w:rFonts w:ascii="宋体" w:hAnsi="宋体"/>
          <w:color w:val="auto"/>
          <w:szCs w:val="21"/>
          <w:highlight w:val="none"/>
          <w:u w:val="single"/>
        </w:rPr>
      </w:pPr>
      <w:r>
        <w:rPr>
          <w:rFonts w:hint="eastAsia" w:ascii="宋体" w:hAnsi="宋体"/>
          <w:color w:val="auto"/>
          <w:szCs w:val="21"/>
          <w:highlight w:val="none"/>
          <w:u w:val="single"/>
        </w:rPr>
        <w:t>14.承包人在施工过程中，如有以下情形，发包人可向承包人收取2000～5000元/次的违约金：</w:t>
      </w:r>
    </w:p>
    <w:p>
      <w:pPr>
        <w:spacing w:line="440" w:lineRule="exact"/>
        <w:ind w:firstLine="422" w:firstLineChars="200"/>
        <w:jc w:val="left"/>
        <w:rPr>
          <w:rFonts w:ascii="宋体" w:hAnsi="宋体"/>
          <w:b/>
          <w:bCs/>
          <w:color w:val="auto"/>
          <w:kern w:val="0"/>
          <w:szCs w:val="21"/>
          <w:highlight w:val="none"/>
          <w:u w:val="single"/>
        </w:rPr>
      </w:pPr>
      <w:r>
        <w:rPr>
          <w:rFonts w:hint="eastAsia" w:ascii="宋体" w:hAnsi="宋体"/>
          <w:b/>
          <w:bCs/>
          <w:color w:val="auto"/>
          <w:kern w:val="0"/>
          <w:szCs w:val="21"/>
          <w:highlight w:val="none"/>
          <w:u w:val="single"/>
        </w:rPr>
        <w:t>A施工期间工程资料不能及时到位的；</w:t>
      </w:r>
    </w:p>
    <w:p>
      <w:pPr>
        <w:spacing w:line="440" w:lineRule="exact"/>
        <w:ind w:firstLine="422" w:firstLineChars="200"/>
        <w:jc w:val="left"/>
        <w:rPr>
          <w:rFonts w:ascii="宋体" w:hAnsi="宋体"/>
          <w:b/>
          <w:bCs/>
          <w:color w:val="auto"/>
          <w:kern w:val="0"/>
          <w:szCs w:val="21"/>
          <w:highlight w:val="none"/>
          <w:u w:val="single"/>
        </w:rPr>
      </w:pPr>
      <w:r>
        <w:rPr>
          <w:rFonts w:hint="eastAsia" w:ascii="宋体" w:hAnsi="宋体"/>
          <w:b/>
          <w:bCs/>
          <w:color w:val="auto"/>
          <w:kern w:val="0"/>
          <w:szCs w:val="21"/>
          <w:highlight w:val="none"/>
          <w:u w:val="single"/>
        </w:rPr>
        <w:t>B隐蔽部位不经验收通过就进行下道工序的；</w:t>
      </w:r>
    </w:p>
    <w:p>
      <w:pPr>
        <w:spacing w:line="440" w:lineRule="exact"/>
        <w:ind w:firstLine="422" w:firstLineChars="200"/>
        <w:jc w:val="left"/>
        <w:rPr>
          <w:rFonts w:ascii="宋体" w:hAnsi="宋体"/>
          <w:b/>
          <w:bCs/>
          <w:color w:val="auto"/>
          <w:kern w:val="0"/>
          <w:szCs w:val="21"/>
          <w:highlight w:val="none"/>
          <w:u w:val="single"/>
        </w:rPr>
      </w:pPr>
      <w:r>
        <w:rPr>
          <w:rFonts w:hint="eastAsia" w:ascii="宋体" w:hAnsi="宋体"/>
          <w:b/>
          <w:bCs/>
          <w:color w:val="auto"/>
          <w:kern w:val="0"/>
          <w:szCs w:val="21"/>
          <w:highlight w:val="none"/>
          <w:u w:val="single"/>
        </w:rPr>
        <w:t>C不论以何种形式被检查发现偷工减料、以次充好或假冒伪劣材料等；</w:t>
      </w:r>
    </w:p>
    <w:p>
      <w:pPr>
        <w:spacing w:line="440" w:lineRule="exact"/>
        <w:ind w:firstLine="422" w:firstLineChars="200"/>
        <w:jc w:val="left"/>
        <w:rPr>
          <w:rFonts w:ascii="宋体" w:hAnsi="宋体"/>
          <w:b/>
          <w:bCs/>
          <w:color w:val="auto"/>
          <w:kern w:val="0"/>
          <w:szCs w:val="21"/>
          <w:highlight w:val="none"/>
          <w:u w:val="single"/>
        </w:rPr>
      </w:pPr>
      <w:r>
        <w:rPr>
          <w:rFonts w:hint="eastAsia" w:ascii="宋体" w:hAnsi="宋体"/>
          <w:b/>
          <w:bCs/>
          <w:color w:val="auto"/>
          <w:kern w:val="0"/>
          <w:szCs w:val="21"/>
          <w:highlight w:val="none"/>
          <w:u w:val="single"/>
        </w:rPr>
        <w:t>D不按施工图及设计规范的要求，擅自施工的；</w:t>
      </w:r>
    </w:p>
    <w:p>
      <w:pPr>
        <w:spacing w:line="440" w:lineRule="exact"/>
        <w:ind w:firstLine="422" w:firstLineChars="200"/>
        <w:jc w:val="left"/>
        <w:rPr>
          <w:rFonts w:ascii="宋体" w:hAnsi="宋体"/>
          <w:b/>
          <w:bCs/>
          <w:color w:val="auto"/>
          <w:kern w:val="0"/>
          <w:szCs w:val="21"/>
          <w:highlight w:val="none"/>
          <w:u w:val="single"/>
        </w:rPr>
      </w:pPr>
      <w:r>
        <w:rPr>
          <w:rFonts w:hint="eastAsia" w:ascii="宋体" w:hAnsi="宋体"/>
          <w:b/>
          <w:bCs/>
          <w:color w:val="auto"/>
          <w:kern w:val="0"/>
          <w:szCs w:val="21"/>
          <w:highlight w:val="none"/>
          <w:u w:val="single"/>
        </w:rPr>
        <w:t>E存在施工质量问题的，发现一次收取违约金一次；</w:t>
      </w:r>
    </w:p>
    <w:p>
      <w:pPr>
        <w:spacing w:line="440" w:lineRule="exact"/>
        <w:ind w:firstLine="422" w:firstLineChars="200"/>
        <w:jc w:val="left"/>
        <w:rPr>
          <w:rFonts w:ascii="宋体" w:hAnsi="宋体"/>
          <w:b/>
          <w:bCs/>
          <w:color w:val="auto"/>
          <w:kern w:val="0"/>
          <w:szCs w:val="21"/>
          <w:highlight w:val="none"/>
          <w:u w:val="single"/>
        </w:rPr>
      </w:pPr>
      <w:r>
        <w:rPr>
          <w:rFonts w:hint="eastAsia" w:ascii="宋体" w:hAnsi="宋体"/>
          <w:b/>
          <w:bCs/>
          <w:color w:val="auto"/>
          <w:kern w:val="0"/>
          <w:szCs w:val="21"/>
          <w:highlight w:val="none"/>
          <w:u w:val="single"/>
        </w:rPr>
        <w:t>F承包人未能达到经审批的总进度计划或阶段性进度计划要求的。</w:t>
      </w:r>
    </w:p>
    <w:p>
      <w:pPr>
        <w:tabs>
          <w:tab w:val="left" w:pos="595"/>
        </w:tabs>
        <w:autoSpaceDE w:val="0"/>
        <w:autoSpaceDN w:val="0"/>
        <w:adjustRightInd w:val="0"/>
        <w:spacing w:line="420" w:lineRule="exact"/>
        <w:ind w:firstLine="420" w:firstLineChars="200"/>
        <w:rPr>
          <w:rFonts w:ascii="宋体" w:hAnsi="宋体"/>
          <w:color w:val="auto"/>
          <w:spacing w:val="-4"/>
          <w:szCs w:val="21"/>
          <w:highlight w:val="none"/>
          <w:u w:val="single"/>
        </w:rPr>
      </w:pPr>
      <w:r>
        <w:rPr>
          <w:rFonts w:hint="eastAsia" w:ascii="宋体" w:hAnsi="宋体"/>
          <w:color w:val="auto"/>
          <w:szCs w:val="21"/>
          <w:highlight w:val="none"/>
          <w:u w:val="single"/>
        </w:rPr>
        <w:t>15.施工过程中，因承包人施工原因，而造成煤气、供电、自来水管道、雨污分流管等受到破坏的，除承包人须按规定修复外，发包人可对承包人收取2000～5000元/次的违约金。</w:t>
      </w:r>
    </w:p>
    <w:p>
      <w:pPr>
        <w:tabs>
          <w:tab w:val="left" w:pos="595"/>
        </w:tabs>
        <w:autoSpaceDE w:val="0"/>
        <w:autoSpaceDN w:val="0"/>
        <w:adjustRightInd w:val="0"/>
        <w:spacing w:line="42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16.如承包人发生上述情况而拒交违约金的，发包人有权从工程款中或履约担保金中双倍扣除。</w:t>
      </w:r>
    </w:p>
    <w:p>
      <w:pPr>
        <w:tabs>
          <w:tab w:val="left" w:pos="595"/>
        </w:tabs>
        <w:autoSpaceDE w:val="0"/>
        <w:autoSpaceDN w:val="0"/>
        <w:adjustRightInd w:val="0"/>
        <w:spacing w:line="42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17.若本工程因甲供或分包项目较多引起结算价小于投标价，承包人不得提出相关费用补偿。</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18.本工程竣工结算由发包人在崇川审计局设立的“政府投资建设项目协审中介机构资源库”中委托产生第三方审计机构审计确认，审计结果作为工程竣工结算依据。承包人应如实报送工程竣工结算，如经第三方审计机构审计后，核减额小于5%（含5%），审计费由发包人支付；核减额大于5%、小于10%（含10%），超出5%的审计费由承包人承担；核减额大于10%，审计费全部由承包人承担。审计费按核减额的6%计取。包方无需另行提供票据证实，直接在应付款中扣除。审计时，崇川审计局无或不再设立“政府投资建设项目协审中介机构资源库”的，第三方审计机构由发包人直接委托。</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19. 工程量清单中承包人没有填入单价或价格的子目，其费用视为已分摊在工程量清单中其他子目的单价或价格之中。</w:t>
      </w:r>
    </w:p>
    <w:p>
      <w:pPr>
        <w:tabs>
          <w:tab w:val="left" w:pos="595"/>
        </w:tabs>
        <w:autoSpaceDE w:val="0"/>
        <w:autoSpaceDN w:val="0"/>
        <w:adjustRightInd w:val="0"/>
        <w:spacing w:line="42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20.承包人应认真踏勘施工现场，考虑因各种困难因素所发生的一切费用由承包人自行考虑，并在投标报价中予以体现，以后不得以此为由提出额外增加费用的要求。水、电接驳，按发包人指定地点，定量表记、接至施工现场管线（电缆）由承包人自行考虑，费用包含在合同价中。现场自来水及电源接入点现场具体位置由承包人现场踏勘。</w:t>
      </w:r>
    </w:p>
    <w:p>
      <w:pPr>
        <w:tabs>
          <w:tab w:val="left" w:pos="595"/>
        </w:tabs>
        <w:autoSpaceDE w:val="0"/>
        <w:autoSpaceDN w:val="0"/>
        <w:adjustRightInd w:val="0"/>
        <w:spacing w:line="42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21.施工单位工程竣工后清理现场，做到工完料清，否则发生相关费用则由发包人在工程结算价款中扣除。</w:t>
      </w:r>
    </w:p>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u w:val="single"/>
        </w:rPr>
        <w:t>22.因施工场地狭小、周边老旧建筑保护、地下及地上管线保护等发生的一切费用由承包人自行考虑，所有费用包含在合同价中，竣工结算时一律不作调整。</w:t>
      </w:r>
    </w:p>
    <w:p>
      <w:pPr>
        <w:tabs>
          <w:tab w:val="left" w:pos="595"/>
        </w:tabs>
        <w:autoSpaceDE w:val="0"/>
        <w:autoSpaceDN w:val="0"/>
        <w:adjustRightInd w:val="0"/>
        <w:spacing w:line="42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23.承包人必须认真仔细踏勘施工现场，结合本工程实际情况，并在投标报价时综合考虑</w:t>
      </w:r>
      <w:r>
        <w:rPr>
          <w:rFonts w:ascii="宋体" w:hAnsi="宋体"/>
          <w:color w:val="auto"/>
          <w:szCs w:val="21"/>
          <w:highlight w:val="none"/>
          <w:u w:val="single"/>
        </w:rPr>
        <w:t>赶工费、按质论价费、二次搬运费、特殊条件下施工增加费、冬雨季施工增加费、夜间施工增加费、临时设施费</w:t>
      </w:r>
      <w:r>
        <w:rPr>
          <w:rFonts w:hint="eastAsia" w:ascii="宋体" w:hAnsi="宋体"/>
          <w:color w:val="auto"/>
          <w:szCs w:val="21"/>
          <w:highlight w:val="none"/>
          <w:u w:val="single"/>
        </w:rPr>
        <w:t>、已完工程及设备保护费等该类措施项目费已包含在合同价中</w:t>
      </w:r>
      <w:r>
        <w:rPr>
          <w:rFonts w:ascii="宋体" w:hAnsi="宋体"/>
          <w:color w:val="auto"/>
          <w:szCs w:val="21"/>
          <w:highlight w:val="none"/>
          <w:u w:val="single"/>
        </w:rPr>
        <w:t>，一次性包定，结算时一律不作调整。</w:t>
      </w:r>
      <w:r>
        <w:rPr>
          <w:rFonts w:hint="eastAsia" w:ascii="宋体" w:hAnsi="宋体"/>
          <w:color w:val="auto"/>
          <w:szCs w:val="21"/>
          <w:highlight w:val="none"/>
          <w:u w:val="single"/>
        </w:rPr>
        <w:t xml:space="preserve">如有已完工程及设备损坏，应按照不低于原设计标准恢复，费用包含在合同价中，结算时一律不作调整。 </w:t>
      </w:r>
    </w:p>
    <w:p>
      <w:pPr>
        <w:tabs>
          <w:tab w:val="left" w:pos="595"/>
        </w:tabs>
        <w:autoSpaceDE w:val="0"/>
        <w:autoSpaceDN w:val="0"/>
        <w:adjustRightInd w:val="0"/>
        <w:spacing w:line="42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24.如果工程中标后，因自身的原因，未能兑现其投标时承诺条件或工程质量较差，或其工期进度严重脱节，发包人同意后有权终止合同，并且已完成的有效工程量只按60%计算并结算或者由发包人安排其他施工单位进行施工，所发生费用直接按实际费用的2倍或以上金额从承包人合同价款中扣除，同时发包人视情节有权扣除部分或全部履约保证金。</w:t>
      </w:r>
    </w:p>
    <w:p>
      <w:pPr>
        <w:tabs>
          <w:tab w:val="left" w:pos="595"/>
        </w:tabs>
        <w:autoSpaceDE w:val="0"/>
        <w:autoSpaceDN w:val="0"/>
        <w:adjustRightInd w:val="0"/>
        <w:spacing w:line="42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25.承包人应独立、有效地做好该工程周边的有关群众工作，并充分考虑工程实施范围内外的单位、个人和其他可能出现阻挠施工的情况，若发生的机械台班停置费、二次机械进退场费、人员窝工、处理周边群众纠纷等费用和损失，由承包人自行考虑，并列入投标报价，工程竣工结算时不作调整。</w:t>
      </w:r>
    </w:p>
    <w:p>
      <w:pPr>
        <w:tabs>
          <w:tab w:val="left" w:pos="595"/>
        </w:tabs>
        <w:autoSpaceDE w:val="0"/>
        <w:autoSpaceDN w:val="0"/>
        <w:adjustRightInd w:val="0"/>
        <w:spacing w:line="42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26.在实际施工中，发包人有权要求施工单位无条件更换不符合要求的产品，购进的材料设备与提供的样品不一致时，由承包人无条件退货，如因使用不符合国家标准及各项指标的材料，由此引起的相关费用由承包人承担，结算时一律不作调整。</w:t>
      </w:r>
    </w:p>
    <w:p>
      <w:pPr>
        <w:tabs>
          <w:tab w:val="left" w:pos="595"/>
        </w:tabs>
        <w:autoSpaceDE w:val="0"/>
        <w:autoSpaceDN w:val="0"/>
        <w:adjustRightInd w:val="0"/>
        <w:spacing w:line="42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27.本工程量清单的特征应与施工图、招标文件、技术要求、技术规范等文件结合起来阅读，发包人在工程量清单中项目特征描述不全，但承包人为满足设计图纸中该清单项目的要求而必须完成的工作，承包人应计入工程量清单相应子目中，工程结算时发包人不为此类项目另外支付费用。</w:t>
      </w:r>
    </w:p>
    <w:p>
      <w:pPr>
        <w:tabs>
          <w:tab w:val="left" w:pos="595"/>
        </w:tabs>
        <w:autoSpaceDE w:val="0"/>
        <w:autoSpaceDN w:val="0"/>
        <w:adjustRightInd w:val="0"/>
        <w:spacing w:line="42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28.承包人在施工中发现工程量清单特征描述与设计施工图纸不符时需报发包人确认。工程量清单描述不全面的，以全面描述的为准，结算时将不予调整。</w:t>
      </w:r>
    </w:p>
    <w:p>
      <w:pPr>
        <w:tabs>
          <w:tab w:val="left" w:pos="595"/>
        </w:tabs>
        <w:autoSpaceDE w:val="0"/>
        <w:autoSpaceDN w:val="0"/>
        <w:adjustRightInd w:val="0"/>
        <w:spacing w:line="42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29.作为一个有经验的承包商，投标报价时应考虑施工过程中可能发生的各种风险因素，在整个工程施工过程中，若发生对周边相关构筑物、设施损坏的，承包人必须负责更换或修复，直至得到发包人的认可，期间涉及的所有费用由承包人承担，发包人不再另行支付该项费用，结算时一律不作调整。</w:t>
      </w:r>
    </w:p>
    <w:p>
      <w:pPr>
        <w:tabs>
          <w:tab w:val="left" w:pos="595"/>
        </w:tabs>
        <w:autoSpaceDE w:val="0"/>
        <w:autoSpaceDN w:val="0"/>
        <w:adjustRightInd w:val="0"/>
        <w:spacing w:line="42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30.承包人确定投标报价，同时应考虑合同中包含的风险、责任等各项费用。</w:t>
      </w:r>
    </w:p>
    <w:p>
      <w:pPr>
        <w:spacing w:line="44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31.承包人工程实施过程中，必须收集齐全变更、签证及所有隐蔽项目的影像视频资料并进行保存以供后期审计使用，在送审结算资料时光盘或u盘必须一并提交。所有签证资料必须附有详细影像彩色照片，所摄照片必须有可参照性。如影像资料未能反映签证、隐蔽项目、清单或招标文件列明的工作内容，则结算时该项内容不予认可。</w:t>
      </w:r>
    </w:p>
    <w:p>
      <w:pPr>
        <w:autoSpaceDE w:val="0"/>
        <w:autoSpaceDN w:val="0"/>
        <w:adjustRightInd w:val="0"/>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32.承包人已在投标报价中根据自身管理水平，材料采购及机械配备等因素，考虑实际可抵扣进项税，合理确定增值税应纳税额进行自主报价。</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33. 报价书中的工程数量乘以综合单价必须等于合价。如有误差，在结算时以综合单价金额小的为计算依据。</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34、施工过程中的建筑垃圾、渣土、拆除报废的材料设备等须及时清运，所涉及的相关费用已列入本合同价中，实际施工中不再签证，结算时不予调整。</w:t>
      </w:r>
    </w:p>
    <w:p>
      <w:pPr>
        <w:autoSpaceDE w:val="0"/>
        <w:autoSpaceDN w:val="0"/>
        <w:adjustRightInd w:val="0"/>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35. 承包人应当及时收集完整、准确的变更及签证资料，并对资料的全面性、完整性负责任，同时认真编制工程竣工结算，并将结算资料整理装订成册，在后期送审核对过程中，如发生已装订送审资料结算漏项，则视为对发包人的优惠，不予增补调整。如因工程量计算或汇总错误造成的增补，此部分审计费用由承包人承担。</w:t>
      </w:r>
    </w:p>
    <w:p>
      <w:pPr>
        <w:autoSpaceDE w:val="0"/>
        <w:autoSpaceDN w:val="0"/>
        <w:adjustRightInd w:val="0"/>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36. 承包人不得拒绝完成发包人在施工地点范围内变更或要求增加和减少的工程内容。</w:t>
      </w:r>
    </w:p>
    <w:p>
      <w:pPr>
        <w:pStyle w:val="425"/>
        <w:spacing w:line="420" w:lineRule="exact"/>
        <w:ind w:firstLine="482"/>
        <w:jc w:val="left"/>
        <w:rPr>
          <w:rFonts w:ascii="宋体" w:hAnsi="宋体"/>
          <w:color w:val="auto"/>
          <w:kern w:val="2"/>
          <w:highlight w:val="none"/>
          <w:u w:val="single"/>
        </w:rPr>
      </w:pPr>
      <w:r>
        <w:rPr>
          <w:rFonts w:hint="eastAsia" w:ascii="宋体" w:hAnsi="宋体"/>
          <w:color w:val="auto"/>
          <w:kern w:val="2"/>
          <w:highlight w:val="none"/>
          <w:u w:val="single"/>
        </w:rPr>
        <w:t>37.</w:t>
      </w:r>
      <w:r>
        <w:rPr>
          <w:rFonts w:hint="eastAsia" w:ascii="宋体" w:hAnsi="宋体"/>
          <w:color w:val="auto"/>
          <w:highlight w:val="none"/>
          <w:u w:val="single"/>
        </w:rPr>
        <w:t xml:space="preserve"> 承包人对需要进行认质认价的材料，应提前10天向发包人递交认质认价材料计划表，计划表中应明确材料设备档次、参数、规格等详细要求，同时计划表中应提供不少于3个品牌的询价报价，同时承包人对于发包人的材料认价价格须无条件接受。</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38. 承包人应按规定执行《南通市建筑工程管理处文件》通建管［2018］3号文、《南通市区工程建设领域农民工实名制管理实施细则》，由此产生的费用包含在合同价中。</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39. 承包人中标后应根据国家、省、市、工程所在地政府及相关部门的规定缴纳有关费用，该费用已包含在合同中，发包人不另行给付，费用缴纳的标准投标人可向有关部门查询。</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40.与其他承包商间的协调、配合、通信关系，由承包人自行解决，确保各分项工程满足设计图纸、验收规范等要求，发生的费用由承包人自行承担，并相互做好成品保护工作，并无条件接受发包人管理，发包人不再另行支付任何涉及工序交叉影响的费用。</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41.若承包人在投标报价时擅自改变暂估价或暂列金额且评审时未被发现，报价低于暂估价或暂列金额，结算时统一按招标文件明确暂估价或暂列金额扣除；报价高于暂估价或暂列金额，结算时统一按报价扣除；若擅自改变招标文件及清单内容，且评标时未被发现的，实际施工时一律以招标文件及清单内容执行，结算价格不予调整。</w:t>
      </w:r>
    </w:p>
    <w:p>
      <w:pPr>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42.参考标底及招标控制价编制依据（人工费由承包人结合实际情况自行考虑，结算不予调整）中标后承包人不得以标底或招标控制价中可能存在的不合理或错误作为借口而要求签证或索赔。若结算时发现承包人有明显的不平衡报价（如：子目中个别材料、人工、机械费低于市场询价的80%），发包人可自行按有利发包人利益的调整，无须承包人确认。</w:t>
      </w:r>
    </w:p>
    <w:p>
      <w:pPr>
        <w:autoSpaceDE w:val="0"/>
        <w:autoSpaceDN w:val="0"/>
        <w:adjustRightInd w:val="0"/>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43.临时设施费、检验试验费承包人已在报价时充分考虑，结算时不再调整。</w:t>
      </w:r>
    </w:p>
    <w:p>
      <w:pPr>
        <w:autoSpaceDE w:val="0"/>
        <w:autoSpaceDN w:val="0"/>
        <w:adjustRightInd w:val="0"/>
        <w:spacing w:line="42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44.承包人已充分考虑开工时间、季节、气候问题对投标报价时的影响，中标后，不得提出额外增加费用的要求。</w:t>
      </w:r>
    </w:p>
    <w:p>
      <w:pPr>
        <w:autoSpaceDE w:val="0"/>
        <w:autoSpaceDN w:val="0"/>
        <w:adjustRightInd w:val="0"/>
        <w:spacing w:line="42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45.本工程运出的建筑垃圾等必须运出崇川区范围之外，否则发现一车，发包人将向承包人收取</w:t>
      </w:r>
      <w:r>
        <w:rPr>
          <w:rFonts w:hint="eastAsia" w:ascii="宋体" w:hAnsi="宋体"/>
          <w:b/>
          <w:bCs/>
          <w:color w:val="auto"/>
          <w:szCs w:val="21"/>
          <w:highlight w:val="none"/>
          <w:u w:val="single"/>
        </w:rPr>
        <w:t>1-10万/车</w:t>
      </w:r>
      <w:r>
        <w:rPr>
          <w:rFonts w:hint="eastAsia" w:ascii="宋体" w:hAnsi="宋体"/>
          <w:color w:val="auto"/>
          <w:szCs w:val="21"/>
          <w:highlight w:val="none"/>
          <w:u w:val="single"/>
        </w:rPr>
        <w:t>的违约金，并有权要求其重新清运出崇川区。清运地点必须符合南通市崇川区建筑垃圾(渣土)管理中心要求，南通市崇川区建筑垃圾(渣土)管理中心收取的建筑垃圾处置费由承包人考虑在报价中。</w:t>
      </w:r>
    </w:p>
    <w:p>
      <w:pPr>
        <w:autoSpaceDE w:val="0"/>
        <w:autoSpaceDN w:val="0"/>
        <w:adjustRightInd w:val="0"/>
        <w:spacing w:line="420" w:lineRule="exact"/>
        <w:ind w:firstLine="420" w:firstLineChars="200"/>
        <w:jc w:val="left"/>
        <w:rPr>
          <w:color w:val="auto"/>
          <w:highlight w:val="none"/>
        </w:rPr>
      </w:pPr>
      <w:r>
        <w:rPr>
          <w:rFonts w:hint="eastAsia" w:ascii="宋体" w:hAnsi="宋体"/>
          <w:color w:val="auto"/>
          <w:szCs w:val="21"/>
          <w:highlight w:val="none"/>
          <w:u w:val="single"/>
        </w:rPr>
        <w:t>46.承包人已充分了解工地位置、环境、道路、储存空间、装卸条件及任何其他足以影响承包价的情况。任何忽视、猜测或误解工地情况而导致的成本增加或工期延长等申请一律不予认可。</w:t>
      </w:r>
    </w:p>
    <w:p>
      <w:pPr>
        <w:tabs>
          <w:tab w:val="left" w:pos="595"/>
        </w:tabs>
        <w:autoSpaceDE w:val="0"/>
        <w:autoSpaceDN w:val="0"/>
        <w:adjustRightInd w:val="0"/>
        <w:spacing w:line="42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47.本工程未提供推荐品牌的材料，中标人须使用国产中档以上且符合国家标准的合格产品，其规格、技术指标、质量等级必须满足相应技术规范或技术标准的要求。</w:t>
      </w:r>
    </w:p>
    <w:p>
      <w:pPr>
        <w:tabs>
          <w:tab w:val="left" w:pos="595"/>
        </w:tabs>
        <w:autoSpaceDE w:val="0"/>
        <w:autoSpaceDN w:val="0"/>
        <w:adjustRightInd w:val="0"/>
        <w:spacing w:line="420" w:lineRule="exact"/>
        <w:ind w:firstLine="420" w:firstLineChars="200"/>
        <w:rPr>
          <w:rFonts w:ascii="宋体" w:hAnsi="宋体"/>
          <w:color w:val="auto"/>
          <w:szCs w:val="21"/>
          <w:highlight w:val="none"/>
          <w:u w:val="single"/>
        </w:rPr>
      </w:pPr>
      <w:r>
        <w:rPr>
          <w:rFonts w:hint="eastAsia" w:ascii="宋体" w:hAnsi="宋体"/>
          <w:color w:val="auto"/>
          <w:szCs w:val="21"/>
          <w:highlight w:val="none"/>
          <w:u w:val="single"/>
        </w:rPr>
        <w:t>48. 本工程承包人对施工过程中的建筑垃圾、渣土、拆除报废的材料设备等须及时清运，所涉及的相关费用已包含在投标总价中，结算时不再调整。</w:t>
      </w:r>
    </w:p>
    <w:p>
      <w:pPr>
        <w:autoSpaceDE w:val="0"/>
        <w:autoSpaceDN w:val="0"/>
        <w:adjustRightInd w:val="0"/>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49. 如因承包人未能及时支付供应商货款、分包商、实际施工人工程（劳务）款，导致发包人被起诉（或仲裁）的，无论发包人是单独被告还是共同被告，发包人委托律师所发生的代理费、诉讼费等作为发包人的损失，由承包人承担，发包人应付承包人的工程价款（或应退工程质保金）相应减少。律师费用标准按照苏价费[2017]113号文确定，今后如有新的指导文件，按照新的文件执行。</w:t>
      </w:r>
    </w:p>
    <w:p>
      <w:pPr>
        <w:autoSpaceDE w:val="0"/>
        <w:autoSpaceDN w:val="0"/>
        <w:adjustRightInd w:val="0"/>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50.承包人在施工期间应根据南通市人民政府办公室文件通政办法［2019］58号文《关于开展南通市区施工扬尘专治整理的实施意见》中的相关要求，强化施工扬尘治理责任，严格根据工地扬尘防治标准执行。在工程施工过程中，如因承包人的原因受到报纸、电视等媒体的曝光或被政府有关主管部门通报批评，给本工程的社会形象带来负面影响，视情节严重每次由承包人向发包人支付1万元的违约金，从承包人工程进度款中扣除。</w:t>
      </w:r>
    </w:p>
    <w:p>
      <w:pPr>
        <w:autoSpaceDE w:val="0"/>
        <w:autoSpaceDN w:val="0"/>
        <w:adjustRightInd w:val="0"/>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51.①</w:t>
      </w:r>
      <w:r>
        <w:rPr>
          <w:rFonts w:ascii="宋体" w:hAnsi="宋体"/>
          <w:color w:val="auto"/>
          <w:szCs w:val="21"/>
          <w:highlight w:val="none"/>
          <w:u w:val="single"/>
        </w:rPr>
        <w:t>施工单位竣工及结算时，需按招标人要求提供竣工图及送审图（纸质和电子两种版本）</w:t>
      </w:r>
      <w:r>
        <w:rPr>
          <w:rFonts w:hint="eastAsia" w:ascii="宋体" w:hAnsi="宋体"/>
          <w:color w:val="auto"/>
          <w:szCs w:val="21"/>
          <w:highlight w:val="none"/>
          <w:u w:val="single"/>
        </w:rPr>
        <w:t>；②</w:t>
      </w:r>
      <w:r>
        <w:rPr>
          <w:rFonts w:ascii="宋体" w:hAnsi="宋体"/>
          <w:color w:val="auto"/>
          <w:szCs w:val="21"/>
          <w:highlight w:val="none"/>
          <w:u w:val="single"/>
        </w:rPr>
        <w:t>所有设备及管道更换需进出墙体，需自行恢复原状</w:t>
      </w:r>
      <w:r>
        <w:rPr>
          <w:rFonts w:hint="eastAsia" w:ascii="宋体" w:hAnsi="宋体"/>
          <w:color w:val="auto"/>
          <w:szCs w:val="21"/>
          <w:highlight w:val="none"/>
          <w:u w:val="single"/>
        </w:rPr>
        <w:t>；③施工</w:t>
      </w:r>
      <w:r>
        <w:rPr>
          <w:rFonts w:ascii="宋体" w:hAnsi="宋体"/>
          <w:color w:val="auto"/>
          <w:szCs w:val="21"/>
          <w:highlight w:val="none"/>
          <w:u w:val="single"/>
        </w:rPr>
        <w:t>破坏的草皮等绿化</w:t>
      </w:r>
      <w:r>
        <w:rPr>
          <w:rFonts w:hint="eastAsia" w:ascii="宋体" w:hAnsi="宋体"/>
          <w:color w:val="auto"/>
          <w:szCs w:val="21"/>
          <w:highlight w:val="none"/>
          <w:u w:val="single"/>
        </w:rPr>
        <w:t>及铺装</w:t>
      </w:r>
      <w:r>
        <w:rPr>
          <w:rFonts w:ascii="宋体" w:hAnsi="宋体"/>
          <w:color w:val="auto"/>
          <w:szCs w:val="21"/>
          <w:highlight w:val="none"/>
          <w:u w:val="single"/>
        </w:rPr>
        <w:t>需恢复原状；</w:t>
      </w:r>
      <w:r>
        <w:rPr>
          <w:rFonts w:hint="eastAsia" w:ascii="宋体" w:hAnsi="宋体"/>
          <w:color w:val="auto"/>
          <w:szCs w:val="21"/>
          <w:highlight w:val="none"/>
          <w:u w:val="single"/>
        </w:rPr>
        <w:t>④</w:t>
      </w:r>
      <w:r>
        <w:rPr>
          <w:rFonts w:ascii="宋体" w:hAnsi="宋体"/>
          <w:color w:val="auto"/>
          <w:szCs w:val="21"/>
          <w:highlight w:val="none"/>
          <w:u w:val="single"/>
        </w:rPr>
        <w:t>本工程所有建筑垃圾外运。“以上</w:t>
      </w:r>
      <w:r>
        <w:rPr>
          <w:rFonts w:hint="eastAsia" w:ascii="宋体" w:hAnsi="宋体"/>
          <w:color w:val="auto"/>
          <w:szCs w:val="21"/>
          <w:highlight w:val="none"/>
          <w:u w:val="single"/>
        </w:rPr>
        <w:t>①至④</w:t>
      </w:r>
      <w:r>
        <w:rPr>
          <w:rFonts w:ascii="宋体" w:hAnsi="宋体"/>
          <w:color w:val="auto"/>
          <w:szCs w:val="21"/>
          <w:highlight w:val="none"/>
          <w:u w:val="single"/>
        </w:rPr>
        <w:t>点</w:t>
      </w:r>
      <w:r>
        <w:rPr>
          <w:rFonts w:hint="eastAsia" w:ascii="宋体" w:hAnsi="宋体"/>
          <w:color w:val="auto"/>
          <w:szCs w:val="21"/>
          <w:highlight w:val="none"/>
          <w:u w:val="single"/>
        </w:rPr>
        <w:t>由投标人计入投标报价中</w:t>
      </w:r>
      <w:r>
        <w:rPr>
          <w:rFonts w:ascii="宋体" w:hAnsi="宋体"/>
          <w:color w:val="auto"/>
          <w:szCs w:val="21"/>
          <w:highlight w:val="none"/>
          <w:u w:val="single"/>
        </w:rPr>
        <w:t>，投标人自行踏勘现场，自行考虑以上费用，结算时一律不做调整，不得由此为理由额外增加费用。</w:t>
      </w:r>
    </w:p>
    <w:p>
      <w:pPr>
        <w:autoSpaceDE w:val="0"/>
        <w:autoSpaceDN w:val="0"/>
        <w:adjustRightInd w:val="0"/>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 xml:space="preserve">52.承包单位需保证通过具备相应资质的消防检测机构检测合格。否则，发包人有权不支付工程费用，且要求承包人退还发包人已支付的工程费用。 </w:t>
      </w:r>
    </w:p>
    <w:p>
      <w:pPr>
        <w:autoSpaceDE w:val="0"/>
        <w:autoSpaceDN w:val="0"/>
        <w:adjustRightInd w:val="0"/>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 xml:space="preserve">53.本项目原设备、管线的拆除由中标单位实施，费用包含在合同价中，承包单位在投标报价时综合考虑该部分费用，结算时不予调整。 </w:t>
      </w:r>
    </w:p>
    <w:p>
      <w:pPr>
        <w:autoSpaceDE w:val="0"/>
        <w:autoSpaceDN w:val="0"/>
        <w:adjustRightInd w:val="0"/>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54.承包人在投标报价时</w:t>
      </w:r>
      <w:r>
        <w:rPr>
          <w:rFonts w:hint="eastAsia" w:ascii="宋体" w:hAnsi="宋体"/>
          <w:color w:val="auto"/>
          <w:szCs w:val="21"/>
          <w:highlight w:val="none"/>
          <w:u w:val="single"/>
          <w:lang w:val="en-US" w:eastAsia="zh-CN"/>
        </w:rPr>
        <w:t>根据勘察时的图纸，</w:t>
      </w:r>
      <w:r>
        <w:rPr>
          <w:rFonts w:hint="eastAsia" w:ascii="宋体" w:hAnsi="宋体"/>
          <w:color w:val="auto"/>
          <w:szCs w:val="21"/>
          <w:highlight w:val="none"/>
          <w:u w:val="single"/>
        </w:rPr>
        <w:t>应充分考虑施工过程中对原有建筑工程结构及饰面及绿化、铺装造成破损及损坏部分进行修复，使其恢复原样等所包含</w:t>
      </w:r>
      <w:r>
        <w:rPr>
          <w:rFonts w:hint="eastAsia" w:ascii="宋体" w:hAnsi="宋体"/>
          <w:color w:val="auto"/>
          <w:szCs w:val="21"/>
          <w:highlight w:val="none"/>
          <w:u w:val="single"/>
          <w:lang w:val="en-US" w:eastAsia="zh-CN"/>
        </w:rPr>
        <w:t>漏项</w:t>
      </w:r>
      <w:r>
        <w:rPr>
          <w:rFonts w:hint="eastAsia" w:ascii="宋体" w:hAnsi="宋体"/>
          <w:color w:val="auto"/>
          <w:szCs w:val="21"/>
          <w:highlight w:val="none"/>
          <w:u w:val="single"/>
        </w:rPr>
        <w:t>的各项费用，并综合考虑在投标报价中，结算时不再另行支付其费用。</w:t>
      </w:r>
    </w:p>
    <w:p>
      <w:pPr>
        <w:autoSpaceDE w:val="0"/>
        <w:autoSpaceDN w:val="0"/>
        <w:adjustRightInd w:val="0"/>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55.承包人不得拒绝发包人提出的任何与本工程相关的工作内容的增加，否则视为承包人原因造成工期延误，处罚条款按照本合同7.5.2执行。</w:t>
      </w:r>
    </w:p>
    <w:p>
      <w:pPr>
        <w:autoSpaceDE w:val="0"/>
        <w:autoSpaceDN w:val="0"/>
        <w:adjustRightInd w:val="0"/>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56.承包人在施工过程中，应将建筑垃圾清运至</w:t>
      </w:r>
      <w:r>
        <w:rPr>
          <w:rFonts w:hint="eastAsia" w:ascii="宋体" w:hAnsi="宋体"/>
          <w:color w:val="auto"/>
          <w:szCs w:val="21"/>
          <w:highlight w:val="none"/>
          <w:u w:val="single"/>
          <w:lang w:val="en-US" w:eastAsia="zh-CN"/>
        </w:rPr>
        <w:t>发包人</w:t>
      </w:r>
      <w:r>
        <w:rPr>
          <w:rFonts w:hint="eastAsia" w:ascii="宋体" w:hAnsi="宋体"/>
          <w:color w:val="auto"/>
          <w:szCs w:val="21"/>
          <w:highlight w:val="none"/>
          <w:u w:val="single"/>
        </w:rPr>
        <w:t>指定位置，同时接受</w:t>
      </w:r>
      <w:r>
        <w:rPr>
          <w:rFonts w:hint="eastAsia" w:ascii="宋体" w:hAnsi="宋体"/>
          <w:color w:val="auto"/>
          <w:szCs w:val="21"/>
          <w:highlight w:val="none"/>
          <w:u w:val="single"/>
          <w:lang w:val="en-US" w:eastAsia="zh-CN"/>
        </w:rPr>
        <w:t>发包人</w:t>
      </w:r>
      <w:r>
        <w:rPr>
          <w:rFonts w:hint="eastAsia" w:ascii="宋体" w:hAnsi="宋体"/>
          <w:color w:val="auto"/>
          <w:szCs w:val="21"/>
          <w:highlight w:val="none"/>
          <w:u w:val="single"/>
        </w:rPr>
        <w:t>的现场管理。</w:t>
      </w:r>
    </w:p>
    <w:p>
      <w:pPr>
        <w:pStyle w:val="24"/>
        <w:ind w:firstLine="422" w:firstLineChars="200"/>
        <w:rPr>
          <w:rFonts w:hint="eastAsia" w:cs="Times New Roman"/>
          <w:b/>
          <w:bCs/>
          <w:color w:val="auto"/>
          <w:kern w:val="2"/>
          <w:sz w:val="21"/>
          <w:szCs w:val="21"/>
          <w:highlight w:val="none"/>
          <w:u w:val="single"/>
        </w:rPr>
      </w:pPr>
      <w:r>
        <w:rPr>
          <w:rFonts w:hint="eastAsia" w:cs="Times New Roman"/>
          <w:b/>
          <w:bCs/>
          <w:color w:val="auto"/>
          <w:kern w:val="2"/>
          <w:sz w:val="21"/>
          <w:szCs w:val="21"/>
          <w:highlight w:val="none"/>
          <w:u w:val="single"/>
        </w:rPr>
        <w:t>5</w:t>
      </w:r>
      <w:r>
        <w:rPr>
          <w:rFonts w:hint="eastAsia" w:cs="Times New Roman"/>
          <w:b/>
          <w:bCs/>
          <w:color w:val="auto"/>
          <w:kern w:val="2"/>
          <w:sz w:val="21"/>
          <w:szCs w:val="21"/>
          <w:highlight w:val="none"/>
          <w:u w:val="single"/>
          <w:lang w:val="en-US" w:eastAsia="zh-CN"/>
        </w:rPr>
        <w:t>7</w:t>
      </w:r>
      <w:r>
        <w:rPr>
          <w:rFonts w:hint="eastAsia" w:cs="Times New Roman"/>
          <w:b/>
          <w:bCs/>
          <w:color w:val="auto"/>
          <w:kern w:val="2"/>
          <w:sz w:val="21"/>
          <w:szCs w:val="21"/>
          <w:highlight w:val="none"/>
          <w:u w:val="single"/>
        </w:rPr>
        <w:t>.本工程</w:t>
      </w:r>
      <w:r>
        <w:rPr>
          <w:rFonts w:hint="eastAsia" w:cs="Times New Roman"/>
          <w:b/>
          <w:bCs/>
          <w:color w:val="auto"/>
          <w:kern w:val="2"/>
          <w:sz w:val="21"/>
          <w:szCs w:val="21"/>
          <w:highlight w:val="none"/>
          <w:u w:val="single"/>
          <w:lang w:val="en-US" w:eastAsia="zh-CN"/>
        </w:rPr>
        <w:t>承包人</w:t>
      </w:r>
      <w:r>
        <w:rPr>
          <w:rFonts w:hint="eastAsia" w:cs="Times New Roman"/>
          <w:b/>
          <w:bCs/>
          <w:color w:val="auto"/>
          <w:kern w:val="2"/>
          <w:sz w:val="21"/>
          <w:szCs w:val="21"/>
          <w:highlight w:val="none"/>
          <w:u w:val="single"/>
        </w:rPr>
        <w:t>需</w:t>
      </w:r>
      <w:r>
        <w:rPr>
          <w:rFonts w:hint="eastAsia" w:cs="Times New Roman"/>
          <w:b/>
          <w:bCs/>
          <w:color w:val="auto"/>
          <w:kern w:val="2"/>
          <w:sz w:val="21"/>
          <w:szCs w:val="21"/>
          <w:highlight w:val="none"/>
          <w:u w:val="single"/>
          <w:lang w:val="en-US" w:eastAsia="zh-CN"/>
        </w:rPr>
        <w:t>出具</w:t>
      </w:r>
      <w:r>
        <w:rPr>
          <w:rFonts w:hint="eastAsia" w:cs="Times New Roman"/>
          <w:b/>
          <w:bCs/>
          <w:color w:val="auto"/>
          <w:kern w:val="2"/>
          <w:sz w:val="21"/>
          <w:szCs w:val="21"/>
          <w:highlight w:val="none"/>
          <w:u w:val="single"/>
        </w:rPr>
        <w:t>具备相应资质的消防检测机构检测合格，出具合格的检测报告</w:t>
      </w:r>
      <w:r>
        <w:rPr>
          <w:rFonts w:hint="eastAsia" w:cs="Times New Roman"/>
          <w:b/>
          <w:bCs/>
          <w:color w:val="auto"/>
          <w:kern w:val="2"/>
          <w:sz w:val="21"/>
          <w:szCs w:val="21"/>
          <w:highlight w:val="none"/>
          <w:u w:val="single"/>
          <w:lang w:eastAsia="zh-CN"/>
        </w:rPr>
        <w:t>。</w:t>
      </w:r>
      <w:r>
        <w:rPr>
          <w:rFonts w:hint="eastAsia" w:cs="Times New Roman"/>
          <w:b/>
          <w:bCs/>
          <w:color w:val="auto"/>
          <w:kern w:val="2"/>
          <w:sz w:val="21"/>
          <w:szCs w:val="21"/>
          <w:highlight w:val="none"/>
          <w:u w:val="single"/>
        </w:rPr>
        <w:t>否则，</w:t>
      </w:r>
      <w:r>
        <w:rPr>
          <w:rFonts w:hint="eastAsia" w:cs="Times New Roman"/>
          <w:b/>
          <w:bCs/>
          <w:color w:val="auto"/>
          <w:kern w:val="2"/>
          <w:sz w:val="21"/>
          <w:szCs w:val="21"/>
          <w:highlight w:val="none"/>
          <w:u w:val="single"/>
          <w:lang w:val="en-US" w:eastAsia="zh-CN"/>
        </w:rPr>
        <w:t>发包人</w:t>
      </w:r>
      <w:r>
        <w:rPr>
          <w:rFonts w:hint="eastAsia" w:cs="Times New Roman"/>
          <w:b/>
          <w:bCs/>
          <w:color w:val="auto"/>
          <w:kern w:val="2"/>
          <w:sz w:val="21"/>
          <w:szCs w:val="21"/>
          <w:highlight w:val="none"/>
          <w:u w:val="single"/>
        </w:rPr>
        <w:t>有权不支付工程费用。</w:t>
      </w:r>
    </w:p>
    <w:p>
      <w:pPr>
        <w:pStyle w:val="24"/>
        <w:ind w:firstLine="422" w:firstLineChars="200"/>
        <w:rPr>
          <w:rFonts w:cs="Times New Roman"/>
          <w:b/>
          <w:bCs/>
          <w:color w:val="auto"/>
          <w:kern w:val="2"/>
          <w:sz w:val="21"/>
          <w:szCs w:val="21"/>
          <w:highlight w:val="none"/>
          <w:u w:val="single"/>
        </w:rPr>
      </w:pPr>
      <w:r>
        <w:rPr>
          <w:rFonts w:hint="eastAsia" w:cs="Times New Roman"/>
          <w:b/>
          <w:bCs/>
          <w:color w:val="auto"/>
          <w:kern w:val="2"/>
          <w:sz w:val="21"/>
          <w:szCs w:val="21"/>
          <w:highlight w:val="none"/>
          <w:u w:val="single"/>
          <w:lang w:val="en-US" w:eastAsia="zh-CN"/>
        </w:rPr>
        <w:t>58.承包人</w:t>
      </w:r>
      <w:r>
        <w:rPr>
          <w:rFonts w:hint="eastAsia" w:cs="Times New Roman"/>
          <w:b/>
          <w:bCs/>
          <w:color w:val="auto"/>
          <w:kern w:val="2"/>
          <w:sz w:val="21"/>
          <w:szCs w:val="21"/>
          <w:highlight w:val="none"/>
          <w:u w:val="single"/>
        </w:rPr>
        <w:t>在投标时需认真勘察现场，消防点位需接入原消防系统，需与原消防主机兼容，此费用含在投标报价内，结算时不予调整。</w:t>
      </w:r>
    </w:p>
    <w:p>
      <w:pPr>
        <w:autoSpaceDE w:val="0"/>
        <w:autoSpaceDN w:val="0"/>
        <w:adjustRightInd w:val="0"/>
        <w:spacing w:line="440" w:lineRule="exact"/>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lang w:val="en-US" w:eastAsia="zh-CN"/>
        </w:rPr>
        <w:t>59</w:t>
      </w:r>
      <w:r>
        <w:rPr>
          <w:rFonts w:hint="eastAsia" w:ascii="宋体" w:hAnsi="宋体"/>
          <w:color w:val="auto"/>
          <w:szCs w:val="21"/>
          <w:highlight w:val="none"/>
          <w:u w:val="single"/>
        </w:rPr>
        <w:t>.招标文件约定的内容均作为本合同的附件。</w:t>
      </w:r>
      <w:bookmarkStart w:id="562" w:name="_Toc351203652"/>
    </w:p>
    <w:p>
      <w:pPr>
        <w:spacing w:line="400" w:lineRule="atLeast"/>
        <w:jc w:val="left"/>
        <w:rPr>
          <w:rFonts w:ascii="宋体" w:hAnsi="宋体"/>
          <w:b/>
          <w:color w:val="auto"/>
          <w:szCs w:val="21"/>
          <w:highlight w:val="none"/>
        </w:rPr>
      </w:pPr>
      <w:r>
        <w:rPr>
          <w:rFonts w:hint="eastAsia" w:ascii="宋体" w:hAnsi="宋体"/>
          <w:b/>
          <w:color w:val="auto"/>
          <w:szCs w:val="21"/>
          <w:highlight w:val="none"/>
        </w:rPr>
        <w:t>附件</w:t>
      </w:r>
      <w:bookmarkEnd w:id="562"/>
    </w:p>
    <w:p>
      <w:pPr>
        <w:spacing w:line="400" w:lineRule="atLeast"/>
        <w:jc w:val="left"/>
        <w:rPr>
          <w:rFonts w:ascii="宋体" w:hAnsi="宋体"/>
          <w:b/>
          <w:color w:val="auto"/>
          <w:szCs w:val="21"/>
          <w:highlight w:val="none"/>
        </w:rPr>
      </w:pPr>
    </w:p>
    <w:p>
      <w:pPr>
        <w:spacing w:line="400" w:lineRule="atLeast"/>
        <w:jc w:val="left"/>
        <w:rPr>
          <w:rFonts w:ascii="宋体" w:hAnsi="宋体"/>
          <w:color w:val="auto"/>
          <w:szCs w:val="21"/>
          <w:highlight w:val="none"/>
        </w:rPr>
      </w:pPr>
      <w:r>
        <w:rPr>
          <w:rFonts w:hint="eastAsia" w:ascii="宋体" w:hAnsi="宋体"/>
          <w:color w:val="auto"/>
          <w:szCs w:val="21"/>
          <w:highlight w:val="none"/>
        </w:rPr>
        <w:t>协议书附件：</w:t>
      </w:r>
    </w:p>
    <w:p>
      <w:pPr>
        <w:spacing w:line="400" w:lineRule="atLeast"/>
        <w:jc w:val="left"/>
        <w:rPr>
          <w:rFonts w:ascii="宋体" w:hAnsi="宋体"/>
          <w:color w:val="auto"/>
          <w:szCs w:val="21"/>
          <w:highlight w:val="none"/>
        </w:rPr>
      </w:pPr>
      <w:r>
        <w:rPr>
          <w:rFonts w:hint="eastAsia" w:ascii="宋体" w:hAnsi="宋体"/>
          <w:color w:val="auto"/>
          <w:szCs w:val="21"/>
          <w:highlight w:val="none"/>
        </w:rPr>
        <w:t>附件1：承包人承揽工程项目一览表（略）</w:t>
      </w:r>
    </w:p>
    <w:p>
      <w:pPr>
        <w:spacing w:line="400" w:lineRule="atLeast"/>
        <w:jc w:val="left"/>
        <w:rPr>
          <w:rFonts w:ascii="宋体" w:hAnsi="宋体"/>
          <w:color w:val="auto"/>
          <w:szCs w:val="21"/>
          <w:highlight w:val="none"/>
        </w:rPr>
      </w:pPr>
      <w:r>
        <w:rPr>
          <w:rFonts w:hint="eastAsia" w:ascii="宋体" w:hAnsi="宋体"/>
          <w:color w:val="auto"/>
          <w:szCs w:val="21"/>
          <w:highlight w:val="none"/>
        </w:rPr>
        <w:t>专用合同条款附件：</w:t>
      </w:r>
    </w:p>
    <w:p>
      <w:pPr>
        <w:spacing w:line="400" w:lineRule="atLeast"/>
        <w:jc w:val="left"/>
        <w:rPr>
          <w:rFonts w:ascii="宋体" w:hAnsi="宋体"/>
          <w:color w:val="auto"/>
          <w:szCs w:val="21"/>
          <w:highlight w:val="none"/>
        </w:rPr>
      </w:pPr>
      <w:r>
        <w:rPr>
          <w:rFonts w:hint="eastAsia" w:ascii="宋体" w:hAnsi="宋体"/>
          <w:color w:val="auto"/>
          <w:szCs w:val="21"/>
          <w:highlight w:val="none"/>
        </w:rPr>
        <w:t>附件2：发包人供应材料设备一览表（略）</w:t>
      </w:r>
    </w:p>
    <w:p>
      <w:pPr>
        <w:spacing w:line="400" w:lineRule="atLeast"/>
        <w:jc w:val="left"/>
        <w:rPr>
          <w:rFonts w:ascii="宋体" w:hAnsi="宋体"/>
          <w:color w:val="auto"/>
          <w:szCs w:val="21"/>
          <w:highlight w:val="none"/>
        </w:rPr>
      </w:pPr>
      <w:r>
        <w:rPr>
          <w:rFonts w:hint="eastAsia" w:ascii="宋体" w:hAnsi="宋体"/>
          <w:color w:val="auto"/>
          <w:szCs w:val="21"/>
          <w:highlight w:val="none"/>
        </w:rPr>
        <w:t>附件3：工程质量保修书</w:t>
      </w:r>
    </w:p>
    <w:p>
      <w:pPr>
        <w:spacing w:line="400" w:lineRule="atLeast"/>
        <w:jc w:val="left"/>
        <w:rPr>
          <w:rFonts w:ascii="宋体" w:hAnsi="宋体"/>
          <w:color w:val="auto"/>
          <w:szCs w:val="21"/>
          <w:highlight w:val="none"/>
        </w:rPr>
      </w:pPr>
      <w:r>
        <w:rPr>
          <w:rFonts w:hint="eastAsia" w:ascii="宋体" w:hAnsi="宋体"/>
          <w:color w:val="auto"/>
          <w:szCs w:val="21"/>
          <w:highlight w:val="none"/>
        </w:rPr>
        <w:t>附件4：廉政合同</w:t>
      </w:r>
    </w:p>
    <w:p>
      <w:pPr>
        <w:spacing w:line="400" w:lineRule="atLeast"/>
        <w:jc w:val="left"/>
        <w:rPr>
          <w:rFonts w:ascii="宋体" w:hAnsi="宋体"/>
          <w:color w:val="auto"/>
          <w:szCs w:val="21"/>
          <w:highlight w:val="none"/>
        </w:rPr>
      </w:pPr>
      <w:r>
        <w:rPr>
          <w:rFonts w:hint="eastAsia" w:ascii="宋体" w:hAnsi="宋体"/>
          <w:color w:val="auto"/>
          <w:szCs w:val="21"/>
          <w:highlight w:val="none"/>
        </w:rPr>
        <w:t>附件5：计划投入的主要施工机械设备表</w:t>
      </w:r>
    </w:p>
    <w:p>
      <w:pPr>
        <w:spacing w:line="400" w:lineRule="atLeast"/>
        <w:jc w:val="left"/>
        <w:rPr>
          <w:rFonts w:ascii="宋体" w:hAnsi="宋体"/>
          <w:color w:val="auto"/>
          <w:szCs w:val="21"/>
          <w:highlight w:val="none"/>
        </w:rPr>
      </w:pPr>
      <w:r>
        <w:rPr>
          <w:rFonts w:hint="eastAsia" w:ascii="宋体" w:hAnsi="宋体"/>
          <w:color w:val="auto"/>
          <w:szCs w:val="21"/>
          <w:highlight w:val="none"/>
        </w:rPr>
        <w:t>附件6：主要施工管理人员表</w:t>
      </w:r>
    </w:p>
    <w:p>
      <w:pPr>
        <w:spacing w:line="400" w:lineRule="atLeast"/>
        <w:jc w:val="left"/>
        <w:rPr>
          <w:rFonts w:ascii="宋体" w:hAnsi="宋体"/>
          <w:color w:val="auto"/>
          <w:szCs w:val="21"/>
          <w:highlight w:val="none"/>
        </w:rPr>
      </w:pPr>
      <w:r>
        <w:rPr>
          <w:rFonts w:hint="eastAsia" w:ascii="宋体" w:hAnsi="宋体"/>
          <w:color w:val="auto"/>
          <w:szCs w:val="21"/>
          <w:highlight w:val="none"/>
        </w:rPr>
        <w:t>附件7：安全生产协议书</w:t>
      </w:r>
    </w:p>
    <w:p>
      <w:pPr>
        <w:spacing w:line="440" w:lineRule="exact"/>
        <w:rPr>
          <w:rFonts w:ascii="宋体" w:hAnsi="宋体"/>
          <w:color w:val="auto"/>
          <w:szCs w:val="21"/>
          <w:highlight w:val="none"/>
        </w:rPr>
      </w:pPr>
      <w:r>
        <w:rPr>
          <w:rFonts w:ascii="宋体" w:hAnsi="宋体"/>
          <w:color w:val="auto"/>
          <w:szCs w:val="21"/>
          <w:highlight w:val="none"/>
        </w:rPr>
        <w:br w:type="page"/>
      </w:r>
      <w:r>
        <w:rPr>
          <w:rFonts w:ascii="宋体" w:hAnsi="宋体"/>
          <w:color w:val="auto"/>
          <w:szCs w:val="21"/>
          <w:highlight w:val="none"/>
        </w:rPr>
        <w:t xml:space="preserve">附件3：    </w:t>
      </w:r>
    </w:p>
    <w:p>
      <w:pPr>
        <w:spacing w:before="120" w:beforeLines="50" w:after="120" w:afterLines="50" w:line="440" w:lineRule="exact"/>
        <w:jc w:val="center"/>
        <w:rPr>
          <w:rFonts w:ascii="宋体" w:hAnsi="宋体"/>
          <w:color w:val="auto"/>
          <w:szCs w:val="21"/>
          <w:highlight w:val="none"/>
        </w:rPr>
      </w:pPr>
      <w:r>
        <w:rPr>
          <w:rFonts w:ascii="宋体" w:hAnsi="宋体"/>
          <w:color w:val="auto"/>
          <w:szCs w:val="21"/>
          <w:highlight w:val="none"/>
        </w:rPr>
        <w:t>工程质量保修书</w:t>
      </w:r>
    </w:p>
    <w:p>
      <w:pPr>
        <w:pStyle w:val="288"/>
        <w:spacing w:line="420" w:lineRule="exact"/>
        <w:ind w:firstLine="436" w:firstLineChars="208"/>
        <w:rPr>
          <w:rStyle w:val="186"/>
          <w:rFonts w:ascii="宋体"/>
          <w:i w:val="0"/>
          <w:iCs/>
          <w:color w:val="auto"/>
          <w:sz w:val="21"/>
          <w:szCs w:val="21"/>
          <w:highlight w:val="none"/>
        </w:rPr>
      </w:pPr>
      <w:r>
        <w:rPr>
          <w:rFonts w:hint="eastAsia" w:ascii="宋体"/>
          <w:i w:val="0"/>
          <w:iCs/>
          <w:color w:val="auto"/>
          <w:sz w:val="21"/>
          <w:szCs w:val="21"/>
          <w:highlight w:val="none"/>
        </w:rPr>
        <w:t>发包人：（全称）：</w:t>
      </w:r>
      <w:r>
        <w:rPr>
          <w:rFonts w:hint="eastAsia" w:ascii="宋体" w:cs="MingLiU_HKSCS"/>
          <w:i w:val="0"/>
          <w:iCs/>
          <w:color w:val="auto"/>
          <w:sz w:val="21"/>
          <w:szCs w:val="21"/>
          <w:highlight w:val="none"/>
          <w:u w:val="single"/>
        </w:rPr>
        <w:t xml:space="preserve">       </w:t>
      </w:r>
    </w:p>
    <w:p>
      <w:pPr>
        <w:pStyle w:val="288"/>
        <w:spacing w:line="420" w:lineRule="exact"/>
        <w:ind w:firstLine="420" w:firstLineChars="200"/>
        <w:rPr>
          <w:rStyle w:val="186"/>
          <w:rFonts w:ascii="宋体"/>
          <w:i w:val="0"/>
          <w:color w:val="auto"/>
          <w:sz w:val="21"/>
          <w:szCs w:val="21"/>
          <w:highlight w:val="none"/>
        </w:rPr>
      </w:pPr>
      <w:r>
        <w:rPr>
          <w:rStyle w:val="186"/>
          <w:rFonts w:hint="eastAsia" w:ascii="宋体"/>
          <w:i w:val="0"/>
          <w:color w:val="auto"/>
          <w:sz w:val="21"/>
          <w:szCs w:val="21"/>
          <w:highlight w:val="none"/>
        </w:rPr>
        <w:t>承包人(全称)：</w:t>
      </w:r>
    </w:p>
    <w:p>
      <w:pPr>
        <w:spacing w:line="420" w:lineRule="exact"/>
        <w:ind w:firstLine="420" w:firstLineChars="200"/>
        <w:rPr>
          <w:rFonts w:ascii="宋体" w:hAnsi="宋体"/>
          <w:color w:val="auto"/>
          <w:szCs w:val="21"/>
          <w:highlight w:val="none"/>
        </w:rPr>
      </w:pP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承包人根据《中华人民共和国建筑法》和《建设工程质量管理条例》，经协商一致就</w:t>
      </w:r>
      <w:r>
        <w:rPr>
          <w:rFonts w:hint="eastAsia" w:ascii="宋体" w:hAnsi="宋体"/>
          <w:color w:val="auto"/>
          <w:szCs w:val="21"/>
          <w:highlight w:val="none"/>
          <w:u w:val="single"/>
        </w:rPr>
        <w:t>（工程全称）</w:t>
      </w:r>
      <w:r>
        <w:rPr>
          <w:rFonts w:hint="eastAsia" w:ascii="宋体" w:hAnsi="宋体"/>
          <w:color w:val="auto"/>
          <w:szCs w:val="21"/>
          <w:highlight w:val="none"/>
        </w:rPr>
        <w:t>签订工程质量保修书。</w:t>
      </w:r>
    </w:p>
    <w:p>
      <w:pPr>
        <w:spacing w:line="360" w:lineRule="auto"/>
        <w:rPr>
          <w:rFonts w:ascii="宋体" w:hAnsi="宋体"/>
          <w:color w:val="auto"/>
          <w:szCs w:val="21"/>
          <w:highlight w:val="none"/>
        </w:rPr>
      </w:pPr>
      <w:r>
        <w:rPr>
          <w:rFonts w:hint="eastAsia" w:ascii="宋体" w:hAnsi="宋体"/>
          <w:color w:val="auto"/>
          <w:szCs w:val="21"/>
          <w:highlight w:val="none"/>
        </w:rPr>
        <w:t>　　一、工程质量保修范围和内容</w:t>
      </w:r>
    </w:p>
    <w:p>
      <w:pPr>
        <w:spacing w:line="360" w:lineRule="auto"/>
        <w:rPr>
          <w:rFonts w:ascii="宋体" w:hAnsi="宋体"/>
          <w:color w:val="auto"/>
          <w:szCs w:val="21"/>
          <w:highlight w:val="none"/>
        </w:rPr>
      </w:pPr>
      <w:r>
        <w:rPr>
          <w:rFonts w:hint="eastAsia" w:ascii="宋体" w:hAnsi="宋体"/>
          <w:color w:val="auto"/>
          <w:szCs w:val="21"/>
          <w:highlight w:val="none"/>
        </w:rPr>
        <w:t>　　承包人在质量保修期内，按照有关法律规定和合同约定，承担工程质量保修责任。</w:t>
      </w:r>
    </w:p>
    <w:p>
      <w:pPr>
        <w:spacing w:line="360" w:lineRule="auto"/>
        <w:rPr>
          <w:rFonts w:ascii="宋体" w:hAnsi="宋体"/>
          <w:color w:val="auto"/>
          <w:szCs w:val="21"/>
          <w:highlight w:val="none"/>
          <w:u w:val="single"/>
        </w:rPr>
      </w:pPr>
      <w:r>
        <w:rPr>
          <w:rFonts w:hint="eastAsia" w:ascii="宋体" w:hAnsi="宋体"/>
          <w:color w:val="auto"/>
          <w:szCs w:val="21"/>
          <w:highlight w:val="none"/>
        </w:rPr>
        <w:t>　　具体保修的内容，双方约定如下：</w:t>
      </w:r>
    </w:p>
    <w:p>
      <w:pPr>
        <w:spacing w:line="360" w:lineRule="auto"/>
        <w:rPr>
          <w:rFonts w:ascii="宋体" w:hAnsi="宋体"/>
          <w:color w:val="auto"/>
          <w:szCs w:val="21"/>
          <w:highlight w:val="none"/>
        </w:rPr>
      </w:pPr>
      <w:r>
        <w:rPr>
          <w:rFonts w:hint="eastAsia" w:ascii="宋体" w:hAnsi="宋体"/>
          <w:color w:val="auto"/>
          <w:szCs w:val="21"/>
          <w:highlight w:val="none"/>
        </w:rPr>
        <w:t>　　二、质量保修期</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根据《建设工程质量管理条例》及有关规定，工程的质量保修期如下：</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1．地基基础工程和主体结构工程为设计文件规定的工程合理使用年限；</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 xml:space="preserve">2．屋面防水工程、有防水要求的人防、卫生间、房间和外墙面的防渗为 </w:t>
      </w:r>
      <w:r>
        <w:rPr>
          <w:rFonts w:hint="eastAsia" w:ascii="宋体" w:hAnsi="宋体"/>
          <w:color w:val="auto"/>
          <w:szCs w:val="21"/>
          <w:highlight w:val="none"/>
          <w:u w:val="single"/>
        </w:rPr>
        <w:t xml:space="preserve"> 5  </w:t>
      </w:r>
      <w:r>
        <w:rPr>
          <w:rFonts w:hint="eastAsia" w:ascii="宋体" w:hAnsi="宋体"/>
          <w:color w:val="auto"/>
          <w:szCs w:val="21"/>
          <w:highlight w:val="none"/>
        </w:rPr>
        <w:t>年；</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3．装修工程为</w:t>
      </w:r>
      <w:r>
        <w:rPr>
          <w:rFonts w:hint="eastAsia" w:ascii="宋体" w:hAnsi="宋体"/>
          <w:color w:val="auto"/>
          <w:szCs w:val="21"/>
          <w:highlight w:val="none"/>
          <w:u w:val="single"/>
        </w:rPr>
        <w:t xml:space="preserve">  2 </w:t>
      </w:r>
      <w:r>
        <w:rPr>
          <w:rFonts w:hint="eastAsia" w:ascii="宋体" w:hAnsi="宋体"/>
          <w:color w:val="auto"/>
          <w:szCs w:val="21"/>
          <w:highlight w:val="none"/>
        </w:rPr>
        <w:t>年；</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 xml:space="preserve">4．电气管线、给排水管道、设备安装工程为 </w:t>
      </w:r>
      <w:r>
        <w:rPr>
          <w:rFonts w:hint="eastAsia" w:ascii="宋体" w:hAnsi="宋体"/>
          <w:color w:val="auto"/>
          <w:szCs w:val="21"/>
          <w:highlight w:val="none"/>
          <w:u w:val="single"/>
        </w:rPr>
        <w:t xml:space="preserve">  2  </w:t>
      </w:r>
      <w:r>
        <w:rPr>
          <w:rFonts w:hint="eastAsia" w:ascii="宋体" w:hAnsi="宋体"/>
          <w:color w:val="auto"/>
          <w:szCs w:val="21"/>
          <w:highlight w:val="none"/>
        </w:rPr>
        <w:t>年；</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5．供热与供冷系统为</w:t>
      </w:r>
      <w:r>
        <w:rPr>
          <w:rFonts w:hint="eastAsia" w:ascii="宋体" w:hAnsi="宋体"/>
          <w:color w:val="auto"/>
          <w:szCs w:val="21"/>
          <w:highlight w:val="none"/>
          <w:u w:val="single"/>
        </w:rPr>
        <w:t xml:space="preserve">  2 个</w:t>
      </w:r>
      <w:r>
        <w:rPr>
          <w:rFonts w:hint="eastAsia" w:ascii="宋体" w:hAnsi="宋体"/>
          <w:color w:val="auto"/>
          <w:szCs w:val="21"/>
          <w:highlight w:val="none"/>
        </w:rPr>
        <w:t>采暖期、供冷期；</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6．给排水设施、道路等配套工程为</w:t>
      </w:r>
      <w:r>
        <w:rPr>
          <w:rFonts w:hint="eastAsia" w:ascii="宋体" w:hAnsi="宋体"/>
          <w:color w:val="auto"/>
          <w:szCs w:val="21"/>
          <w:highlight w:val="none"/>
          <w:u w:val="single"/>
        </w:rPr>
        <w:t xml:space="preserve">   2   </w:t>
      </w:r>
      <w:r>
        <w:rPr>
          <w:rFonts w:hint="eastAsia" w:ascii="宋体" w:hAnsi="宋体"/>
          <w:color w:val="auto"/>
          <w:szCs w:val="21"/>
          <w:highlight w:val="none"/>
        </w:rPr>
        <w:t>年；</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 xml:space="preserve">7．其他项目保修期限约定如下：  </w:t>
      </w:r>
      <w:r>
        <w:rPr>
          <w:rFonts w:hint="eastAsia" w:ascii="宋体" w:hAnsi="宋体"/>
          <w:color w:val="auto"/>
          <w:szCs w:val="21"/>
          <w:highlight w:val="none"/>
          <w:u w:val="single"/>
        </w:rPr>
        <w:t xml:space="preserve"> 本工程保修期为2年   </w:t>
      </w:r>
      <w:r>
        <w:rPr>
          <w:rFonts w:hint="eastAsia" w:ascii="宋体" w:hAnsi="宋体"/>
          <w:color w:val="auto"/>
          <w:szCs w:val="21"/>
          <w:highlight w:val="none"/>
        </w:rPr>
        <w:t xml:space="preserve"> 。</w:t>
      </w:r>
    </w:p>
    <w:p>
      <w:pPr>
        <w:spacing w:line="360" w:lineRule="auto"/>
        <w:rPr>
          <w:rFonts w:ascii="宋体" w:hAnsi="宋体"/>
          <w:b/>
          <w:color w:val="auto"/>
          <w:szCs w:val="21"/>
          <w:highlight w:val="none"/>
        </w:rPr>
      </w:pPr>
      <w:r>
        <w:rPr>
          <w:rFonts w:hint="eastAsia" w:ascii="宋体" w:hAnsi="宋体"/>
          <w:color w:val="auto"/>
          <w:szCs w:val="21"/>
          <w:highlight w:val="none"/>
        </w:rPr>
        <w:t xml:space="preserve">　　 </w:t>
      </w:r>
      <w:r>
        <w:rPr>
          <w:rFonts w:hint="eastAsia" w:ascii="宋体" w:hAnsi="宋体"/>
          <w:b/>
          <w:color w:val="auto"/>
          <w:szCs w:val="21"/>
          <w:highlight w:val="none"/>
        </w:rPr>
        <w:t xml:space="preserve"> 质量保修期自工程竣工验收合格之日起计算。</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三、缺陷责任期</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工程缺陷责任期为</w:t>
      </w:r>
      <w:r>
        <w:rPr>
          <w:rFonts w:hint="eastAsia" w:ascii="宋体" w:hAnsi="宋体"/>
          <w:b/>
          <w:color w:val="auto"/>
          <w:szCs w:val="21"/>
          <w:highlight w:val="none"/>
          <w:u w:val="single"/>
        </w:rPr>
        <w:t xml:space="preserve">二十四 </w:t>
      </w:r>
      <w:r>
        <w:rPr>
          <w:rFonts w:hint="eastAsia" w:ascii="宋体" w:hAnsi="宋体"/>
          <w:color w:val="auto"/>
          <w:szCs w:val="21"/>
          <w:highlight w:val="none"/>
        </w:rPr>
        <w:t>个月，缺陷责任期自工程竣工验收合格之日起计算。单位工程先于全部工程进行验收，单位工程缺陷责任期自单位工程验收合格之日起算。</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缺陷责任期终止后，发包人应退还剩余的质量保修金。</w:t>
      </w:r>
    </w:p>
    <w:p>
      <w:pPr>
        <w:spacing w:line="360" w:lineRule="auto"/>
        <w:rPr>
          <w:rFonts w:ascii="宋体" w:hAnsi="宋体"/>
          <w:color w:val="auto"/>
          <w:szCs w:val="21"/>
          <w:highlight w:val="none"/>
        </w:rPr>
      </w:pPr>
      <w:r>
        <w:rPr>
          <w:rFonts w:hint="eastAsia" w:ascii="宋体" w:hAnsi="宋体"/>
          <w:color w:val="auto"/>
          <w:szCs w:val="21"/>
          <w:highlight w:val="none"/>
        </w:rPr>
        <w:t xml:space="preserve">    四、质量保修责任</w:t>
      </w:r>
    </w:p>
    <w:p>
      <w:pPr>
        <w:spacing w:line="360" w:lineRule="auto"/>
        <w:ind w:left="105" w:leftChars="50" w:firstLine="430" w:firstLineChars="205"/>
        <w:rPr>
          <w:rFonts w:ascii="宋体" w:hAnsi="宋体"/>
          <w:color w:val="auto"/>
          <w:szCs w:val="21"/>
          <w:highlight w:val="none"/>
        </w:rPr>
      </w:pPr>
      <w:r>
        <w:rPr>
          <w:rFonts w:hint="eastAsia" w:ascii="宋体" w:hAnsi="宋体"/>
          <w:color w:val="auto"/>
          <w:szCs w:val="21"/>
          <w:highlight w:val="none"/>
        </w:rPr>
        <w:t>1．属于保修范围、内容的项目，承包人应当在接到保修通知之日起1天内派人保修。承包人不在约定期限内派人保修的，发包人可以委托他人修理。</w:t>
      </w:r>
    </w:p>
    <w:p>
      <w:pPr>
        <w:spacing w:line="360" w:lineRule="auto"/>
        <w:ind w:left="105" w:leftChars="50" w:firstLine="430" w:firstLineChars="205"/>
        <w:rPr>
          <w:rFonts w:ascii="宋体" w:hAnsi="宋体"/>
          <w:color w:val="auto"/>
          <w:szCs w:val="21"/>
          <w:highlight w:val="none"/>
        </w:rPr>
      </w:pPr>
      <w:r>
        <w:rPr>
          <w:rFonts w:hint="eastAsia" w:ascii="宋体" w:hAnsi="宋体"/>
          <w:color w:val="auto"/>
          <w:szCs w:val="21"/>
          <w:highlight w:val="none"/>
        </w:rPr>
        <w:t>2．发生紧急事故需抢修的，承包人在接到事故通知后，应当立即到达事故现场抢修。</w:t>
      </w:r>
    </w:p>
    <w:p>
      <w:pPr>
        <w:spacing w:line="360" w:lineRule="auto"/>
        <w:ind w:left="105" w:leftChars="50" w:firstLine="430" w:firstLineChars="205"/>
        <w:rPr>
          <w:rFonts w:ascii="宋体" w:hAnsi="宋体"/>
          <w:color w:val="auto"/>
          <w:szCs w:val="21"/>
          <w:highlight w:val="none"/>
        </w:rPr>
      </w:pPr>
      <w:r>
        <w:rPr>
          <w:rFonts w:hint="eastAsia" w:ascii="宋体" w:hAnsi="宋体"/>
          <w:color w:val="auto"/>
          <w:szCs w:val="21"/>
          <w:highlight w:val="none"/>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pPr>
        <w:spacing w:line="360" w:lineRule="auto"/>
        <w:ind w:left="105" w:leftChars="50" w:firstLine="430" w:firstLineChars="205"/>
        <w:rPr>
          <w:rFonts w:ascii="宋体" w:hAnsi="宋体"/>
          <w:color w:val="auto"/>
          <w:szCs w:val="21"/>
          <w:highlight w:val="none"/>
        </w:rPr>
      </w:pPr>
      <w:r>
        <w:rPr>
          <w:rFonts w:hint="eastAsia" w:ascii="宋体" w:hAnsi="宋体"/>
          <w:color w:val="auto"/>
          <w:szCs w:val="21"/>
          <w:highlight w:val="none"/>
        </w:rPr>
        <w:t>4．因承包人原因致使工程在设计使用期内造成人身和财产损害的，承包人应承担损害赔偿责任。</w:t>
      </w:r>
    </w:p>
    <w:p>
      <w:pPr>
        <w:spacing w:line="360" w:lineRule="auto"/>
        <w:rPr>
          <w:rFonts w:ascii="宋体" w:hAnsi="宋体"/>
          <w:color w:val="auto"/>
          <w:szCs w:val="21"/>
          <w:highlight w:val="none"/>
        </w:rPr>
      </w:pPr>
      <w:r>
        <w:rPr>
          <w:rFonts w:hint="eastAsia" w:ascii="宋体" w:hAnsi="宋体"/>
          <w:color w:val="auto"/>
          <w:szCs w:val="21"/>
          <w:highlight w:val="none"/>
        </w:rPr>
        <w:t>5.质量保修完成后，由发包人组织验收。</w:t>
      </w:r>
    </w:p>
    <w:p>
      <w:pPr>
        <w:spacing w:line="360" w:lineRule="auto"/>
        <w:rPr>
          <w:rFonts w:ascii="宋体" w:hAnsi="宋体"/>
          <w:color w:val="auto"/>
          <w:szCs w:val="21"/>
          <w:highlight w:val="none"/>
        </w:rPr>
      </w:pPr>
      <w:r>
        <w:rPr>
          <w:rFonts w:hint="eastAsia" w:ascii="宋体" w:hAnsi="宋体"/>
          <w:color w:val="auto"/>
          <w:szCs w:val="21"/>
          <w:highlight w:val="none"/>
        </w:rPr>
        <w:t>　五、保修费用</w:t>
      </w:r>
    </w:p>
    <w:p>
      <w:pPr>
        <w:spacing w:line="360" w:lineRule="auto"/>
        <w:ind w:firstLine="210" w:firstLineChars="100"/>
        <w:rPr>
          <w:rFonts w:ascii="宋体" w:hAnsi="宋体"/>
          <w:color w:val="auto"/>
          <w:szCs w:val="21"/>
          <w:highlight w:val="none"/>
        </w:rPr>
      </w:pPr>
      <w:r>
        <w:rPr>
          <w:rFonts w:hint="eastAsia" w:ascii="宋体" w:hAnsi="宋体"/>
          <w:color w:val="auto"/>
          <w:szCs w:val="21"/>
          <w:highlight w:val="none"/>
        </w:rPr>
        <w:t>保修费用由造成质量缺陷的责任方承担，工程质量保修金为最终确认结算价的3% 。</w:t>
      </w:r>
    </w:p>
    <w:p>
      <w:pPr>
        <w:spacing w:line="360" w:lineRule="auto"/>
        <w:ind w:firstLine="211" w:firstLineChars="100"/>
        <w:rPr>
          <w:rFonts w:ascii="宋体" w:hAnsi="宋体"/>
          <w:color w:val="auto"/>
          <w:szCs w:val="21"/>
          <w:highlight w:val="none"/>
        </w:rPr>
      </w:pPr>
      <w:r>
        <w:rPr>
          <w:rFonts w:hint="eastAsia" w:ascii="宋体" w:hAnsi="宋体"/>
          <w:b/>
          <w:color w:val="auto"/>
          <w:szCs w:val="21"/>
          <w:highlight w:val="none"/>
        </w:rPr>
        <w:t>六</w:t>
      </w:r>
      <w:r>
        <w:rPr>
          <w:rFonts w:hint="eastAsia" w:ascii="宋体" w:hAnsi="宋体"/>
          <w:color w:val="auto"/>
          <w:szCs w:val="21"/>
          <w:highlight w:val="none"/>
        </w:rPr>
        <w:t>、双方约定的其他工程质量保修事项：</w:t>
      </w:r>
    </w:p>
    <w:p>
      <w:pPr>
        <w:spacing w:line="360" w:lineRule="auto"/>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（1）工程保修期内，承包人委托一名代表专职处理本工程的维修工作。</w:t>
      </w:r>
    </w:p>
    <w:p>
      <w:pPr>
        <w:spacing w:line="360" w:lineRule="auto"/>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（2）本合同约定的质量保修金银行利率为0。</w:t>
      </w:r>
    </w:p>
    <w:p>
      <w:pPr>
        <w:spacing w:line="360" w:lineRule="auto"/>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（3）承包人实施工程质量保修须遵守有关规定。</w:t>
      </w:r>
    </w:p>
    <w:p>
      <w:pPr>
        <w:spacing w:line="360" w:lineRule="auto"/>
        <w:ind w:firstLine="420" w:firstLineChars="200"/>
        <w:jc w:val="left"/>
        <w:rPr>
          <w:rFonts w:ascii="宋体" w:hAnsi="宋体"/>
          <w:color w:val="auto"/>
          <w:szCs w:val="21"/>
          <w:highlight w:val="none"/>
          <w:u w:val="single"/>
        </w:rPr>
      </w:pPr>
      <w:r>
        <w:rPr>
          <w:rFonts w:hint="eastAsia" w:ascii="宋体" w:hAnsi="宋体"/>
          <w:color w:val="auto"/>
          <w:szCs w:val="21"/>
          <w:highlight w:val="none"/>
          <w:u w:val="single"/>
        </w:rPr>
        <w:t>（4）因承包人未能及时履行保修责任引起发包人的一切损失，均由承包人承担，发生的保修费用由发包人从保修金中抵扣。不足部分，由承包人承担。</w:t>
      </w:r>
    </w:p>
    <w:p>
      <w:pPr>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 xml:space="preserve"> 本工程质量保修书，由施工合同发包人、承包人双方在竣工验收前共同签署，作为施工合同附件，其有效期限至保修期满</w:t>
      </w:r>
    </w:p>
    <w:p>
      <w:pPr>
        <w:pStyle w:val="288"/>
        <w:spacing w:line="420" w:lineRule="exact"/>
        <w:rPr>
          <w:rStyle w:val="186"/>
          <w:rFonts w:ascii="宋体"/>
          <w:i w:val="0"/>
          <w:color w:val="auto"/>
          <w:sz w:val="21"/>
          <w:szCs w:val="21"/>
          <w:highlight w:val="none"/>
        </w:rPr>
      </w:pPr>
    </w:p>
    <w:p>
      <w:pPr>
        <w:pStyle w:val="288"/>
        <w:spacing w:line="420" w:lineRule="exact"/>
        <w:ind w:firstLine="420" w:firstLineChars="200"/>
        <w:rPr>
          <w:rFonts w:ascii="宋体"/>
          <w:i w:val="0"/>
          <w:color w:val="auto"/>
          <w:kern w:val="2"/>
          <w:sz w:val="21"/>
          <w:szCs w:val="21"/>
          <w:highlight w:val="none"/>
        </w:rPr>
      </w:pPr>
      <w:r>
        <w:rPr>
          <w:rFonts w:hint="eastAsia" w:ascii="宋体"/>
          <w:i w:val="0"/>
          <w:color w:val="auto"/>
          <w:kern w:val="2"/>
          <w:sz w:val="21"/>
          <w:szCs w:val="21"/>
          <w:highlight w:val="none"/>
        </w:rPr>
        <w:t xml:space="preserve">发包人(公章)：                   承包人(公章)：            </w:t>
      </w:r>
    </w:p>
    <w:p>
      <w:pPr>
        <w:pStyle w:val="288"/>
        <w:spacing w:line="420" w:lineRule="exact"/>
        <w:ind w:firstLine="420" w:firstLineChars="200"/>
        <w:rPr>
          <w:rFonts w:ascii="宋体"/>
          <w:i w:val="0"/>
          <w:color w:val="auto"/>
          <w:kern w:val="2"/>
          <w:sz w:val="21"/>
          <w:szCs w:val="21"/>
          <w:highlight w:val="none"/>
        </w:rPr>
      </w:pPr>
    </w:p>
    <w:p>
      <w:pPr>
        <w:pStyle w:val="288"/>
        <w:spacing w:line="420" w:lineRule="exact"/>
        <w:ind w:right="-512" w:rightChars="-244" w:firstLine="420" w:firstLineChars="200"/>
        <w:rPr>
          <w:rFonts w:ascii="宋体"/>
          <w:i w:val="0"/>
          <w:color w:val="auto"/>
          <w:kern w:val="2"/>
          <w:sz w:val="21"/>
          <w:szCs w:val="21"/>
          <w:highlight w:val="none"/>
        </w:rPr>
      </w:pPr>
      <w:r>
        <w:rPr>
          <w:rFonts w:hint="eastAsia" w:ascii="宋体"/>
          <w:i w:val="0"/>
          <w:color w:val="auto"/>
          <w:kern w:val="2"/>
          <w:sz w:val="21"/>
          <w:szCs w:val="21"/>
          <w:highlight w:val="none"/>
        </w:rPr>
        <w:t xml:space="preserve">法定代表人(签字或盖章)：         法定代表人(签字或盖章)： </w:t>
      </w:r>
    </w:p>
    <w:p>
      <w:pPr>
        <w:pStyle w:val="288"/>
        <w:spacing w:line="420" w:lineRule="exact"/>
        <w:ind w:firstLine="420" w:firstLineChars="200"/>
        <w:rPr>
          <w:rFonts w:ascii="宋体"/>
          <w:i w:val="0"/>
          <w:color w:val="auto"/>
          <w:kern w:val="2"/>
          <w:sz w:val="21"/>
          <w:szCs w:val="21"/>
          <w:highlight w:val="none"/>
        </w:rPr>
      </w:pPr>
    </w:p>
    <w:p>
      <w:pPr>
        <w:spacing w:line="440" w:lineRule="exact"/>
        <w:rPr>
          <w:rFonts w:ascii="宋体" w:hAnsi="宋体" w:cs="宋体"/>
          <w:color w:val="auto"/>
          <w:szCs w:val="21"/>
          <w:highlight w:val="none"/>
        </w:rPr>
      </w:pPr>
      <w:r>
        <w:rPr>
          <w:rFonts w:hint="eastAsia" w:ascii="宋体" w:hAnsi="宋体"/>
          <w:color w:val="auto"/>
          <w:szCs w:val="21"/>
          <w:highlight w:val="none"/>
        </w:rPr>
        <w:t xml:space="preserve">年  月  日                       年   月  日       </w:t>
      </w:r>
      <w:r>
        <w:rPr>
          <w:rFonts w:ascii="宋体" w:hAnsi="宋体" w:cs="宋体"/>
          <w:color w:val="auto"/>
          <w:szCs w:val="21"/>
          <w:highlight w:val="none"/>
        </w:rPr>
        <w:br w:type="page"/>
      </w:r>
      <w:r>
        <w:rPr>
          <w:rFonts w:hint="eastAsia" w:ascii="宋体" w:hAnsi="宋体" w:cs="宋体"/>
          <w:color w:val="auto"/>
          <w:szCs w:val="21"/>
          <w:highlight w:val="none"/>
        </w:rPr>
        <w:t>附件4：</w:t>
      </w:r>
    </w:p>
    <w:p>
      <w:pPr>
        <w:autoSpaceDE w:val="0"/>
        <w:autoSpaceDN w:val="0"/>
        <w:adjustRightInd w:val="0"/>
        <w:spacing w:line="360" w:lineRule="auto"/>
        <w:ind w:firstLine="103" w:firstLineChars="49"/>
        <w:jc w:val="center"/>
        <w:rPr>
          <w:rFonts w:ascii="宋体" w:hAnsi="宋体" w:cs="宋体"/>
          <w:b/>
          <w:i/>
          <w:color w:val="auto"/>
          <w:szCs w:val="21"/>
          <w:highlight w:val="none"/>
        </w:rPr>
      </w:pPr>
      <w:r>
        <w:rPr>
          <w:rFonts w:hint="eastAsia" w:ascii="宋体" w:hAnsi="宋体" w:cs="宋体"/>
          <w:b/>
          <w:bCs/>
          <w:color w:val="auto"/>
          <w:szCs w:val="21"/>
          <w:highlight w:val="none"/>
        </w:rPr>
        <w:t>廉政合同</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发包人(全称)：</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承包人(全称)：</w:t>
      </w:r>
      <w:r>
        <w:rPr>
          <w:rFonts w:hint="eastAsia" w:ascii="宋体" w:hAnsi="宋体" w:cs="宋体"/>
          <w:b/>
          <w:bCs/>
          <w:color w:val="auto"/>
          <w:szCs w:val="21"/>
          <w:highlight w:val="none"/>
          <w:u w:val="single"/>
        </w:rPr>
        <w:t xml:space="preserve">（中标人名称）    </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根据国家、省工程建设和廉政建设的有关规定，为做好合同工程的廉政建设，保证工程质量与施工安全，提高建设资金的有效使用和投资效益，发包人、承包人就加强合同工程的廉政建设，订立本合同。</w:t>
      </w:r>
    </w:p>
    <w:p>
      <w:pPr>
        <w:spacing w:line="440" w:lineRule="exact"/>
        <w:ind w:firstLine="422" w:firstLineChars="200"/>
        <w:rPr>
          <w:rFonts w:ascii="宋体" w:hAnsi="宋体" w:cs="宋体"/>
          <w:b/>
          <w:bCs/>
          <w:color w:val="auto"/>
          <w:szCs w:val="21"/>
          <w:highlight w:val="none"/>
        </w:rPr>
      </w:pPr>
      <w:r>
        <w:rPr>
          <w:rFonts w:hint="eastAsia" w:ascii="宋体" w:hAnsi="宋体" w:cs="宋体"/>
          <w:b/>
          <w:bCs/>
          <w:color w:val="auto"/>
          <w:szCs w:val="21"/>
          <w:highlight w:val="none"/>
        </w:rPr>
        <w:t>1  双方权利和义务</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1.1严格遵守国家有关法律法规的规定。</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1.2严格执行一切合同文件，自觉按合同办事。</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1.3双方的业务活动坚持公平、公开、公正和诚信的原则（法律认定的商业秘密和合同文件另有规定除外），不得损害国家和集体利益，不得违反工程建设管理规章制度。</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1.4建立健全廉政制度，开展廉政教育，设立廉政告示牌，公布举报电话，监督并认真查处违法违纪行为。</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1.5发现对方在业务活动中有违反廉政建设规定的行为，应及时给予提醒和纠正。</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1.6发现对方严重违反合同的行为，有向其上级部门举报、建议给予处理并要求告知处理结果的权利。没有上级部门的，可按施工合同通用条款第70条规定处理。</w:t>
      </w:r>
    </w:p>
    <w:p>
      <w:pPr>
        <w:spacing w:line="440" w:lineRule="exact"/>
        <w:ind w:firstLine="422" w:firstLineChars="200"/>
        <w:rPr>
          <w:rFonts w:ascii="宋体" w:hAnsi="宋体" w:cs="宋体"/>
          <w:b/>
          <w:bCs/>
          <w:color w:val="auto"/>
          <w:szCs w:val="21"/>
          <w:highlight w:val="none"/>
        </w:rPr>
      </w:pPr>
      <w:r>
        <w:rPr>
          <w:rFonts w:hint="eastAsia" w:ascii="宋体" w:hAnsi="宋体" w:cs="宋体"/>
          <w:b/>
          <w:bCs/>
          <w:color w:val="auto"/>
          <w:szCs w:val="21"/>
          <w:highlight w:val="none"/>
        </w:rPr>
        <w:t>2发包人义务</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2.1发包人及其工作人员不得索要或接受承包人的礼金、有价证券和贵重物品，不得在承包人报销任何应由发包人或工作人员个人支付的费用等。</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2.2发包人及其工作人员不得参加承包人安排的宴请（工作餐除外）和娱乐活动；不得接受承包人提供的通讯工具、交通工具和高档办公用品等。</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2.3发包人及其工作人员不得要求或者接受承包人为其住房装修、婚丧嫁娶活动、配偶子女的工作安排以及出国出境、旅游等提供方便等。</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2.4 发包人及其工作人员及其配偶、子女不得从事与发包人有关的工程材料设备供应、工程分包、劳务等经济活动。</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2.5发包人及其工作人员不得以任何理由向承包人推荐分包单位或推销材料，不得要求承包人购买合同约定外的材料和设备。</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2.6发包人及其工作人员要秉公办事，不准营私舞弊，不准利用职权从事各种个人有偿中介活动。</w:t>
      </w:r>
    </w:p>
    <w:p>
      <w:pPr>
        <w:spacing w:line="440" w:lineRule="exact"/>
        <w:ind w:firstLine="422" w:firstLineChars="200"/>
        <w:rPr>
          <w:rFonts w:ascii="宋体" w:hAnsi="宋体" w:cs="宋体"/>
          <w:b/>
          <w:bCs/>
          <w:color w:val="auto"/>
          <w:szCs w:val="21"/>
          <w:highlight w:val="none"/>
        </w:rPr>
      </w:pPr>
      <w:r>
        <w:rPr>
          <w:rFonts w:hint="eastAsia" w:ascii="宋体" w:hAnsi="宋体" w:cs="宋体"/>
          <w:b/>
          <w:bCs/>
          <w:color w:val="auto"/>
          <w:szCs w:val="21"/>
          <w:highlight w:val="none"/>
        </w:rPr>
        <w:t>3承包人义务</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3.1承包人不得以任何理由向发包人及其工作人员行贿或馈赠礼金、有价证券、贵重礼品。</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3.2承包人不得以任何名义为发包人及其工作人员报销应由发包人或工作人员个人支付的任何费用。</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3.3承包人不得以任何理由安排发包人及其工作人员参加宴请（工作餐除外）及娱乐活动。</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3.4承包人不得为发包人和个人购置或提供通讯工具、交通工具和高档办公用品等。</w:t>
      </w:r>
    </w:p>
    <w:p>
      <w:pPr>
        <w:tabs>
          <w:tab w:val="left" w:pos="900"/>
        </w:tabs>
        <w:spacing w:line="440" w:lineRule="exact"/>
        <w:ind w:firstLine="422" w:firstLineChars="200"/>
        <w:rPr>
          <w:rFonts w:ascii="宋体" w:hAnsi="宋体" w:cs="宋体"/>
          <w:b/>
          <w:bCs/>
          <w:color w:val="auto"/>
          <w:szCs w:val="21"/>
          <w:highlight w:val="none"/>
        </w:rPr>
      </w:pPr>
      <w:r>
        <w:rPr>
          <w:rFonts w:hint="eastAsia" w:ascii="宋体" w:hAnsi="宋体" w:cs="宋体"/>
          <w:b/>
          <w:bCs/>
          <w:color w:val="auto"/>
          <w:szCs w:val="21"/>
          <w:highlight w:val="none"/>
        </w:rPr>
        <w:t>4违约责任</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4.1发包人及其工作人员违反本合同第1条和第2条规定，应依据有关规定给予廉政建设规定的处分；涉嫌犯罪的，移交司法机关追究刑事责任；给承包人造成经济损失的，应予赔偿。</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4.2承包人及其工作人员违反本合同第1条和第3条规定，应依据有关规定给予廉政建设规定的处分；给发包人造成经济损失的，应予赔偿；情节严重的，给予承包人一至三年内不得进入工程建设市场的处罚。</w:t>
      </w:r>
    </w:p>
    <w:p>
      <w:pPr>
        <w:spacing w:line="440" w:lineRule="exact"/>
        <w:ind w:firstLine="422" w:firstLineChars="200"/>
        <w:rPr>
          <w:rFonts w:ascii="宋体" w:hAnsi="宋体" w:cs="宋体"/>
          <w:b/>
          <w:bCs/>
          <w:color w:val="auto"/>
          <w:szCs w:val="21"/>
          <w:highlight w:val="none"/>
        </w:rPr>
      </w:pPr>
      <w:r>
        <w:rPr>
          <w:rFonts w:hint="eastAsia" w:ascii="宋体" w:hAnsi="宋体" w:cs="宋体"/>
          <w:b/>
          <w:bCs/>
          <w:color w:val="auto"/>
          <w:szCs w:val="21"/>
          <w:highlight w:val="none"/>
        </w:rPr>
        <w:t>5双方约定</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本合同由双方或其上级部门负责监督执行，并由双方或其上级部门相互约请对本合同执行情况进行检查。</w:t>
      </w:r>
    </w:p>
    <w:p>
      <w:pPr>
        <w:spacing w:line="440" w:lineRule="exact"/>
        <w:ind w:firstLine="422" w:firstLineChars="200"/>
        <w:rPr>
          <w:rFonts w:ascii="宋体" w:hAnsi="宋体" w:cs="宋体"/>
          <w:b/>
          <w:bCs/>
          <w:color w:val="auto"/>
          <w:szCs w:val="21"/>
          <w:highlight w:val="none"/>
        </w:rPr>
      </w:pPr>
      <w:r>
        <w:rPr>
          <w:rFonts w:hint="eastAsia" w:ascii="宋体" w:hAnsi="宋体" w:cs="宋体"/>
          <w:b/>
          <w:bCs/>
          <w:color w:val="auto"/>
          <w:szCs w:val="21"/>
          <w:highlight w:val="none"/>
        </w:rPr>
        <w:t>6合同生效</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本合同的有效期，自双方签署之日起至该主合同结束之日止。</w:t>
      </w:r>
    </w:p>
    <w:p>
      <w:pPr>
        <w:spacing w:line="440" w:lineRule="exact"/>
        <w:ind w:firstLine="422" w:firstLineChars="200"/>
        <w:rPr>
          <w:rFonts w:ascii="宋体" w:hAnsi="宋体" w:cs="宋体"/>
          <w:b/>
          <w:bCs/>
          <w:color w:val="auto"/>
          <w:szCs w:val="21"/>
          <w:highlight w:val="none"/>
        </w:rPr>
      </w:pPr>
      <w:r>
        <w:rPr>
          <w:rFonts w:hint="eastAsia" w:ascii="宋体" w:hAnsi="宋体" w:cs="宋体"/>
          <w:b/>
          <w:bCs/>
          <w:color w:val="auto"/>
          <w:szCs w:val="21"/>
          <w:highlight w:val="none"/>
        </w:rPr>
        <w:t>7民法典律效力</w:t>
      </w:r>
    </w:p>
    <w:p>
      <w:pPr>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本合同作为工程施工合同的附件，与施工合同具有同等的法律效力，经双方签署后生效。</w:t>
      </w:r>
    </w:p>
    <w:p>
      <w:pPr>
        <w:spacing w:line="440" w:lineRule="exact"/>
        <w:ind w:firstLine="422" w:firstLineChars="200"/>
        <w:rPr>
          <w:rFonts w:ascii="宋体" w:hAnsi="宋体" w:cs="宋体"/>
          <w:b/>
          <w:bCs/>
          <w:color w:val="auto"/>
          <w:szCs w:val="21"/>
          <w:highlight w:val="none"/>
        </w:rPr>
      </w:pPr>
      <w:r>
        <w:rPr>
          <w:rFonts w:hint="eastAsia" w:ascii="宋体" w:hAnsi="宋体" w:cs="宋体"/>
          <w:b/>
          <w:bCs/>
          <w:color w:val="auto"/>
          <w:szCs w:val="21"/>
          <w:highlight w:val="none"/>
        </w:rPr>
        <w:t>8合同份数</w:t>
      </w:r>
    </w:p>
    <w:p>
      <w:pPr>
        <w:spacing w:line="440" w:lineRule="exact"/>
        <w:ind w:firstLine="420" w:firstLineChars="200"/>
        <w:rPr>
          <w:rFonts w:ascii="宋体" w:hAnsi="宋体" w:cs="宋体"/>
          <w:b/>
          <w:color w:val="auto"/>
          <w:szCs w:val="21"/>
          <w:highlight w:val="none"/>
          <w:u w:val="single"/>
        </w:rPr>
      </w:pPr>
      <w:r>
        <w:rPr>
          <w:rFonts w:hint="eastAsia" w:ascii="宋体" w:hAnsi="宋体" w:cs="宋体"/>
          <w:color w:val="auto"/>
          <w:szCs w:val="21"/>
          <w:highlight w:val="none"/>
        </w:rPr>
        <w:t>本合同</w:t>
      </w:r>
      <w:r>
        <w:rPr>
          <w:rFonts w:hint="eastAsia" w:ascii="宋体" w:hAnsi="宋体" w:cs="宋体"/>
          <w:b/>
          <w:color w:val="auto"/>
          <w:szCs w:val="21"/>
          <w:highlight w:val="none"/>
          <w:u w:val="single"/>
        </w:rPr>
        <w:t>正本贰份，副本陆份，共计捌份。</w:t>
      </w:r>
    </w:p>
    <w:p>
      <w:pPr>
        <w:autoSpaceDE w:val="0"/>
        <w:autoSpaceDN w:val="0"/>
        <w:adjustRightInd w:val="0"/>
        <w:spacing w:line="440" w:lineRule="exact"/>
        <w:ind w:firstLine="525" w:firstLineChars="250"/>
        <w:rPr>
          <w:rFonts w:ascii="宋体" w:hAnsi="宋体" w:cs="宋体"/>
          <w:color w:val="auto"/>
          <w:szCs w:val="21"/>
          <w:highlight w:val="none"/>
        </w:rPr>
      </w:pPr>
      <w:r>
        <w:rPr>
          <w:rFonts w:hint="eastAsia" w:ascii="宋体" w:hAnsi="宋体" w:cs="宋体"/>
          <w:color w:val="auto"/>
          <w:szCs w:val="21"/>
          <w:highlight w:val="none"/>
        </w:rPr>
        <w:t>发　包　人(公章)：　　　　　      承　包　人(公章)：</w:t>
      </w:r>
    </w:p>
    <w:p>
      <w:pPr>
        <w:autoSpaceDE w:val="0"/>
        <w:autoSpaceDN w:val="0"/>
        <w:adjustRightInd w:val="0"/>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法定代表人(签字或盖章)：　　　　　法定代表人(签字或盖章)：</w:t>
      </w:r>
    </w:p>
    <w:p>
      <w:pPr>
        <w:autoSpaceDE w:val="0"/>
        <w:autoSpaceDN w:val="0"/>
        <w:adjustRightInd w:val="0"/>
        <w:spacing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　　年　月　日　　　　　　　　　　　年　月　日</w:t>
      </w:r>
    </w:p>
    <w:p>
      <w:pPr>
        <w:spacing w:before="120" w:beforeLines="50" w:after="120" w:afterLines="50" w:line="440" w:lineRule="exact"/>
        <w:jc w:val="center"/>
        <w:rPr>
          <w:rFonts w:hAnsi="宋体" w:cs="宋体"/>
          <w:b/>
          <w:color w:val="auto"/>
          <w:sz w:val="32"/>
          <w:szCs w:val="32"/>
          <w:highlight w:val="none"/>
        </w:rPr>
      </w:pPr>
    </w:p>
    <w:p>
      <w:pPr>
        <w:spacing w:before="120" w:beforeLines="50" w:after="120" w:afterLines="50" w:line="440" w:lineRule="exact"/>
        <w:jc w:val="center"/>
        <w:rPr>
          <w:rFonts w:hAnsi="宋体" w:cs="宋体"/>
          <w:b/>
          <w:color w:val="auto"/>
          <w:sz w:val="32"/>
          <w:szCs w:val="32"/>
          <w:highlight w:val="none"/>
        </w:rPr>
      </w:pPr>
    </w:p>
    <w:p>
      <w:pPr>
        <w:spacing w:before="120" w:beforeLines="50" w:after="120" w:afterLines="50" w:line="440" w:lineRule="exact"/>
        <w:jc w:val="center"/>
        <w:rPr>
          <w:rFonts w:hAnsi="宋体" w:cs="宋体"/>
          <w:b/>
          <w:color w:val="auto"/>
          <w:sz w:val="32"/>
          <w:szCs w:val="32"/>
          <w:highlight w:val="none"/>
        </w:rPr>
      </w:pPr>
    </w:p>
    <w:p>
      <w:pPr>
        <w:spacing w:before="120" w:beforeLines="50" w:after="120" w:afterLines="50" w:line="440" w:lineRule="exact"/>
        <w:jc w:val="center"/>
        <w:rPr>
          <w:rFonts w:hAnsi="宋体" w:cs="宋体"/>
          <w:b/>
          <w:color w:val="auto"/>
          <w:sz w:val="32"/>
          <w:szCs w:val="32"/>
          <w:highlight w:val="none"/>
        </w:rPr>
      </w:pPr>
    </w:p>
    <w:p>
      <w:pPr>
        <w:jc w:val="center"/>
        <w:rPr>
          <w:rFonts w:ascii="宋体"/>
          <w:b/>
          <w:color w:val="auto"/>
          <w:kern w:val="0"/>
          <w:sz w:val="32"/>
          <w:szCs w:val="32"/>
          <w:highlight w:val="none"/>
        </w:rPr>
      </w:pPr>
    </w:p>
    <w:p>
      <w:pPr>
        <w:jc w:val="center"/>
        <w:rPr>
          <w:rFonts w:ascii="宋体"/>
          <w:b/>
          <w:color w:val="auto"/>
          <w:kern w:val="0"/>
          <w:sz w:val="32"/>
          <w:szCs w:val="32"/>
          <w:highlight w:val="none"/>
        </w:rPr>
      </w:pPr>
    </w:p>
    <w:p>
      <w:pPr>
        <w:rPr>
          <w:rFonts w:hAnsi="宋体" w:cs="宋体"/>
          <w:color w:val="auto"/>
          <w:highlight w:val="none"/>
        </w:rPr>
      </w:pPr>
      <w:r>
        <w:rPr>
          <w:rFonts w:hint="eastAsia" w:hAnsi="宋体" w:cs="宋体"/>
          <w:color w:val="auto"/>
          <w:highlight w:val="none"/>
        </w:rPr>
        <w:br w:type="page"/>
      </w:r>
    </w:p>
    <w:p>
      <w:pPr>
        <w:rPr>
          <w:rFonts w:hAnsi="宋体" w:cs="宋体"/>
          <w:color w:val="auto"/>
          <w:highlight w:val="none"/>
        </w:rPr>
      </w:pPr>
      <w:r>
        <w:rPr>
          <w:rFonts w:hint="eastAsia" w:hAnsi="宋体" w:cs="宋体"/>
          <w:color w:val="auto"/>
          <w:highlight w:val="none"/>
        </w:rPr>
        <w:t xml:space="preserve">附件5：                  </w:t>
      </w:r>
    </w:p>
    <w:p>
      <w:pPr>
        <w:ind w:firstLine="3052" w:firstLineChars="950"/>
        <w:rPr>
          <w:rFonts w:hAnsi="宋体" w:cs="宋体"/>
          <w:color w:val="auto"/>
          <w:highlight w:val="none"/>
        </w:rPr>
      </w:pPr>
      <w:r>
        <w:rPr>
          <w:rFonts w:hint="eastAsia" w:ascii="宋体" w:hAnsi="宋体"/>
          <w:b/>
          <w:color w:val="auto"/>
          <w:kern w:val="0"/>
          <w:sz w:val="32"/>
          <w:szCs w:val="20"/>
          <w:highlight w:val="none"/>
        </w:rPr>
        <w:t>计划投入的主要施工机械设备表</w:t>
      </w:r>
    </w:p>
    <w:p>
      <w:pPr>
        <w:ind w:firstLine="3855" w:firstLineChars="1200"/>
        <w:rPr>
          <w:rFonts w:ascii="宋体"/>
          <w:b/>
          <w:color w:val="auto"/>
          <w:kern w:val="0"/>
          <w:sz w:val="32"/>
          <w:szCs w:val="32"/>
          <w:highlight w:val="none"/>
        </w:rPr>
      </w:pPr>
    </w:p>
    <w:tbl>
      <w:tblPr>
        <w:tblStyle w:val="5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8"/>
        <w:gridCol w:w="1700"/>
        <w:gridCol w:w="700"/>
        <w:gridCol w:w="700"/>
        <w:gridCol w:w="900"/>
        <w:gridCol w:w="900"/>
        <w:gridCol w:w="1100"/>
        <w:gridCol w:w="1100"/>
        <w:gridCol w:w="1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 w:type="dxa"/>
          </w:tcPr>
          <w:p>
            <w:pPr>
              <w:adjustRightInd w:val="0"/>
              <w:spacing w:line="360" w:lineRule="auto"/>
              <w:jc w:val="center"/>
              <w:textAlignment w:val="baseline"/>
              <w:rPr>
                <w:rFonts w:ascii="宋体" w:hAnsi="宋体" w:eastAsia="等线" w:cs="宋体"/>
                <w:color w:val="auto"/>
                <w:kern w:val="0"/>
                <w:position w:val="-32"/>
                <w:sz w:val="23"/>
                <w:szCs w:val="20"/>
                <w:highlight w:val="none"/>
              </w:rPr>
            </w:pPr>
            <w:r>
              <w:rPr>
                <w:rFonts w:hint="eastAsia" w:ascii="宋体" w:hAnsi="宋体" w:eastAsia="等线" w:cs="宋体"/>
                <w:color w:val="auto"/>
                <w:kern w:val="0"/>
                <w:position w:val="-32"/>
                <w:sz w:val="23"/>
                <w:szCs w:val="20"/>
                <w:highlight w:val="none"/>
              </w:rPr>
              <w:t>序号</w:t>
            </w:r>
          </w:p>
        </w:tc>
        <w:tc>
          <w:tcPr>
            <w:tcW w:w="1700" w:type="dxa"/>
          </w:tcPr>
          <w:p>
            <w:pPr>
              <w:adjustRightInd w:val="0"/>
              <w:spacing w:line="360" w:lineRule="auto"/>
              <w:jc w:val="center"/>
              <w:textAlignment w:val="baseline"/>
              <w:rPr>
                <w:rFonts w:ascii="宋体" w:hAnsi="宋体" w:eastAsia="等线" w:cs="宋体"/>
                <w:color w:val="auto"/>
                <w:kern w:val="0"/>
                <w:position w:val="-50"/>
                <w:sz w:val="23"/>
                <w:szCs w:val="20"/>
                <w:highlight w:val="none"/>
              </w:rPr>
            </w:pPr>
            <w:r>
              <w:rPr>
                <w:rFonts w:hint="eastAsia" w:ascii="宋体" w:hAnsi="宋体" w:eastAsia="等线" w:cs="宋体"/>
                <w:color w:val="auto"/>
                <w:kern w:val="0"/>
                <w:position w:val="-50"/>
                <w:sz w:val="23"/>
                <w:szCs w:val="20"/>
                <w:highlight w:val="none"/>
              </w:rPr>
              <w:t>机械设备名称</w:t>
            </w:r>
          </w:p>
        </w:tc>
        <w:tc>
          <w:tcPr>
            <w:tcW w:w="700" w:type="dxa"/>
          </w:tcPr>
          <w:p>
            <w:pPr>
              <w:adjustRightInd w:val="0"/>
              <w:spacing w:line="360" w:lineRule="auto"/>
              <w:jc w:val="center"/>
              <w:textAlignment w:val="baseline"/>
              <w:rPr>
                <w:rFonts w:ascii="宋体" w:hAnsi="宋体" w:eastAsia="等线" w:cs="宋体"/>
                <w:color w:val="auto"/>
                <w:kern w:val="0"/>
                <w:position w:val="-30"/>
                <w:sz w:val="23"/>
                <w:szCs w:val="20"/>
                <w:highlight w:val="none"/>
              </w:rPr>
            </w:pPr>
            <w:r>
              <w:rPr>
                <w:rFonts w:hint="eastAsia" w:ascii="宋体" w:hAnsi="宋体" w:eastAsia="等线" w:cs="宋体"/>
                <w:color w:val="auto"/>
                <w:kern w:val="0"/>
                <w:position w:val="-30"/>
                <w:sz w:val="23"/>
                <w:szCs w:val="20"/>
                <w:highlight w:val="none"/>
              </w:rPr>
              <w:t>型号规格</w:t>
            </w:r>
          </w:p>
        </w:tc>
        <w:tc>
          <w:tcPr>
            <w:tcW w:w="700" w:type="dxa"/>
          </w:tcPr>
          <w:p>
            <w:pPr>
              <w:adjustRightInd w:val="0"/>
              <w:spacing w:line="360" w:lineRule="auto"/>
              <w:jc w:val="center"/>
              <w:textAlignment w:val="baseline"/>
              <w:rPr>
                <w:rFonts w:ascii="宋体" w:hAnsi="宋体" w:eastAsia="等线" w:cs="宋体"/>
                <w:color w:val="auto"/>
                <w:kern w:val="0"/>
                <w:position w:val="-50"/>
                <w:sz w:val="23"/>
                <w:szCs w:val="20"/>
                <w:highlight w:val="none"/>
              </w:rPr>
            </w:pPr>
            <w:r>
              <w:rPr>
                <w:rFonts w:hint="eastAsia" w:ascii="宋体" w:hAnsi="宋体" w:eastAsia="等线" w:cs="宋体"/>
                <w:color w:val="auto"/>
                <w:kern w:val="0"/>
                <w:position w:val="-50"/>
                <w:sz w:val="23"/>
                <w:szCs w:val="20"/>
                <w:highlight w:val="none"/>
              </w:rPr>
              <w:t>数量</w:t>
            </w:r>
          </w:p>
        </w:tc>
        <w:tc>
          <w:tcPr>
            <w:tcW w:w="900" w:type="dxa"/>
          </w:tcPr>
          <w:p>
            <w:pPr>
              <w:adjustRightInd w:val="0"/>
              <w:spacing w:line="360" w:lineRule="auto"/>
              <w:jc w:val="center"/>
              <w:textAlignment w:val="baseline"/>
              <w:rPr>
                <w:rFonts w:ascii="宋体" w:hAnsi="宋体" w:eastAsia="等线" w:cs="宋体"/>
                <w:color w:val="auto"/>
                <w:kern w:val="0"/>
                <w:position w:val="-30"/>
                <w:sz w:val="23"/>
                <w:szCs w:val="20"/>
                <w:highlight w:val="none"/>
              </w:rPr>
            </w:pPr>
            <w:r>
              <w:rPr>
                <w:rFonts w:hint="eastAsia" w:ascii="宋体" w:hAnsi="宋体" w:eastAsia="等线" w:cs="宋体"/>
                <w:color w:val="auto"/>
                <w:kern w:val="0"/>
                <w:position w:val="-30"/>
                <w:sz w:val="23"/>
                <w:szCs w:val="20"/>
                <w:highlight w:val="none"/>
              </w:rPr>
              <w:t>国 别</w:t>
            </w:r>
          </w:p>
          <w:p>
            <w:pPr>
              <w:adjustRightInd w:val="0"/>
              <w:spacing w:line="360" w:lineRule="auto"/>
              <w:jc w:val="center"/>
              <w:textAlignment w:val="baseline"/>
              <w:rPr>
                <w:rFonts w:ascii="宋体" w:hAnsi="宋体" w:eastAsia="等线" w:cs="宋体"/>
                <w:color w:val="auto"/>
                <w:kern w:val="0"/>
                <w:position w:val="-30"/>
                <w:sz w:val="23"/>
                <w:szCs w:val="20"/>
                <w:highlight w:val="none"/>
              </w:rPr>
            </w:pPr>
            <w:r>
              <w:rPr>
                <w:rFonts w:hint="eastAsia" w:ascii="宋体" w:hAnsi="宋体" w:eastAsia="等线" w:cs="宋体"/>
                <w:color w:val="auto"/>
                <w:kern w:val="0"/>
                <w:position w:val="-30"/>
                <w:sz w:val="23"/>
                <w:szCs w:val="20"/>
                <w:highlight w:val="none"/>
              </w:rPr>
              <w:t>产 地</w:t>
            </w:r>
          </w:p>
        </w:tc>
        <w:tc>
          <w:tcPr>
            <w:tcW w:w="900" w:type="dxa"/>
          </w:tcPr>
          <w:p>
            <w:pPr>
              <w:adjustRightInd w:val="0"/>
              <w:spacing w:line="360" w:lineRule="auto"/>
              <w:jc w:val="center"/>
              <w:textAlignment w:val="baseline"/>
              <w:rPr>
                <w:rFonts w:ascii="宋体" w:hAnsi="宋体" w:eastAsia="等线" w:cs="宋体"/>
                <w:color w:val="auto"/>
                <w:kern w:val="0"/>
                <w:position w:val="-30"/>
                <w:sz w:val="23"/>
                <w:szCs w:val="20"/>
                <w:highlight w:val="none"/>
              </w:rPr>
            </w:pPr>
            <w:r>
              <w:rPr>
                <w:rFonts w:hint="eastAsia" w:ascii="宋体" w:hAnsi="宋体" w:eastAsia="等线" w:cs="宋体"/>
                <w:color w:val="auto"/>
                <w:kern w:val="0"/>
                <w:position w:val="-30"/>
                <w:sz w:val="23"/>
                <w:szCs w:val="20"/>
                <w:highlight w:val="none"/>
              </w:rPr>
              <w:t>制 造</w:t>
            </w:r>
          </w:p>
          <w:p>
            <w:pPr>
              <w:adjustRightInd w:val="0"/>
              <w:spacing w:line="360" w:lineRule="auto"/>
              <w:jc w:val="center"/>
              <w:textAlignment w:val="baseline"/>
              <w:rPr>
                <w:rFonts w:ascii="宋体" w:hAnsi="宋体" w:eastAsia="等线" w:cs="宋体"/>
                <w:color w:val="auto"/>
                <w:kern w:val="0"/>
                <w:position w:val="-30"/>
                <w:sz w:val="23"/>
                <w:szCs w:val="20"/>
                <w:highlight w:val="none"/>
              </w:rPr>
            </w:pPr>
            <w:r>
              <w:rPr>
                <w:rFonts w:hint="eastAsia" w:ascii="宋体" w:hAnsi="宋体" w:eastAsia="等线" w:cs="宋体"/>
                <w:color w:val="auto"/>
                <w:kern w:val="0"/>
                <w:position w:val="-30"/>
                <w:sz w:val="23"/>
                <w:szCs w:val="20"/>
                <w:highlight w:val="none"/>
              </w:rPr>
              <w:t>年 份</w:t>
            </w:r>
          </w:p>
        </w:tc>
        <w:tc>
          <w:tcPr>
            <w:tcW w:w="1100" w:type="dxa"/>
          </w:tcPr>
          <w:p>
            <w:pPr>
              <w:adjustRightInd w:val="0"/>
              <w:spacing w:line="360" w:lineRule="auto"/>
              <w:jc w:val="center"/>
              <w:textAlignment w:val="baseline"/>
              <w:rPr>
                <w:rFonts w:ascii="宋体" w:hAnsi="宋体" w:eastAsia="等线" w:cs="宋体"/>
                <w:color w:val="auto"/>
                <w:kern w:val="0"/>
                <w:position w:val="-30"/>
                <w:szCs w:val="20"/>
                <w:highlight w:val="none"/>
              </w:rPr>
            </w:pPr>
            <w:r>
              <w:rPr>
                <w:rFonts w:hint="eastAsia" w:ascii="宋体" w:hAnsi="宋体" w:eastAsia="等线" w:cs="宋体"/>
                <w:color w:val="auto"/>
                <w:kern w:val="0"/>
                <w:position w:val="-30"/>
                <w:szCs w:val="20"/>
                <w:highlight w:val="none"/>
              </w:rPr>
              <w:t>额定功率(KW)</w:t>
            </w:r>
          </w:p>
        </w:tc>
        <w:tc>
          <w:tcPr>
            <w:tcW w:w="1100" w:type="dxa"/>
          </w:tcPr>
          <w:p>
            <w:pPr>
              <w:adjustRightInd w:val="0"/>
              <w:spacing w:line="360" w:lineRule="auto"/>
              <w:jc w:val="center"/>
              <w:textAlignment w:val="baseline"/>
              <w:rPr>
                <w:rFonts w:ascii="宋体" w:hAnsi="宋体" w:eastAsia="等线" w:cs="宋体"/>
                <w:color w:val="auto"/>
                <w:kern w:val="0"/>
                <w:position w:val="-30"/>
                <w:szCs w:val="20"/>
                <w:highlight w:val="none"/>
              </w:rPr>
            </w:pPr>
            <w:r>
              <w:rPr>
                <w:rFonts w:hint="eastAsia" w:ascii="宋体" w:hAnsi="宋体" w:eastAsia="等线" w:cs="宋体"/>
                <w:color w:val="auto"/>
                <w:kern w:val="0"/>
                <w:position w:val="-30"/>
                <w:szCs w:val="20"/>
                <w:highlight w:val="none"/>
              </w:rPr>
              <w:t>生产能力(MH)</w:t>
            </w:r>
          </w:p>
        </w:tc>
        <w:tc>
          <w:tcPr>
            <w:tcW w:w="1600" w:type="dxa"/>
          </w:tcPr>
          <w:p>
            <w:pPr>
              <w:adjustRightInd w:val="0"/>
              <w:spacing w:line="360" w:lineRule="auto"/>
              <w:jc w:val="center"/>
              <w:textAlignment w:val="baseline"/>
              <w:rPr>
                <w:rFonts w:ascii="宋体" w:hAnsi="宋体" w:eastAsia="等线" w:cs="宋体"/>
                <w:color w:val="auto"/>
                <w:kern w:val="0"/>
                <w:position w:val="-50"/>
                <w:sz w:val="23"/>
                <w:szCs w:val="20"/>
                <w:highlight w:val="none"/>
              </w:rPr>
            </w:pPr>
            <w:r>
              <w:rPr>
                <w:rFonts w:hint="eastAsia" w:ascii="宋体" w:hAnsi="宋体" w:eastAsia="等线" w:cs="宋体"/>
                <w:color w:val="auto"/>
                <w:kern w:val="0"/>
                <w:position w:val="-50"/>
                <w:sz w:val="23"/>
                <w:szCs w:val="20"/>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adjustRightInd w:val="0"/>
              <w:spacing w:line="360" w:lineRule="auto"/>
              <w:textAlignment w:val="baseline"/>
              <w:rPr>
                <w:rFonts w:ascii="宋体" w:hAnsi="宋体" w:eastAsia="等线" w:cs="宋体"/>
                <w:color w:val="auto"/>
                <w:kern w:val="0"/>
                <w:sz w:val="25"/>
                <w:szCs w:val="20"/>
                <w:highlight w:val="none"/>
              </w:rPr>
            </w:pPr>
          </w:p>
        </w:tc>
        <w:tc>
          <w:tcPr>
            <w:tcW w:w="1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7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9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100" w:type="dxa"/>
          </w:tcPr>
          <w:p>
            <w:pPr>
              <w:adjustRightInd w:val="0"/>
              <w:spacing w:line="360" w:lineRule="auto"/>
              <w:textAlignment w:val="baseline"/>
              <w:rPr>
                <w:rFonts w:ascii="宋体" w:hAnsi="宋体" w:eastAsia="等线" w:cs="宋体"/>
                <w:color w:val="auto"/>
                <w:kern w:val="0"/>
                <w:sz w:val="25"/>
                <w:szCs w:val="20"/>
                <w:highlight w:val="none"/>
              </w:rPr>
            </w:pPr>
          </w:p>
        </w:tc>
        <w:tc>
          <w:tcPr>
            <w:tcW w:w="1600" w:type="dxa"/>
          </w:tcPr>
          <w:p>
            <w:pPr>
              <w:adjustRightInd w:val="0"/>
              <w:spacing w:line="360" w:lineRule="auto"/>
              <w:textAlignment w:val="baseline"/>
              <w:rPr>
                <w:rFonts w:ascii="宋体" w:hAnsi="宋体" w:eastAsia="等线" w:cs="宋体"/>
                <w:color w:val="auto"/>
                <w:kern w:val="0"/>
                <w:sz w:val="25"/>
                <w:szCs w:val="20"/>
                <w:highlight w:val="none"/>
              </w:rPr>
            </w:pPr>
          </w:p>
        </w:tc>
      </w:tr>
    </w:tbl>
    <w:p>
      <w:pPr>
        <w:spacing w:before="120" w:beforeLines="50" w:after="120" w:afterLines="50" w:line="440" w:lineRule="exact"/>
        <w:jc w:val="center"/>
        <w:rPr>
          <w:rFonts w:hAnsi="宋体" w:cs="宋体"/>
          <w:b/>
          <w:color w:val="auto"/>
          <w:sz w:val="32"/>
          <w:szCs w:val="32"/>
          <w:highlight w:val="none"/>
        </w:rPr>
      </w:pPr>
    </w:p>
    <w:p>
      <w:pPr>
        <w:adjustRightInd w:val="0"/>
        <w:spacing w:after="284" w:line="420" w:lineRule="atLeast"/>
        <w:jc w:val="center"/>
        <w:textAlignment w:val="baseline"/>
        <w:rPr>
          <w:rFonts w:ascii="宋体" w:hAnsi="宋体"/>
          <w:b/>
          <w:color w:val="auto"/>
          <w:kern w:val="0"/>
          <w:sz w:val="32"/>
          <w:szCs w:val="20"/>
          <w:highlight w:val="none"/>
        </w:rPr>
      </w:pPr>
    </w:p>
    <w:p>
      <w:pPr>
        <w:adjustRightInd w:val="0"/>
        <w:spacing w:after="284" w:line="420" w:lineRule="atLeast"/>
        <w:textAlignment w:val="baseline"/>
        <w:rPr>
          <w:rFonts w:hAnsi="宋体" w:cs="宋体"/>
          <w:color w:val="auto"/>
          <w:highlight w:val="none"/>
        </w:rPr>
      </w:pPr>
    </w:p>
    <w:p>
      <w:pPr>
        <w:adjustRightInd w:val="0"/>
        <w:spacing w:after="284" w:line="420" w:lineRule="atLeast"/>
        <w:textAlignment w:val="baseline"/>
        <w:rPr>
          <w:rFonts w:ascii="宋体" w:hAnsi="宋体"/>
          <w:b/>
          <w:color w:val="auto"/>
          <w:kern w:val="0"/>
          <w:sz w:val="32"/>
          <w:szCs w:val="20"/>
          <w:highlight w:val="none"/>
        </w:rPr>
      </w:pPr>
      <w:r>
        <w:rPr>
          <w:rFonts w:hint="eastAsia" w:hAnsi="宋体" w:cs="宋体"/>
          <w:color w:val="auto"/>
          <w:highlight w:val="none"/>
        </w:rPr>
        <w:t xml:space="preserve">附件6：                   </w:t>
      </w:r>
      <w:r>
        <w:rPr>
          <w:rFonts w:hint="eastAsia" w:ascii="宋体" w:hAnsi="宋体"/>
          <w:b/>
          <w:color w:val="auto"/>
          <w:kern w:val="0"/>
          <w:sz w:val="32"/>
          <w:szCs w:val="20"/>
          <w:highlight w:val="none"/>
        </w:rPr>
        <w:t>主要施工管理人员表</w:t>
      </w:r>
    </w:p>
    <w:tbl>
      <w:tblPr>
        <w:tblStyle w:val="5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9"/>
        <w:gridCol w:w="1804"/>
        <w:gridCol w:w="849"/>
        <w:gridCol w:w="849"/>
        <w:gridCol w:w="849"/>
        <w:gridCol w:w="38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trPr>
        <w:tc>
          <w:tcPr>
            <w:tcW w:w="689" w:type="dxa"/>
            <w:tcBorders>
              <w:top w:val="single" w:color="auto" w:sz="12" w:space="0"/>
              <w:left w:val="single" w:color="auto" w:sz="12" w:space="0"/>
              <w:bottom w:val="double" w:color="auto" w:sz="4" w:space="0"/>
              <w:right w:val="single" w:color="auto" w:sz="4" w:space="0"/>
            </w:tcBorders>
            <w:vAlign w:val="center"/>
          </w:tcPr>
          <w:p>
            <w:pPr>
              <w:jc w:val="center"/>
              <w:rPr>
                <w:rFonts w:ascii="宋体" w:hAnsi="宋体"/>
                <w:color w:val="auto"/>
                <w:sz w:val="24"/>
                <w:highlight w:val="none"/>
              </w:rPr>
            </w:pPr>
            <w:r>
              <w:rPr>
                <w:rFonts w:hint="eastAsia" w:ascii="宋体" w:hAnsi="宋体"/>
                <w:color w:val="auto"/>
                <w:sz w:val="24"/>
                <w:highlight w:val="none"/>
              </w:rPr>
              <w:t>机构</w:t>
            </w:r>
          </w:p>
        </w:tc>
        <w:tc>
          <w:tcPr>
            <w:tcW w:w="1804" w:type="dxa"/>
            <w:tcBorders>
              <w:top w:val="single" w:color="auto" w:sz="12" w:space="0"/>
              <w:left w:val="single" w:color="auto" w:sz="4" w:space="0"/>
              <w:bottom w:val="double" w:color="auto" w:sz="4" w:space="0"/>
              <w:right w:val="single" w:color="auto" w:sz="4" w:space="0"/>
            </w:tcBorders>
            <w:vAlign w:val="center"/>
          </w:tcPr>
          <w:p>
            <w:pPr>
              <w:jc w:val="center"/>
              <w:rPr>
                <w:rFonts w:ascii="宋体" w:hAnsi="宋体"/>
                <w:color w:val="auto"/>
                <w:sz w:val="24"/>
                <w:highlight w:val="none"/>
              </w:rPr>
            </w:pPr>
            <w:r>
              <w:rPr>
                <w:rFonts w:hint="eastAsia" w:ascii="宋体" w:hAnsi="宋体"/>
                <w:color w:val="auto"/>
                <w:sz w:val="24"/>
                <w:highlight w:val="none"/>
              </w:rPr>
              <w:t>项目工程师</w:t>
            </w:r>
          </w:p>
        </w:tc>
        <w:tc>
          <w:tcPr>
            <w:tcW w:w="849" w:type="dxa"/>
            <w:tcBorders>
              <w:top w:val="single" w:color="auto" w:sz="12" w:space="0"/>
              <w:left w:val="single" w:color="auto" w:sz="4" w:space="0"/>
              <w:bottom w:val="double" w:color="auto" w:sz="4" w:space="0"/>
              <w:right w:val="single" w:color="auto" w:sz="4" w:space="0"/>
            </w:tcBorders>
            <w:vAlign w:val="center"/>
          </w:tcPr>
          <w:p>
            <w:pPr>
              <w:jc w:val="center"/>
              <w:rPr>
                <w:rFonts w:ascii="宋体" w:hAnsi="宋体"/>
                <w:color w:val="auto"/>
                <w:sz w:val="24"/>
                <w:highlight w:val="none"/>
              </w:rPr>
            </w:pPr>
            <w:r>
              <w:rPr>
                <w:rFonts w:hint="eastAsia" w:ascii="宋体" w:hAnsi="宋体"/>
                <w:color w:val="auto"/>
                <w:sz w:val="24"/>
                <w:highlight w:val="none"/>
              </w:rPr>
              <w:t>姓名</w:t>
            </w:r>
          </w:p>
        </w:tc>
        <w:tc>
          <w:tcPr>
            <w:tcW w:w="849" w:type="dxa"/>
            <w:tcBorders>
              <w:top w:val="single" w:color="auto" w:sz="12" w:space="0"/>
              <w:left w:val="single" w:color="auto" w:sz="4" w:space="0"/>
              <w:bottom w:val="double" w:color="auto" w:sz="4" w:space="0"/>
              <w:right w:val="single" w:color="auto" w:sz="4" w:space="0"/>
            </w:tcBorders>
            <w:vAlign w:val="center"/>
          </w:tcPr>
          <w:p>
            <w:pPr>
              <w:jc w:val="center"/>
              <w:rPr>
                <w:rFonts w:ascii="宋体" w:hAnsi="宋体"/>
                <w:color w:val="auto"/>
                <w:sz w:val="24"/>
                <w:highlight w:val="none"/>
              </w:rPr>
            </w:pPr>
            <w:r>
              <w:rPr>
                <w:rFonts w:hint="eastAsia" w:ascii="宋体" w:hAnsi="宋体"/>
                <w:color w:val="auto"/>
                <w:sz w:val="24"/>
                <w:highlight w:val="none"/>
              </w:rPr>
              <w:t>职务</w:t>
            </w:r>
          </w:p>
        </w:tc>
        <w:tc>
          <w:tcPr>
            <w:tcW w:w="849" w:type="dxa"/>
            <w:tcBorders>
              <w:top w:val="single" w:color="auto" w:sz="12" w:space="0"/>
              <w:left w:val="single" w:color="auto" w:sz="4" w:space="0"/>
              <w:bottom w:val="double" w:color="auto" w:sz="4" w:space="0"/>
              <w:right w:val="single" w:color="auto" w:sz="4" w:space="0"/>
            </w:tcBorders>
            <w:vAlign w:val="center"/>
          </w:tcPr>
          <w:p>
            <w:pPr>
              <w:jc w:val="center"/>
              <w:rPr>
                <w:rFonts w:ascii="宋体" w:hAnsi="宋体"/>
                <w:color w:val="auto"/>
                <w:sz w:val="24"/>
                <w:highlight w:val="none"/>
              </w:rPr>
            </w:pPr>
            <w:r>
              <w:rPr>
                <w:rFonts w:hint="eastAsia" w:ascii="宋体" w:hAnsi="宋体"/>
                <w:color w:val="auto"/>
                <w:sz w:val="24"/>
                <w:highlight w:val="none"/>
              </w:rPr>
              <w:t>职称</w:t>
            </w:r>
          </w:p>
        </w:tc>
        <w:tc>
          <w:tcPr>
            <w:tcW w:w="3808" w:type="dxa"/>
            <w:tcBorders>
              <w:top w:val="single" w:color="auto" w:sz="12" w:space="0"/>
              <w:left w:val="single" w:color="auto" w:sz="4" w:space="0"/>
              <w:bottom w:val="double" w:color="auto" w:sz="4" w:space="0"/>
              <w:right w:val="single" w:color="auto" w:sz="12" w:space="0"/>
            </w:tcBorders>
            <w:vAlign w:val="center"/>
          </w:tcPr>
          <w:p>
            <w:pPr>
              <w:jc w:val="center"/>
              <w:rPr>
                <w:rFonts w:ascii="宋体" w:hAnsi="宋体"/>
                <w:color w:val="auto"/>
                <w:sz w:val="24"/>
                <w:highlight w:val="none"/>
              </w:rPr>
            </w:pPr>
            <w:r>
              <w:rPr>
                <w:rFonts w:hint="eastAsia" w:ascii="宋体" w:hAnsi="宋体"/>
                <w:color w:val="auto"/>
                <w:sz w:val="24"/>
                <w:highlight w:val="none"/>
              </w:rPr>
              <w:t>主要资历、经验及承担过的工程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restart"/>
            <w:tcBorders>
              <w:top w:val="double" w:color="auto" w:sz="4" w:space="0"/>
              <w:left w:val="single" w:color="auto" w:sz="12" w:space="0"/>
              <w:bottom w:val="single" w:color="auto" w:sz="4" w:space="0"/>
              <w:right w:val="single" w:color="auto" w:sz="4" w:space="0"/>
            </w:tcBorders>
            <w:vAlign w:val="center"/>
          </w:tcPr>
          <w:p>
            <w:pPr>
              <w:jc w:val="center"/>
              <w:rPr>
                <w:rFonts w:ascii="宋体" w:hAnsi="宋体"/>
                <w:color w:val="auto"/>
                <w:sz w:val="24"/>
                <w:highlight w:val="none"/>
              </w:rPr>
            </w:pPr>
            <w:r>
              <w:rPr>
                <w:rFonts w:hint="eastAsia" w:ascii="宋体" w:hAnsi="宋体"/>
                <w:color w:val="auto"/>
                <w:sz w:val="24"/>
                <w:highlight w:val="none"/>
              </w:rPr>
              <w:t>总</w:t>
            </w:r>
          </w:p>
          <w:p>
            <w:pPr>
              <w:jc w:val="center"/>
              <w:rPr>
                <w:rFonts w:ascii="宋体" w:hAnsi="宋体"/>
                <w:color w:val="auto"/>
                <w:sz w:val="24"/>
                <w:highlight w:val="none"/>
              </w:rPr>
            </w:pPr>
          </w:p>
          <w:p>
            <w:pPr>
              <w:jc w:val="center"/>
              <w:rPr>
                <w:rFonts w:ascii="宋体" w:hAnsi="宋体"/>
                <w:color w:val="auto"/>
                <w:sz w:val="24"/>
                <w:highlight w:val="none"/>
              </w:rPr>
            </w:pPr>
          </w:p>
          <w:p>
            <w:pPr>
              <w:jc w:val="center"/>
              <w:rPr>
                <w:rFonts w:ascii="宋体" w:hAnsi="宋体"/>
                <w:color w:val="auto"/>
                <w:sz w:val="24"/>
                <w:highlight w:val="none"/>
              </w:rPr>
            </w:pPr>
            <w:r>
              <w:rPr>
                <w:rFonts w:hint="eastAsia" w:ascii="宋体" w:hAnsi="宋体"/>
                <w:color w:val="auto"/>
                <w:sz w:val="24"/>
                <w:highlight w:val="none"/>
              </w:rPr>
              <w:t>部</w:t>
            </w:r>
          </w:p>
        </w:tc>
        <w:tc>
          <w:tcPr>
            <w:tcW w:w="1804" w:type="dxa"/>
            <w:tcBorders>
              <w:top w:val="double" w:color="auto" w:sz="4" w:space="0"/>
              <w:left w:val="single" w:color="auto" w:sz="4" w:space="0"/>
              <w:bottom w:val="single" w:color="auto" w:sz="4" w:space="0"/>
              <w:right w:val="single" w:color="auto" w:sz="4" w:space="0"/>
            </w:tcBorders>
            <w:vAlign w:val="center"/>
          </w:tcPr>
          <w:p>
            <w:pPr>
              <w:jc w:val="center"/>
              <w:rPr>
                <w:rFonts w:ascii="宋体" w:hAnsi="宋体"/>
                <w:color w:val="auto"/>
                <w:sz w:val="24"/>
                <w:highlight w:val="none"/>
              </w:rPr>
            </w:pPr>
            <w:r>
              <w:rPr>
                <w:rFonts w:hint="eastAsia" w:ascii="宋体" w:hAnsi="宋体"/>
                <w:color w:val="auto"/>
                <w:sz w:val="24"/>
                <w:highlight w:val="none"/>
              </w:rPr>
              <w:t>项目主管</w:t>
            </w:r>
          </w:p>
        </w:tc>
        <w:tc>
          <w:tcPr>
            <w:tcW w:w="849" w:type="dxa"/>
            <w:tcBorders>
              <w:top w:val="doub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doub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doub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doub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double" w:color="auto" w:sz="4" w:space="0"/>
              <w:left w:val="single" w:color="auto" w:sz="12" w:space="0"/>
              <w:bottom w:val="single" w:color="auto" w:sz="4" w:space="0"/>
              <w:right w:val="single" w:color="auto" w:sz="4" w:space="0"/>
            </w:tcBorders>
            <w:vAlign w:val="center"/>
          </w:tcPr>
          <w:p>
            <w:pPr>
              <w:widowControl/>
              <w:jc w:val="left"/>
              <w:rPr>
                <w:rFonts w:ascii="宋体" w:hAnsi="宋体"/>
                <w:color w:val="auto"/>
                <w:sz w:val="24"/>
                <w:highlight w:val="none"/>
              </w:rPr>
            </w:pPr>
          </w:p>
        </w:tc>
        <w:tc>
          <w:tcPr>
            <w:tcW w:w="180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 w:val="24"/>
                <w:highlight w:val="none"/>
              </w:rPr>
            </w:pPr>
            <w:r>
              <w:rPr>
                <w:rFonts w:hint="eastAsia" w:ascii="宋体" w:hAnsi="宋体"/>
                <w:color w:val="auto"/>
                <w:sz w:val="24"/>
                <w:highlight w:val="none"/>
              </w:rPr>
              <w:t>技术负责人</w:t>
            </w: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double" w:color="auto" w:sz="4" w:space="0"/>
              <w:left w:val="single" w:color="auto" w:sz="12" w:space="0"/>
              <w:bottom w:val="single" w:color="auto" w:sz="4" w:space="0"/>
              <w:right w:val="single" w:color="auto" w:sz="4" w:space="0"/>
            </w:tcBorders>
            <w:vAlign w:val="center"/>
          </w:tcPr>
          <w:p>
            <w:pPr>
              <w:widowControl/>
              <w:jc w:val="left"/>
              <w:rPr>
                <w:rFonts w:ascii="宋体" w:hAnsi="宋体"/>
                <w:color w:val="auto"/>
                <w:sz w:val="24"/>
                <w:highlight w:val="none"/>
              </w:rPr>
            </w:pPr>
          </w:p>
        </w:tc>
        <w:tc>
          <w:tcPr>
            <w:tcW w:w="180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double" w:color="auto" w:sz="4" w:space="0"/>
              <w:left w:val="single" w:color="auto" w:sz="12" w:space="0"/>
              <w:bottom w:val="single" w:color="auto" w:sz="4" w:space="0"/>
              <w:right w:val="single" w:color="auto" w:sz="4" w:space="0"/>
            </w:tcBorders>
            <w:vAlign w:val="center"/>
          </w:tcPr>
          <w:p>
            <w:pPr>
              <w:widowControl/>
              <w:jc w:val="left"/>
              <w:rPr>
                <w:rFonts w:ascii="宋体" w:hAnsi="宋体"/>
                <w:color w:val="auto"/>
                <w:sz w:val="24"/>
                <w:highlight w:val="none"/>
              </w:rPr>
            </w:pPr>
          </w:p>
        </w:tc>
        <w:tc>
          <w:tcPr>
            <w:tcW w:w="180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double" w:color="auto" w:sz="4" w:space="0"/>
              <w:left w:val="single" w:color="auto" w:sz="12" w:space="0"/>
              <w:bottom w:val="single" w:color="auto" w:sz="4" w:space="0"/>
              <w:right w:val="single" w:color="auto" w:sz="4" w:space="0"/>
            </w:tcBorders>
            <w:vAlign w:val="center"/>
          </w:tcPr>
          <w:p>
            <w:pPr>
              <w:widowControl/>
              <w:jc w:val="left"/>
              <w:rPr>
                <w:rFonts w:ascii="宋体" w:hAnsi="宋体"/>
                <w:color w:val="auto"/>
                <w:sz w:val="24"/>
                <w:highlight w:val="none"/>
              </w:rPr>
            </w:pPr>
          </w:p>
        </w:tc>
        <w:tc>
          <w:tcPr>
            <w:tcW w:w="180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double" w:color="auto" w:sz="4" w:space="0"/>
              <w:left w:val="single" w:color="auto" w:sz="12" w:space="0"/>
              <w:bottom w:val="single" w:color="auto" w:sz="4" w:space="0"/>
              <w:right w:val="single" w:color="auto" w:sz="4" w:space="0"/>
            </w:tcBorders>
            <w:vAlign w:val="center"/>
          </w:tcPr>
          <w:p>
            <w:pPr>
              <w:widowControl/>
              <w:jc w:val="left"/>
              <w:rPr>
                <w:rFonts w:ascii="宋体" w:hAnsi="宋体"/>
                <w:color w:val="auto"/>
                <w:sz w:val="24"/>
                <w:highlight w:val="none"/>
              </w:rPr>
            </w:pPr>
          </w:p>
        </w:tc>
        <w:tc>
          <w:tcPr>
            <w:tcW w:w="180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double" w:color="auto" w:sz="4" w:space="0"/>
              <w:left w:val="single" w:color="auto" w:sz="12" w:space="0"/>
              <w:bottom w:val="single" w:color="auto" w:sz="4" w:space="0"/>
              <w:right w:val="single" w:color="auto" w:sz="4" w:space="0"/>
            </w:tcBorders>
            <w:vAlign w:val="center"/>
          </w:tcPr>
          <w:p>
            <w:pPr>
              <w:widowControl/>
              <w:jc w:val="left"/>
              <w:rPr>
                <w:rFonts w:ascii="宋体" w:hAnsi="宋体"/>
                <w:color w:val="auto"/>
                <w:sz w:val="24"/>
                <w:highlight w:val="none"/>
              </w:rPr>
            </w:pPr>
          </w:p>
        </w:tc>
        <w:tc>
          <w:tcPr>
            <w:tcW w:w="180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double" w:color="auto" w:sz="4" w:space="0"/>
              <w:left w:val="single" w:color="auto" w:sz="12" w:space="0"/>
              <w:bottom w:val="single" w:color="auto" w:sz="4" w:space="0"/>
              <w:right w:val="single" w:color="auto" w:sz="4" w:space="0"/>
            </w:tcBorders>
            <w:vAlign w:val="center"/>
          </w:tcPr>
          <w:p>
            <w:pPr>
              <w:widowControl/>
              <w:jc w:val="left"/>
              <w:rPr>
                <w:rFonts w:ascii="宋体" w:hAnsi="宋体"/>
                <w:color w:val="auto"/>
                <w:sz w:val="24"/>
                <w:highlight w:val="none"/>
              </w:rPr>
            </w:pPr>
          </w:p>
        </w:tc>
        <w:tc>
          <w:tcPr>
            <w:tcW w:w="180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restart"/>
            <w:tcBorders>
              <w:top w:val="single" w:color="auto" w:sz="4" w:space="0"/>
              <w:left w:val="single" w:color="auto" w:sz="12" w:space="0"/>
              <w:bottom w:val="single" w:color="auto" w:sz="12" w:space="0"/>
              <w:right w:val="single" w:color="auto" w:sz="4" w:space="0"/>
            </w:tcBorders>
            <w:vAlign w:val="center"/>
          </w:tcPr>
          <w:p>
            <w:pPr>
              <w:jc w:val="center"/>
              <w:rPr>
                <w:rFonts w:ascii="宋体" w:hAnsi="宋体"/>
                <w:color w:val="auto"/>
                <w:sz w:val="24"/>
                <w:highlight w:val="none"/>
              </w:rPr>
            </w:pPr>
            <w:r>
              <w:rPr>
                <w:rFonts w:hint="eastAsia" w:ascii="宋体" w:hAnsi="宋体"/>
                <w:color w:val="auto"/>
                <w:sz w:val="24"/>
                <w:highlight w:val="none"/>
              </w:rPr>
              <w:t>现</w:t>
            </w:r>
          </w:p>
          <w:p>
            <w:pPr>
              <w:jc w:val="center"/>
              <w:rPr>
                <w:rFonts w:ascii="宋体" w:hAnsi="宋体"/>
                <w:color w:val="auto"/>
                <w:sz w:val="24"/>
                <w:highlight w:val="none"/>
              </w:rPr>
            </w:pPr>
          </w:p>
          <w:p>
            <w:pPr>
              <w:jc w:val="center"/>
              <w:rPr>
                <w:rFonts w:ascii="宋体" w:hAnsi="宋体"/>
                <w:color w:val="auto"/>
                <w:sz w:val="24"/>
                <w:highlight w:val="none"/>
              </w:rPr>
            </w:pPr>
          </w:p>
          <w:p>
            <w:pPr>
              <w:jc w:val="center"/>
              <w:rPr>
                <w:rFonts w:ascii="宋体" w:hAnsi="宋体"/>
                <w:color w:val="auto"/>
                <w:sz w:val="24"/>
                <w:highlight w:val="none"/>
              </w:rPr>
            </w:pPr>
            <w:r>
              <w:rPr>
                <w:rFonts w:hint="eastAsia" w:ascii="宋体" w:hAnsi="宋体"/>
                <w:color w:val="auto"/>
                <w:sz w:val="24"/>
                <w:highlight w:val="none"/>
              </w:rPr>
              <w:t>场</w:t>
            </w:r>
          </w:p>
        </w:tc>
        <w:tc>
          <w:tcPr>
            <w:tcW w:w="180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 w:val="24"/>
                <w:highlight w:val="none"/>
              </w:rPr>
            </w:pPr>
            <w:r>
              <w:rPr>
                <w:rFonts w:hint="eastAsia" w:ascii="宋体" w:hAnsi="宋体"/>
                <w:color w:val="auto"/>
                <w:sz w:val="24"/>
                <w:highlight w:val="none"/>
              </w:rPr>
              <w:t>项目负责人</w:t>
            </w: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pPr>
              <w:widowControl/>
              <w:jc w:val="left"/>
              <w:rPr>
                <w:rFonts w:ascii="宋体" w:hAnsi="宋体"/>
                <w:color w:val="auto"/>
                <w:sz w:val="24"/>
                <w:highlight w:val="none"/>
              </w:rPr>
            </w:pPr>
          </w:p>
        </w:tc>
        <w:tc>
          <w:tcPr>
            <w:tcW w:w="180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 w:val="24"/>
                <w:highlight w:val="none"/>
              </w:rPr>
            </w:pPr>
            <w:r>
              <w:rPr>
                <w:rFonts w:hint="eastAsia" w:ascii="宋体" w:hAnsi="宋体"/>
                <w:color w:val="auto"/>
                <w:sz w:val="24"/>
                <w:highlight w:val="none"/>
              </w:rPr>
              <w:t>项目技术负责人</w:t>
            </w: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pPr>
              <w:widowControl/>
              <w:jc w:val="left"/>
              <w:rPr>
                <w:rFonts w:ascii="宋体" w:hAnsi="宋体"/>
                <w:color w:val="auto"/>
                <w:sz w:val="24"/>
                <w:highlight w:val="none"/>
              </w:rPr>
            </w:pPr>
          </w:p>
        </w:tc>
        <w:tc>
          <w:tcPr>
            <w:tcW w:w="180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 w:val="24"/>
                <w:highlight w:val="none"/>
              </w:rPr>
            </w:pPr>
            <w:r>
              <w:rPr>
                <w:rFonts w:hint="eastAsia" w:ascii="宋体" w:hAnsi="宋体"/>
                <w:color w:val="auto"/>
                <w:sz w:val="24"/>
                <w:highlight w:val="none"/>
              </w:rPr>
              <w:t>质量管理</w:t>
            </w: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pPr>
              <w:widowControl/>
              <w:jc w:val="left"/>
              <w:rPr>
                <w:rFonts w:ascii="宋体" w:hAnsi="宋体"/>
                <w:color w:val="auto"/>
                <w:sz w:val="24"/>
                <w:highlight w:val="none"/>
              </w:rPr>
            </w:pPr>
          </w:p>
        </w:tc>
        <w:tc>
          <w:tcPr>
            <w:tcW w:w="180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 w:val="24"/>
                <w:highlight w:val="none"/>
              </w:rPr>
            </w:pPr>
            <w:r>
              <w:rPr>
                <w:rFonts w:hint="eastAsia" w:ascii="宋体" w:hAnsi="宋体"/>
                <w:color w:val="auto"/>
                <w:sz w:val="24"/>
                <w:highlight w:val="none"/>
              </w:rPr>
              <w:t>安全管理</w:t>
            </w: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pPr>
              <w:widowControl/>
              <w:jc w:val="left"/>
              <w:rPr>
                <w:rFonts w:ascii="宋体" w:hAnsi="宋体"/>
                <w:color w:val="auto"/>
                <w:sz w:val="24"/>
                <w:highlight w:val="none"/>
              </w:rPr>
            </w:pPr>
          </w:p>
        </w:tc>
        <w:tc>
          <w:tcPr>
            <w:tcW w:w="180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 w:val="24"/>
                <w:highlight w:val="none"/>
              </w:rPr>
            </w:pPr>
            <w:r>
              <w:rPr>
                <w:rFonts w:hint="eastAsia" w:ascii="宋体" w:hAnsi="宋体"/>
                <w:color w:val="auto"/>
                <w:sz w:val="24"/>
                <w:highlight w:val="none"/>
              </w:rPr>
              <w:t>施工管理</w:t>
            </w: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pPr>
              <w:widowControl/>
              <w:jc w:val="left"/>
              <w:rPr>
                <w:rFonts w:ascii="宋体" w:hAnsi="宋体"/>
                <w:color w:val="auto"/>
                <w:sz w:val="24"/>
                <w:highlight w:val="none"/>
              </w:rPr>
            </w:pPr>
          </w:p>
        </w:tc>
        <w:tc>
          <w:tcPr>
            <w:tcW w:w="180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 w:val="24"/>
                <w:highlight w:val="none"/>
              </w:rPr>
            </w:pPr>
            <w:r>
              <w:rPr>
                <w:rFonts w:hint="eastAsia" w:ascii="宋体" w:hAnsi="宋体"/>
                <w:color w:val="auto"/>
                <w:sz w:val="24"/>
                <w:highlight w:val="none"/>
              </w:rPr>
              <w:t>计划管理</w:t>
            </w: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pPr>
              <w:widowControl/>
              <w:jc w:val="left"/>
              <w:rPr>
                <w:rFonts w:ascii="宋体" w:hAnsi="宋体"/>
                <w:color w:val="auto"/>
                <w:sz w:val="24"/>
                <w:highlight w:val="none"/>
              </w:rPr>
            </w:pPr>
          </w:p>
        </w:tc>
        <w:tc>
          <w:tcPr>
            <w:tcW w:w="1804"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r>
              <w:rPr>
                <w:rFonts w:hint="eastAsia" w:ascii="宋体" w:hAnsi="宋体"/>
                <w:color w:val="auto"/>
                <w:kern w:val="0"/>
                <w:sz w:val="24"/>
                <w:szCs w:val="20"/>
                <w:highlight w:val="none"/>
              </w:rPr>
              <w:t>材料管理</w:t>
            </w: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pPr>
              <w:widowControl/>
              <w:jc w:val="left"/>
              <w:rPr>
                <w:rFonts w:ascii="宋体" w:hAnsi="宋体"/>
                <w:color w:val="auto"/>
                <w:sz w:val="24"/>
                <w:highlight w:val="none"/>
              </w:rPr>
            </w:pPr>
          </w:p>
        </w:tc>
        <w:tc>
          <w:tcPr>
            <w:tcW w:w="1804"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pPr>
              <w:widowControl/>
              <w:jc w:val="left"/>
              <w:rPr>
                <w:rFonts w:ascii="宋体" w:hAnsi="宋体"/>
                <w:color w:val="auto"/>
                <w:sz w:val="24"/>
                <w:highlight w:val="none"/>
              </w:rPr>
            </w:pPr>
          </w:p>
        </w:tc>
        <w:tc>
          <w:tcPr>
            <w:tcW w:w="1804"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4"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4" w:space="0"/>
              <w:right w:val="single" w:color="auto" w:sz="12" w:space="0"/>
            </w:tcBorders>
            <w:vAlign w:val="center"/>
          </w:tcPr>
          <w:p>
            <w:pPr>
              <w:jc w:val="center"/>
              <w:textAlignment w:val="baseline"/>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tcBorders>
              <w:top w:val="single" w:color="auto" w:sz="4" w:space="0"/>
              <w:left w:val="single" w:color="auto" w:sz="12" w:space="0"/>
              <w:bottom w:val="single" w:color="auto" w:sz="12" w:space="0"/>
              <w:right w:val="single" w:color="auto" w:sz="4" w:space="0"/>
            </w:tcBorders>
            <w:vAlign w:val="center"/>
          </w:tcPr>
          <w:p>
            <w:pPr>
              <w:widowControl/>
              <w:jc w:val="left"/>
              <w:rPr>
                <w:rFonts w:ascii="宋体" w:hAnsi="宋体"/>
                <w:color w:val="auto"/>
                <w:sz w:val="24"/>
                <w:highlight w:val="none"/>
              </w:rPr>
            </w:pPr>
          </w:p>
        </w:tc>
        <w:tc>
          <w:tcPr>
            <w:tcW w:w="1804" w:type="dxa"/>
            <w:tcBorders>
              <w:top w:val="single" w:color="auto" w:sz="4" w:space="0"/>
              <w:left w:val="single" w:color="auto" w:sz="4" w:space="0"/>
              <w:bottom w:val="single" w:color="auto" w:sz="12"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12"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12" w:space="0"/>
              <w:right w:val="single" w:color="auto" w:sz="4" w:space="0"/>
            </w:tcBorders>
            <w:vAlign w:val="center"/>
          </w:tcPr>
          <w:p>
            <w:pPr>
              <w:jc w:val="center"/>
              <w:textAlignment w:val="baseline"/>
              <w:rPr>
                <w:rFonts w:ascii="宋体" w:hAnsi="宋体"/>
                <w:color w:val="auto"/>
                <w:sz w:val="24"/>
                <w:highlight w:val="none"/>
              </w:rPr>
            </w:pPr>
          </w:p>
        </w:tc>
        <w:tc>
          <w:tcPr>
            <w:tcW w:w="849" w:type="dxa"/>
            <w:tcBorders>
              <w:top w:val="single" w:color="auto" w:sz="4" w:space="0"/>
              <w:left w:val="single" w:color="auto" w:sz="4" w:space="0"/>
              <w:bottom w:val="single" w:color="auto" w:sz="12" w:space="0"/>
              <w:right w:val="single" w:color="auto" w:sz="4" w:space="0"/>
            </w:tcBorders>
            <w:vAlign w:val="center"/>
          </w:tcPr>
          <w:p>
            <w:pPr>
              <w:jc w:val="center"/>
              <w:textAlignment w:val="baseline"/>
              <w:rPr>
                <w:rFonts w:ascii="宋体" w:hAnsi="宋体"/>
                <w:color w:val="auto"/>
                <w:sz w:val="24"/>
                <w:highlight w:val="none"/>
              </w:rPr>
            </w:pPr>
          </w:p>
        </w:tc>
        <w:tc>
          <w:tcPr>
            <w:tcW w:w="3808" w:type="dxa"/>
            <w:tcBorders>
              <w:top w:val="single" w:color="auto" w:sz="4" w:space="0"/>
              <w:left w:val="single" w:color="auto" w:sz="4" w:space="0"/>
              <w:bottom w:val="single" w:color="auto" w:sz="12" w:space="0"/>
              <w:right w:val="single" w:color="auto" w:sz="12" w:space="0"/>
            </w:tcBorders>
            <w:vAlign w:val="center"/>
          </w:tcPr>
          <w:p>
            <w:pPr>
              <w:jc w:val="center"/>
              <w:textAlignment w:val="baseline"/>
              <w:rPr>
                <w:rFonts w:ascii="宋体" w:hAnsi="宋体"/>
                <w:color w:val="auto"/>
                <w:sz w:val="24"/>
                <w:highlight w:val="none"/>
              </w:rPr>
            </w:pPr>
          </w:p>
        </w:tc>
      </w:tr>
    </w:tbl>
    <w:p>
      <w:pPr>
        <w:rPr>
          <w:rFonts w:hAnsi="宋体" w:cs="宋体"/>
          <w:color w:val="auto"/>
          <w:highlight w:val="none"/>
        </w:rPr>
      </w:pPr>
      <w:r>
        <w:rPr>
          <w:rFonts w:hint="eastAsia" w:hAnsi="宋体" w:cs="宋体"/>
          <w:color w:val="auto"/>
          <w:highlight w:val="none"/>
        </w:rPr>
        <w:br w:type="page"/>
      </w:r>
    </w:p>
    <w:p>
      <w:pPr>
        <w:spacing w:line="400" w:lineRule="exact"/>
        <w:rPr>
          <w:rFonts w:hAnsi="宋体" w:cs="宋体"/>
          <w:b/>
          <w:bCs/>
          <w:color w:val="auto"/>
          <w:highlight w:val="none"/>
        </w:rPr>
      </w:pPr>
      <w:r>
        <w:rPr>
          <w:rFonts w:hint="eastAsia" w:hAnsi="宋体" w:cs="宋体"/>
          <w:color w:val="auto"/>
          <w:highlight w:val="none"/>
        </w:rPr>
        <w:t xml:space="preserve">附件7：    </w:t>
      </w:r>
    </w:p>
    <w:p>
      <w:pPr>
        <w:spacing w:line="440" w:lineRule="exact"/>
        <w:jc w:val="center"/>
        <w:rPr>
          <w:rFonts w:ascii="黑体" w:eastAsia="黑体"/>
          <w:b/>
          <w:bCs/>
          <w:color w:val="auto"/>
          <w:sz w:val="32"/>
          <w:szCs w:val="32"/>
          <w:highlight w:val="none"/>
        </w:rPr>
      </w:pPr>
      <w:r>
        <w:rPr>
          <w:rFonts w:hint="eastAsia" w:ascii="黑体" w:eastAsia="黑体"/>
          <w:b/>
          <w:bCs/>
          <w:color w:val="auto"/>
          <w:sz w:val="32"/>
          <w:szCs w:val="32"/>
          <w:highlight w:val="none"/>
        </w:rPr>
        <w:t>安全生产协议书</w:t>
      </w:r>
    </w:p>
    <w:p>
      <w:pPr>
        <w:snapToGrid w:val="0"/>
        <w:spacing w:line="420" w:lineRule="exact"/>
        <w:jc w:val="center"/>
        <w:rPr>
          <w:rFonts w:hAnsi="宋体"/>
          <w:color w:val="auto"/>
          <w:highlight w:val="none"/>
        </w:rPr>
      </w:pPr>
      <w:r>
        <w:rPr>
          <w:rFonts w:hint="eastAsia" w:hAnsi="宋体"/>
          <w:color w:val="auto"/>
          <w:highlight w:val="none"/>
        </w:rPr>
        <w:t>（发包人与承包人）</w:t>
      </w:r>
    </w:p>
    <w:p>
      <w:pPr>
        <w:widowControl/>
        <w:spacing w:line="420" w:lineRule="exact"/>
        <w:rPr>
          <w:rFonts w:hAnsi="宋体"/>
          <w:color w:val="auto"/>
          <w:szCs w:val="21"/>
          <w:highlight w:val="none"/>
        </w:rPr>
      </w:pPr>
      <w:r>
        <w:rPr>
          <w:rFonts w:hint="eastAsia" w:hAnsi="宋体"/>
          <w:color w:val="auto"/>
          <w:szCs w:val="21"/>
          <w:highlight w:val="none"/>
        </w:rPr>
        <w:t>发包人：（以下简称“甲方”）</w:t>
      </w:r>
    </w:p>
    <w:p>
      <w:pPr>
        <w:widowControl/>
        <w:spacing w:line="420" w:lineRule="exact"/>
        <w:rPr>
          <w:rFonts w:hAnsi="宋体"/>
          <w:color w:val="auto"/>
          <w:highlight w:val="none"/>
          <w:u w:val="single"/>
        </w:rPr>
      </w:pPr>
      <w:r>
        <w:rPr>
          <w:rFonts w:hint="eastAsia" w:hAnsi="宋体"/>
          <w:color w:val="auto"/>
          <w:highlight w:val="none"/>
        </w:rPr>
        <w:t>承包人：（以下简称“乙方”）</w:t>
      </w:r>
    </w:p>
    <w:p>
      <w:pPr>
        <w:snapToGrid w:val="0"/>
        <w:spacing w:line="420" w:lineRule="exact"/>
        <w:ind w:firstLine="420"/>
        <w:rPr>
          <w:rFonts w:hAnsi="宋体"/>
          <w:color w:val="auto"/>
          <w:highlight w:val="none"/>
        </w:rPr>
      </w:pPr>
      <w:r>
        <w:rPr>
          <w:rFonts w:hint="eastAsia" w:hAnsi="宋体"/>
          <w:color w:val="auto"/>
          <w:highlight w:val="none"/>
        </w:rPr>
        <w:t>为在施工合同的实施过程中创造安全、高效的施工环境，切实搞好本项目的安全管理工作，特此签订安全生产合同。具体如下：</w:t>
      </w:r>
    </w:p>
    <w:p>
      <w:pPr>
        <w:snapToGrid w:val="0"/>
        <w:spacing w:line="420" w:lineRule="exact"/>
        <w:ind w:firstLine="422"/>
        <w:rPr>
          <w:rFonts w:hAnsi="宋体"/>
          <w:b/>
          <w:color w:val="auto"/>
          <w:highlight w:val="none"/>
        </w:rPr>
      </w:pPr>
      <w:r>
        <w:rPr>
          <w:rFonts w:hint="eastAsia" w:hAnsi="宋体"/>
          <w:b/>
          <w:color w:val="auto"/>
          <w:highlight w:val="none"/>
        </w:rPr>
        <w:t>一、</w:t>
      </w:r>
      <w:r>
        <w:rPr>
          <w:rFonts w:hint="eastAsia" w:hAnsi="宋体"/>
          <w:color w:val="auto"/>
          <w:highlight w:val="none"/>
        </w:rPr>
        <w:t>甲方职责</w:t>
      </w:r>
    </w:p>
    <w:p>
      <w:pPr>
        <w:snapToGrid w:val="0"/>
        <w:spacing w:line="420" w:lineRule="exact"/>
        <w:ind w:firstLine="420"/>
        <w:rPr>
          <w:rFonts w:hAnsi="宋体"/>
          <w:color w:val="auto"/>
          <w:highlight w:val="none"/>
        </w:rPr>
      </w:pPr>
      <w:r>
        <w:rPr>
          <w:rFonts w:hint="eastAsia" w:hAnsi="宋体"/>
          <w:color w:val="auto"/>
          <w:highlight w:val="none"/>
        </w:rPr>
        <w:t>1．严格遵守国家有关安全生产的法律法规，认真执行工程承包合同中的有关安全要求。</w:t>
      </w:r>
    </w:p>
    <w:p>
      <w:pPr>
        <w:snapToGrid w:val="0"/>
        <w:spacing w:line="420" w:lineRule="exact"/>
        <w:ind w:firstLine="420"/>
        <w:rPr>
          <w:rFonts w:hAnsi="宋体"/>
          <w:color w:val="auto"/>
          <w:highlight w:val="none"/>
        </w:rPr>
      </w:pPr>
      <w:r>
        <w:rPr>
          <w:rFonts w:hint="eastAsia" w:hAnsi="宋体"/>
          <w:color w:val="auto"/>
          <w:highlight w:val="none"/>
        </w:rPr>
        <w:t>2．按照“安全第一、预防为主”和坚持“管生产必需管安全”的原则进行安全生产管理，做到生产与安全工作同时计划、布置、检查、总结和评比。</w:t>
      </w:r>
    </w:p>
    <w:p>
      <w:pPr>
        <w:snapToGrid w:val="0"/>
        <w:spacing w:line="420" w:lineRule="exact"/>
        <w:ind w:firstLine="420"/>
        <w:rPr>
          <w:rFonts w:hAnsi="宋体"/>
          <w:color w:val="auto"/>
          <w:highlight w:val="none"/>
        </w:rPr>
      </w:pPr>
      <w:r>
        <w:rPr>
          <w:rFonts w:hint="eastAsia" w:hAnsi="宋体"/>
          <w:color w:val="auto"/>
          <w:highlight w:val="none"/>
        </w:rPr>
        <w:t>3．定期召开安全生产协调会，及时传达中央及地方有关安全生产的精神。</w:t>
      </w:r>
    </w:p>
    <w:p>
      <w:pPr>
        <w:snapToGrid w:val="0"/>
        <w:spacing w:line="420" w:lineRule="exact"/>
        <w:ind w:firstLine="420"/>
        <w:rPr>
          <w:rFonts w:hAnsi="宋体"/>
          <w:color w:val="auto"/>
          <w:highlight w:val="none"/>
        </w:rPr>
      </w:pPr>
      <w:r>
        <w:rPr>
          <w:rFonts w:hint="eastAsia" w:hAnsi="宋体"/>
          <w:color w:val="auto"/>
          <w:highlight w:val="none"/>
        </w:rPr>
        <w:t>4．组织对乙方施工现场安全生产检查，建立安全生产责任制网络、汇总重要危险源、监督乙方及时处理发现的各种安全隐患。</w:t>
      </w:r>
    </w:p>
    <w:p>
      <w:pPr>
        <w:snapToGrid w:val="0"/>
        <w:spacing w:line="420" w:lineRule="exact"/>
        <w:ind w:firstLine="422"/>
        <w:rPr>
          <w:rFonts w:hAnsi="宋体"/>
          <w:b/>
          <w:color w:val="auto"/>
          <w:highlight w:val="none"/>
        </w:rPr>
      </w:pPr>
      <w:r>
        <w:rPr>
          <w:rFonts w:hint="eastAsia" w:hAnsi="宋体"/>
          <w:b/>
          <w:color w:val="auto"/>
          <w:highlight w:val="none"/>
        </w:rPr>
        <w:t>二、</w:t>
      </w:r>
      <w:r>
        <w:rPr>
          <w:rFonts w:hint="eastAsia" w:hAnsi="宋体"/>
          <w:color w:val="auto"/>
          <w:highlight w:val="none"/>
        </w:rPr>
        <w:t>乙方职责</w:t>
      </w:r>
    </w:p>
    <w:p>
      <w:pPr>
        <w:snapToGrid w:val="0"/>
        <w:spacing w:line="420" w:lineRule="exact"/>
        <w:ind w:firstLine="420"/>
        <w:rPr>
          <w:rFonts w:hAnsi="宋体"/>
          <w:color w:val="auto"/>
          <w:highlight w:val="none"/>
        </w:rPr>
      </w:pPr>
      <w:r>
        <w:rPr>
          <w:rFonts w:hint="eastAsia" w:hAnsi="宋体"/>
          <w:color w:val="auto"/>
          <w:highlight w:val="none"/>
        </w:rPr>
        <w:t>1．严格遵守国家有关安全生产的法律法规、有关安全生产的规定，认真执行工程承包合同中的有关安全要求，接受甲方和监理工程师对安全生产工作的指导。</w:t>
      </w:r>
    </w:p>
    <w:p>
      <w:pPr>
        <w:snapToGrid w:val="0"/>
        <w:spacing w:line="420" w:lineRule="exact"/>
        <w:ind w:firstLine="420"/>
        <w:rPr>
          <w:rFonts w:hAnsi="宋体"/>
          <w:color w:val="auto"/>
          <w:highlight w:val="none"/>
        </w:rPr>
      </w:pPr>
      <w:r>
        <w:rPr>
          <w:rFonts w:hint="eastAsia" w:hAnsi="宋体"/>
          <w:color w:val="auto"/>
          <w:highlight w:val="none"/>
        </w:rPr>
        <w:t>2．坚持“安全第一、预防为主”和“管生产必须管安全”的原则，加强安全生产宣传教育，增强全员安全生产意识，建立健全各项安全生产管理制度，配备专职及兼职安全检查人员，有组织有领导地开展安全生产活动。各级领导、工程技术人员、生产管理人员和具体操作人员，必须熟悉和遵守本条款的各项规定，做到生产与安全工作同时计划、布置、检查、总结和评比。</w:t>
      </w:r>
    </w:p>
    <w:p>
      <w:pPr>
        <w:snapToGrid w:val="0"/>
        <w:spacing w:line="420" w:lineRule="exact"/>
        <w:ind w:firstLine="420"/>
        <w:rPr>
          <w:rFonts w:hAnsi="宋体"/>
          <w:color w:val="auto"/>
          <w:highlight w:val="none"/>
        </w:rPr>
      </w:pPr>
      <w:r>
        <w:rPr>
          <w:rFonts w:hint="eastAsia" w:hAnsi="宋体"/>
          <w:color w:val="auto"/>
          <w:highlight w:val="none"/>
        </w:rPr>
        <w:t>3．建立健全安全生产责任制网络。从派往项目实施的项目经理到生产工人（包括临时雇请的民工）的安全生产管理系统必须做到纵向到底，一环不漏；各职能部门、人员的安全生产责任制做到横向到边，人人有责。施工单位的主要负责人是工程的安全生产负责人，对安全生产负领导责任，项目经理是工程的安全生产责任人，对安全生产负直接责任，专职安全员和安全员是工程现场的安全生产直接责任人，对安全生产具体负责。现场设置的安全机构，应按施工合同约定，配备安全员（其中专职安全员不少于1人），专职负责所有员工的安全和治安保卫工作及预防事故的发生。安全机构人员，有权按有关规定发布指令，并采取保护性措施防止事故发生。</w:t>
      </w:r>
    </w:p>
    <w:p>
      <w:pPr>
        <w:snapToGrid w:val="0"/>
        <w:spacing w:line="420" w:lineRule="exact"/>
        <w:ind w:firstLine="420"/>
        <w:rPr>
          <w:rFonts w:hAnsi="宋体"/>
          <w:color w:val="auto"/>
          <w:highlight w:val="none"/>
        </w:rPr>
      </w:pPr>
      <w:r>
        <w:rPr>
          <w:rFonts w:hint="eastAsia" w:hAnsi="宋体"/>
          <w:color w:val="auto"/>
          <w:highlight w:val="none"/>
        </w:rPr>
        <w:t>4．乙方在任何时侯都应采取各种合理的预防措施，防止其人员发生任何违法、违禁、暴力、违规或妨碍治安的行为。</w:t>
      </w:r>
    </w:p>
    <w:p>
      <w:pPr>
        <w:snapToGrid w:val="0"/>
        <w:spacing w:line="420" w:lineRule="exact"/>
        <w:ind w:firstLine="420"/>
        <w:rPr>
          <w:rFonts w:hAnsi="宋体"/>
          <w:color w:val="auto"/>
          <w:highlight w:val="none"/>
        </w:rPr>
      </w:pPr>
      <w:r>
        <w:rPr>
          <w:rFonts w:hint="eastAsia" w:hAnsi="宋体"/>
          <w:color w:val="auto"/>
          <w:highlight w:val="none"/>
        </w:rPr>
        <w:t>5．乙方必须具有省部级行政主管部门颁发的安全生产证书，参加施工的人员，必须按受安全技术教育，熟知和遵守本工程的各项安全技术操作规程，定期进行安全技术考核，合格者方准上岗操作，对于从事机动车驾驶、电气、起重、建筑登高架设作业、焊接等特殊工程的人员须持证上岗。施工现场如发现无证操作现象时，项目经理必须承担管理责任。</w:t>
      </w:r>
    </w:p>
    <w:p>
      <w:pPr>
        <w:snapToGrid w:val="0"/>
        <w:spacing w:line="420" w:lineRule="exact"/>
        <w:ind w:firstLine="420"/>
        <w:rPr>
          <w:rFonts w:hAnsi="宋体"/>
          <w:color w:val="auto"/>
          <w:highlight w:val="none"/>
        </w:rPr>
      </w:pPr>
      <w:r>
        <w:rPr>
          <w:rFonts w:hint="eastAsia" w:hAnsi="宋体"/>
          <w:color w:val="auto"/>
          <w:highlight w:val="none"/>
        </w:rPr>
        <w:t>6．加强施工中交通运输安全管理，各种运输机械等需划定运输路线行驶。</w:t>
      </w:r>
    </w:p>
    <w:p>
      <w:pPr>
        <w:snapToGrid w:val="0"/>
        <w:spacing w:line="420" w:lineRule="exact"/>
        <w:ind w:firstLine="420"/>
        <w:rPr>
          <w:rFonts w:hAnsi="宋体"/>
          <w:color w:val="auto"/>
          <w:highlight w:val="none"/>
        </w:rPr>
      </w:pPr>
      <w:r>
        <w:rPr>
          <w:rFonts w:hint="eastAsia" w:hAnsi="宋体"/>
          <w:color w:val="auto"/>
          <w:highlight w:val="none"/>
        </w:rPr>
        <w:t>7．对于易燃易爆的材料除应专门有效封闭、妥善保管之外，还应配备有足够的消防设施，所有施工人员都应熟悉消防设备的性能和使用方法。</w:t>
      </w:r>
    </w:p>
    <w:p>
      <w:pPr>
        <w:snapToGrid w:val="0"/>
        <w:spacing w:line="420" w:lineRule="exact"/>
        <w:ind w:firstLine="420"/>
        <w:rPr>
          <w:rFonts w:hAnsi="宋体"/>
          <w:color w:val="auto"/>
          <w:highlight w:val="none"/>
        </w:rPr>
      </w:pPr>
      <w:r>
        <w:rPr>
          <w:rFonts w:hint="eastAsia" w:hAnsi="宋体"/>
          <w:color w:val="auto"/>
          <w:highlight w:val="none"/>
        </w:rPr>
        <w:t>8．操作人员上岗，必须按规定穿戴防护用品。施工负责人和安全检查员应随时检查劳动防护用品的穿戴情况，不按规定穿戴防护用品的人员不得上岗。</w:t>
      </w:r>
    </w:p>
    <w:p>
      <w:pPr>
        <w:snapToGrid w:val="0"/>
        <w:spacing w:line="420" w:lineRule="exact"/>
        <w:ind w:firstLine="420"/>
        <w:rPr>
          <w:rFonts w:hAnsi="宋体"/>
          <w:color w:val="auto"/>
          <w:highlight w:val="none"/>
        </w:rPr>
      </w:pPr>
      <w:r>
        <w:rPr>
          <w:rFonts w:hint="eastAsia" w:hAnsi="宋体"/>
          <w:color w:val="auto"/>
          <w:highlight w:val="none"/>
        </w:rPr>
        <w:t>9．所有施工机具、设备和劳动保护用品应具备有效的安检合格证明，并经安全员签字同意后方可使用，施工期间应定期检查，保证其处于完好状态；不合格的机具、设备和劳动保护用品严禁使用。</w:t>
      </w:r>
    </w:p>
    <w:p>
      <w:pPr>
        <w:snapToGrid w:val="0"/>
        <w:spacing w:line="420" w:lineRule="exact"/>
        <w:ind w:firstLine="420"/>
        <w:rPr>
          <w:rFonts w:hAnsi="宋体"/>
          <w:color w:val="auto"/>
          <w:highlight w:val="none"/>
        </w:rPr>
      </w:pPr>
      <w:r>
        <w:rPr>
          <w:rFonts w:hint="eastAsia" w:hAnsi="宋体"/>
          <w:color w:val="auto"/>
          <w:highlight w:val="none"/>
        </w:rPr>
        <w:t>10．施工现场必须具有相关的安全标志牌。</w:t>
      </w:r>
    </w:p>
    <w:p>
      <w:pPr>
        <w:snapToGrid w:val="0"/>
        <w:spacing w:line="420" w:lineRule="exact"/>
        <w:ind w:firstLine="420"/>
        <w:rPr>
          <w:rFonts w:hAnsi="宋体"/>
          <w:color w:val="auto"/>
          <w:highlight w:val="none"/>
        </w:rPr>
      </w:pPr>
      <w:r>
        <w:rPr>
          <w:rFonts w:hint="eastAsia" w:hAnsi="宋体"/>
          <w:color w:val="auto"/>
          <w:highlight w:val="none"/>
        </w:rPr>
        <w:t>11．建立主要危险源备案制度，要明确潜在隐患、防范措施和落实责任人。</w:t>
      </w:r>
    </w:p>
    <w:p>
      <w:pPr>
        <w:snapToGrid w:val="0"/>
        <w:spacing w:line="420" w:lineRule="exact"/>
        <w:ind w:firstLine="420"/>
        <w:rPr>
          <w:rFonts w:hAnsi="宋体"/>
          <w:color w:val="auto"/>
          <w:highlight w:val="none"/>
        </w:rPr>
      </w:pPr>
      <w:r>
        <w:rPr>
          <w:rFonts w:hint="eastAsia" w:hAnsi="宋体"/>
          <w:color w:val="auto"/>
          <w:highlight w:val="none"/>
        </w:rPr>
        <w:t>12．乙方必须按照本工程项目特点，组织制定本工程实施中的生产安全事故应急救援预案；如果发生安全事故，应按照《国务院关于特大安全事故行政责任追究的规定》以及其它有关规定，及时上报有关部门，并坚持“三不放过”的原则，严肃处理相关责任人。</w:t>
      </w:r>
    </w:p>
    <w:p>
      <w:pPr>
        <w:snapToGrid w:val="0"/>
        <w:spacing w:line="420" w:lineRule="exact"/>
        <w:ind w:firstLine="422"/>
        <w:rPr>
          <w:rFonts w:hAnsi="宋体"/>
          <w:b/>
          <w:color w:val="auto"/>
          <w:highlight w:val="none"/>
        </w:rPr>
      </w:pPr>
      <w:r>
        <w:rPr>
          <w:rFonts w:hint="eastAsia" w:hAnsi="宋体"/>
          <w:b/>
          <w:color w:val="auto"/>
          <w:highlight w:val="none"/>
        </w:rPr>
        <w:t>三、</w:t>
      </w:r>
      <w:r>
        <w:rPr>
          <w:rFonts w:hint="eastAsia" w:hAnsi="宋体"/>
          <w:color w:val="auto"/>
          <w:highlight w:val="none"/>
        </w:rPr>
        <w:t>违约责任</w:t>
      </w:r>
    </w:p>
    <w:p>
      <w:pPr>
        <w:snapToGrid w:val="0"/>
        <w:spacing w:line="420" w:lineRule="exact"/>
        <w:ind w:firstLine="420"/>
        <w:rPr>
          <w:rFonts w:hAnsi="宋体"/>
          <w:color w:val="auto"/>
          <w:highlight w:val="none"/>
        </w:rPr>
      </w:pPr>
      <w:r>
        <w:rPr>
          <w:rFonts w:hint="eastAsia" w:hAnsi="宋体"/>
          <w:color w:val="auto"/>
          <w:highlight w:val="none"/>
        </w:rPr>
        <w:t>如因甲方或乙方违约造成安全事故，将报请有关部门依法追究责任。</w:t>
      </w:r>
    </w:p>
    <w:p>
      <w:pPr>
        <w:snapToGrid w:val="0"/>
        <w:spacing w:line="420" w:lineRule="exact"/>
        <w:ind w:firstLine="420"/>
        <w:rPr>
          <w:rFonts w:hAnsi="宋体"/>
          <w:color w:val="auto"/>
          <w:highlight w:val="none"/>
        </w:rPr>
      </w:pPr>
      <w:r>
        <w:rPr>
          <w:rFonts w:hint="eastAsia" w:hAnsi="宋体"/>
          <w:color w:val="auto"/>
          <w:highlight w:val="none"/>
        </w:rPr>
        <w:t>本合同一式二份，由双方法定代表人或其授权的代理人签署和加盖公章后生效，全部工程竣工验收后失效。</w:t>
      </w:r>
    </w:p>
    <w:p>
      <w:pPr>
        <w:snapToGrid w:val="0"/>
        <w:spacing w:line="420" w:lineRule="exact"/>
        <w:ind w:firstLine="420"/>
        <w:rPr>
          <w:rFonts w:hAnsi="宋体"/>
          <w:color w:val="auto"/>
          <w:highlight w:val="none"/>
        </w:rPr>
      </w:pPr>
    </w:p>
    <w:p>
      <w:pPr>
        <w:snapToGrid w:val="0"/>
        <w:spacing w:line="420" w:lineRule="exact"/>
        <w:ind w:firstLine="420"/>
        <w:rPr>
          <w:rFonts w:hAnsi="宋体"/>
          <w:color w:val="auto"/>
          <w:highlight w:val="none"/>
        </w:rPr>
      </w:pPr>
      <w:r>
        <w:rPr>
          <w:rFonts w:hint="eastAsia" w:hAnsi="宋体"/>
          <w:color w:val="auto"/>
          <w:highlight w:val="none"/>
        </w:rPr>
        <w:t xml:space="preserve">甲      方：                         乙    方：                     </w:t>
      </w:r>
    </w:p>
    <w:p>
      <w:pPr>
        <w:snapToGrid w:val="0"/>
        <w:spacing w:line="420" w:lineRule="exact"/>
        <w:ind w:firstLine="420"/>
        <w:rPr>
          <w:rFonts w:hAnsi="宋体"/>
          <w:color w:val="auto"/>
          <w:highlight w:val="none"/>
        </w:rPr>
      </w:pPr>
      <w:r>
        <w:rPr>
          <w:rFonts w:hint="eastAsia" w:hAnsi="宋体"/>
          <w:color w:val="auto"/>
          <w:highlight w:val="none"/>
        </w:rPr>
        <w:t>法定代表人（或授权代理人）：         法定代表人（或授权代理人）：</w:t>
      </w:r>
    </w:p>
    <w:p>
      <w:pPr>
        <w:snapToGrid w:val="0"/>
        <w:spacing w:line="420" w:lineRule="exact"/>
        <w:ind w:firstLine="420"/>
        <w:rPr>
          <w:rFonts w:hAnsi="宋体"/>
          <w:color w:val="auto"/>
          <w:highlight w:val="none"/>
        </w:rPr>
      </w:pPr>
      <w:r>
        <w:rPr>
          <w:rFonts w:hint="eastAsia" w:hAnsi="宋体"/>
          <w:color w:val="auto"/>
          <w:highlight w:val="none"/>
        </w:rPr>
        <w:t xml:space="preserve">地       址：                        地     址：             </w:t>
      </w:r>
    </w:p>
    <w:p>
      <w:pPr>
        <w:snapToGrid w:val="0"/>
        <w:spacing w:line="420" w:lineRule="exact"/>
        <w:ind w:firstLine="420"/>
        <w:rPr>
          <w:rFonts w:hAnsi="宋体"/>
          <w:color w:val="auto"/>
          <w:highlight w:val="none"/>
        </w:rPr>
      </w:pPr>
      <w:r>
        <w:rPr>
          <w:rFonts w:hint="eastAsia" w:hAnsi="宋体"/>
          <w:color w:val="auto"/>
          <w:highlight w:val="none"/>
        </w:rPr>
        <w:t xml:space="preserve">电       话：                        电     话：              </w:t>
      </w:r>
    </w:p>
    <w:p>
      <w:pPr>
        <w:snapToGrid w:val="0"/>
        <w:spacing w:line="420" w:lineRule="exact"/>
        <w:ind w:firstLine="420"/>
        <w:rPr>
          <w:rFonts w:hAnsi="宋体"/>
          <w:color w:val="auto"/>
          <w:highlight w:val="none"/>
        </w:rPr>
      </w:pPr>
    </w:p>
    <w:p>
      <w:pPr>
        <w:rPr>
          <w:rFonts w:hint="eastAsia" w:hAnsi="宋体"/>
          <w:color w:val="auto"/>
          <w:highlight w:val="none"/>
        </w:rPr>
      </w:pPr>
    </w:p>
    <w:p>
      <w:pPr>
        <w:rPr>
          <w:rFonts w:hAnsi="宋体"/>
          <w:b/>
          <w:color w:val="auto"/>
          <w:sz w:val="24"/>
          <w:highlight w:val="none"/>
        </w:rPr>
      </w:pPr>
      <w:r>
        <w:rPr>
          <w:rFonts w:hint="eastAsia" w:hAnsi="宋体"/>
          <w:color w:val="auto"/>
          <w:highlight w:val="none"/>
        </w:rPr>
        <w:t>日     期：    年   月    日</w:t>
      </w:r>
    </w:p>
    <w:p>
      <w:pPr>
        <w:rPr>
          <w:rFonts w:hAnsi="宋体"/>
          <w:b/>
          <w:color w:val="auto"/>
          <w:sz w:val="24"/>
          <w:highlight w:val="none"/>
        </w:rPr>
      </w:pPr>
      <w:r>
        <w:rPr>
          <w:rFonts w:hAnsi="宋体"/>
          <w:b/>
          <w:color w:val="auto"/>
          <w:sz w:val="24"/>
          <w:highlight w:val="none"/>
        </w:rPr>
        <w:br w:type="page"/>
      </w:r>
    </w:p>
    <w:p>
      <w:pPr>
        <w:widowControl/>
        <w:spacing w:line="360" w:lineRule="auto"/>
        <w:jc w:val="center"/>
        <w:rPr>
          <w:b/>
          <w:bCs/>
          <w:color w:val="auto"/>
          <w:sz w:val="24"/>
          <w:highlight w:val="none"/>
        </w:rPr>
      </w:pPr>
      <w:r>
        <w:rPr>
          <w:rFonts w:hAnsi="宋体"/>
          <w:b/>
          <w:color w:val="auto"/>
          <w:sz w:val="36"/>
          <w:szCs w:val="36"/>
          <w:highlight w:val="none"/>
        </w:rPr>
        <w:t>第四章</w:t>
      </w:r>
      <w:r>
        <w:rPr>
          <w:rFonts w:hint="eastAsia" w:hAnsi="宋体"/>
          <w:b/>
          <w:color w:val="auto"/>
          <w:sz w:val="36"/>
          <w:szCs w:val="36"/>
          <w:highlight w:val="none"/>
        </w:rPr>
        <w:t xml:space="preserve">  </w:t>
      </w:r>
      <w:r>
        <w:rPr>
          <w:rFonts w:hAnsi="宋体"/>
          <w:b/>
          <w:color w:val="auto"/>
          <w:sz w:val="36"/>
          <w:szCs w:val="36"/>
          <w:highlight w:val="none"/>
        </w:rPr>
        <w:t>工程建设标准</w:t>
      </w:r>
      <w:bookmarkEnd w:id="34"/>
    </w:p>
    <w:p>
      <w:pPr>
        <w:spacing w:line="360" w:lineRule="auto"/>
        <w:ind w:right="-233" w:rightChars="-111"/>
        <w:jc w:val="left"/>
        <w:rPr>
          <w:b/>
          <w:bCs/>
          <w:color w:val="auto"/>
          <w:sz w:val="24"/>
          <w:highlight w:val="none"/>
        </w:rPr>
      </w:pPr>
      <w:r>
        <w:rPr>
          <w:rFonts w:hAnsi="宋体"/>
          <w:b/>
          <w:bCs/>
          <w:color w:val="auto"/>
          <w:sz w:val="24"/>
          <w:highlight w:val="none"/>
        </w:rPr>
        <w:t>一、工程采用的计价规范</w:t>
      </w:r>
    </w:p>
    <w:p>
      <w:pPr>
        <w:spacing w:line="360" w:lineRule="auto"/>
        <w:ind w:right="-233" w:rightChars="-111"/>
        <w:jc w:val="left"/>
        <w:rPr>
          <w:color w:val="auto"/>
          <w:sz w:val="24"/>
          <w:highlight w:val="none"/>
        </w:rPr>
      </w:pPr>
      <w:r>
        <w:rPr>
          <w:rFonts w:hint="eastAsia"/>
          <w:color w:val="auto"/>
          <w:sz w:val="24"/>
          <w:highlight w:val="none"/>
        </w:rPr>
        <w:t>1、《建设工程工程量清单计价规范》（GB50500-2013）</w:t>
      </w:r>
    </w:p>
    <w:p>
      <w:pPr>
        <w:spacing w:line="360" w:lineRule="auto"/>
        <w:ind w:right="-233" w:rightChars="-111"/>
        <w:jc w:val="left"/>
        <w:rPr>
          <w:color w:val="auto"/>
          <w:sz w:val="24"/>
          <w:highlight w:val="none"/>
        </w:rPr>
      </w:pPr>
      <w:r>
        <w:rPr>
          <w:rFonts w:hint="eastAsia"/>
          <w:color w:val="auto"/>
          <w:sz w:val="24"/>
          <w:highlight w:val="none"/>
        </w:rPr>
        <w:t>2、《通用安装工程工程量计算规范》（GB50856-2013）</w:t>
      </w:r>
    </w:p>
    <w:p>
      <w:pPr>
        <w:spacing w:line="360" w:lineRule="auto"/>
        <w:ind w:right="-233" w:rightChars="-111"/>
        <w:jc w:val="left"/>
        <w:rPr>
          <w:color w:val="auto"/>
          <w:sz w:val="24"/>
          <w:highlight w:val="none"/>
        </w:rPr>
      </w:pPr>
      <w:r>
        <w:rPr>
          <w:rFonts w:hint="eastAsia"/>
          <w:color w:val="auto"/>
          <w:sz w:val="24"/>
          <w:highlight w:val="none"/>
        </w:rPr>
        <w:t>3、《江苏省安装工程计价定额》2014年版</w:t>
      </w:r>
    </w:p>
    <w:p>
      <w:pPr>
        <w:spacing w:line="360" w:lineRule="auto"/>
        <w:ind w:right="-233" w:rightChars="-111"/>
        <w:jc w:val="left"/>
        <w:rPr>
          <w:color w:val="auto"/>
          <w:sz w:val="24"/>
          <w:highlight w:val="none"/>
        </w:rPr>
      </w:pPr>
      <w:r>
        <w:rPr>
          <w:rFonts w:hint="eastAsia"/>
          <w:color w:val="auto"/>
          <w:sz w:val="24"/>
          <w:highlight w:val="none"/>
        </w:rPr>
        <w:t>4、《江苏省建设工程费用定额》2014年版</w:t>
      </w:r>
    </w:p>
    <w:p>
      <w:pPr>
        <w:spacing w:line="360" w:lineRule="auto"/>
        <w:ind w:right="-233" w:rightChars="-111"/>
        <w:jc w:val="left"/>
        <w:rPr>
          <w:color w:val="auto"/>
          <w:sz w:val="24"/>
          <w:highlight w:val="none"/>
        </w:rPr>
      </w:pPr>
      <w:r>
        <w:rPr>
          <w:color w:val="auto"/>
          <w:sz w:val="24"/>
          <w:highlight w:val="none"/>
        </w:rPr>
        <w:t>5</w:t>
      </w:r>
      <w:r>
        <w:rPr>
          <w:rFonts w:hAnsi="宋体"/>
          <w:color w:val="auto"/>
          <w:sz w:val="24"/>
          <w:highlight w:val="none"/>
        </w:rPr>
        <w:t>、江苏省、南通市现行的工程造价计价文件。</w:t>
      </w:r>
    </w:p>
    <w:p>
      <w:pPr>
        <w:spacing w:line="360" w:lineRule="auto"/>
        <w:ind w:right="-233" w:rightChars="-111"/>
        <w:jc w:val="left"/>
        <w:rPr>
          <w:b/>
          <w:bCs/>
          <w:color w:val="auto"/>
          <w:sz w:val="24"/>
          <w:highlight w:val="none"/>
        </w:rPr>
      </w:pPr>
      <w:r>
        <w:rPr>
          <w:rFonts w:hAnsi="宋体"/>
          <w:b/>
          <w:bCs/>
          <w:color w:val="auto"/>
          <w:sz w:val="24"/>
          <w:highlight w:val="none"/>
        </w:rPr>
        <w:t>二、本工程采用的技术规范</w:t>
      </w:r>
    </w:p>
    <w:p>
      <w:pPr>
        <w:spacing w:line="360" w:lineRule="auto"/>
        <w:ind w:right="-233" w:rightChars="-111"/>
        <w:jc w:val="left"/>
        <w:rPr>
          <w:color w:val="auto"/>
          <w:sz w:val="24"/>
          <w:highlight w:val="none"/>
        </w:rPr>
      </w:pPr>
      <w:r>
        <w:rPr>
          <w:color w:val="auto"/>
          <w:sz w:val="24"/>
          <w:highlight w:val="none"/>
        </w:rPr>
        <w:t>1</w:t>
      </w:r>
      <w:r>
        <w:rPr>
          <w:rFonts w:hAnsi="宋体"/>
          <w:color w:val="auto"/>
          <w:sz w:val="24"/>
          <w:highlight w:val="none"/>
        </w:rPr>
        <w:t>、《建筑工程施工质量验收统一标准》（</w:t>
      </w:r>
      <w:r>
        <w:rPr>
          <w:color w:val="auto"/>
          <w:sz w:val="24"/>
          <w:highlight w:val="none"/>
        </w:rPr>
        <w:t>GB50300-2001</w:t>
      </w:r>
      <w:r>
        <w:rPr>
          <w:rFonts w:hAnsi="宋体"/>
          <w:color w:val="auto"/>
          <w:sz w:val="24"/>
          <w:highlight w:val="none"/>
        </w:rPr>
        <w:t>）；</w:t>
      </w:r>
    </w:p>
    <w:p>
      <w:pPr>
        <w:spacing w:line="360" w:lineRule="auto"/>
        <w:ind w:right="-233" w:rightChars="-111"/>
        <w:jc w:val="left"/>
        <w:rPr>
          <w:color w:val="auto"/>
          <w:sz w:val="24"/>
          <w:highlight w:val="none"/>
        </w:rPr>
      </w:pPr>
      <w:r>
        <w:rPr>
          <w:color w:val="auto"/>
          <w:sz w:val="24"/>
          <w:highlight w:val="none"/>
        </w:rPr>
        <w:t>2</w:t>
      </w:r>
      <w:r>
        <w:rPr>
          <w:rFonts w:hAnsi="宋体"/>
          <w:color w:val="auto"/>
          <w:sz w:val="24"/>
          <w:highlight w:val="none"/>
        </w:rPr>
        <w:t>、设计文件中明确的有关技术标准、规定；</w:t>
      </w:r>
    </w:p>
    <w:p>
      <w:pPr>
        <w:spacing w:line="360" w:lineRule="auto"/>
        <w:ind w:right="-233" w:rightChars="-111" w:firstLine="480" w:firstLineChars="200"/>
        <w:jc w:val="left"/>
        <w:rPr>
          <w:color w:val="auto"/>
          <w:sz w:val="24"/>
          <w:highlight w:val="none"/>
        </w:rPr>
      </w:pPr>
      <w:r>
        <w:rPr>
          <w:rFonts w:hAnsi="宋体"/>
          <w:color w:val="auto"/>
          <w:sz w:val="24"/>
          <w:highlight w:val="none"/>
        </w:rPr>
        <w:t>上述技术标准和规范如有不足之处或未能达到国际最新标准时，投标方应使系统的设计、施工及选用的设备</w:t>
      </w:r>
      <w:r>
        <w:rPr>
          <w:color w:val="auto"/>
          <w:sz w:val="24"/>
          <w:highlight w:val="none"/>
        </w:rPr>
        <w:t>/</w:t>
      </w:r>
      <w:r>
        <w:rPr>
          <w:rFonts w:hAnsi="宋体"/>
          <w:color w:val="auto"/>
          <w:sz w:val="24"/>
          <w:highlight w:val="none"/>
        </w:rPr>
        <w:t>材料符合最新版本的国际和国家标准、规范，并提供所采用的国际和国家标准、规范及所采用版本的有关技术资料。</w:t>
      </w:r>
    </w:p>
    <w:p>
      <w:pPr>
        <w:spacing w:line="360" w:lineRule="auto"/>
        <w:ind w:right="-233" w:rightChars="-111"/>
        <w:jc w:val="left"/>
        <w:rPr>
          <w:b/>
          <w:bCs/>
          <w:color w:val="auto"/>
          <w:sz w:val="24"/>
          <w:highlight w:val="none"/>
        </w:rPr>
      </w:pPr>
      <w:r>
        <w:rPr>
          <w:rFonts w:hAnsi="宋体"/>
          <w:b/>
          <w:bCs/>
          <w:color w:val="auto"/>
          <w:sz w:val="24"/>
          <w:highlight w:val="none"/>
        </w:rPr>
        <w:t>三、本工程对施工工艺的特殊要求</w:t>
      </w:r>
    </w:p>
    <w:p>
      <w:pPr>
        <w:spacing w:line="360" w:lineRule="auto"/>
        <w:ind w:right="-233" w:rightChars="-111"/>
        <w:jc w:val="left"/>
        <w:rPr>
          <w:color w:val="auto"/>
          <w:sz w:val="24"/>
          <w:highlight w:val="none"/>
        </w:rPr>
      </w:pPr>
      <w:r>
        <w:rPr>
          <w:color w:val="auto"/>
          <w:sz w:val="24"/>
          <w:highlight w:val="none"/>
        </w:rPr>
        <w:t>1.</w:t>
      </w:r>
      <w:r>
        <w:rPr>
          <w:rFonts w:hAnsi="宋体"/>
          <w:color w:val="auto"/>
          <w:sz w:val="24"/>
          <w:highlight w:val="none"/>
        </w:rPr>
        <w:t>施工期间注意周边环境，减少对周围居民、行人的影响（交通、灰尘、噪音等）。</w:t>
      </w:r>
    </w:p>
    <w:p>
      <w:pPr>
        <w:spacing w:line="360" w:lineRule="auto"/>
        <w:ind w:right="-233" w:rightChars="-111"/>
        <w:jc w:val="left"/>
        <w:rPr>
          <w:color w:val="auto"/>
          <w:sz w:val="24"/>
          <w:highlight w:val="none"/>
        </w:rPr>
      </w:pPr>
      <w:r>
        <w:rPr>
          <w:color w:val="auto"/>
          <w:sz w:val="24"/>
          <w:highlight w:val="none"/>
        </w:rPr>
        <w:t>2.</w:t>
      </w:r>
      <w:r>
        <w:rPr>
          <w:rFonts w:hAnsi="宋体"/>
          <w:color w:val="auto"/>
          <w:sz w:val="24"/>
          <w:highlight w:val="none"/>
        </w:rPr>
        <w:t>工程主要部位和特殊要求由建设、设计、监理三方讨论后以书面开式通知施工单位实施。</w:t>
      </w:r>
    </w:p>
    <w:p>
      <w:pPr>
        <w:spacing w:line="360" w:lineRule="auto"/>
        <w:ind w:right="-233" w:rightChars="-111"/>
        <w:jc w:val="left"/>
        <w:rPr>
          <w:color w:val="auto"/>
          <w:sz w:val="24"/>
          <w:highlight w:val="none"/>
        </w:rPr>
      </w:pPr>
      <w:r>
        <w:rPr>
          <w:color w:val="auto"/>
          <w:sz w:val="24"/>
          <w:highlight w:val="none"/>
        </w:rPr>
        <w:t>3.</w:t>
      </w:r>
      <w:r>
        <w:rPr>
          <w:rFonts w:hAnsi="宋体"/>
          <w:color w:val="auto"/>
          <w:sz w:val="24"/>
          <w:highlight w:val="none"/>
        </w:rPr>
        <w:t>其余见设计院设计说明。</w:t>
      </w:r>
    </w:p>
    <w:p>
      <w:pPr>
        <w:spacing w:line="360" w:lineRule="auto"/>
        <w:ind w:right="-233" w:rightChars="-111"/>
        <w:jc w:val="center"/>
        <w:rPr>
          <w:b/>
          <w:bCs/>
          <w:color w:val="auto"/>
          <w:sz w:val="24"/>
          <w:highlight w:val="none"/>
        </w:rPr>
      </w:pPr>
      <w:r>
        <w:rPr>
          <w:b/>
          <w:bCs/>
          <w:color w:val="auto"/>
          <w:sz w:val="24"/>
          <w:highlight w:val="none"/>
        </w:rPr>
        <w:br w:type="page"/>
      </w:r>
    </w:p>
    <w:p>
      <w:pPr>
        <w:pStyle w:val="18"/>
        <w:spacing w:line="420" w:lineRule="atLeast"/>
        <w:outlineLvl w:val="0"/>
        <w:rPr>
          <w:rFonts w:ascii="Times New Roman" w:hAnsi="Times New Roman" w:eastAsia="宋体"/>
          <w:b/>
          <w:bCs/>
          <w:color w:val="auto"/>
          <w:szCs w:val="21"/>
          <w:highlight w:val="none"/>
        </w:rPr>
      </w:pPr>
      <w:bookmarkStart w:id="563" w:name="_Toc465181337"/>
      <w:bookmarkStart w:id="564" w:name="_Toc286661174"/>
      <w:bookmarkStart w:id="565" w:name="_Toc404159962"/>
      <w:r>
        <w:rPr>
          <w:rFonts w:ascii="Times New Roman" w:hAnsi="宋体" w:eastAsia="宋体"/>
          <w:b/>
          <w:bCs/>
          <w:color w:val="auto"/>
          <w:szCs w:val="21"/>
          <w:highlight w:val="none"/>
        </w:rPr>
        <w:t>第五章图纸、技术资料及附件</w:t>
      </w:r>
      <w:bookmarkEnd w:id="563"/>
      <w:bookmarkEnd w:id="564"/>
    </w:p>
    <w:bookmarkEnd w:id="565"/>
    <w:p>
      <w:pPr>
        <w:spacing w:line="360" w:lineRule="auto"/>
        <w:rPr>
          <w:color w:val="auto"/>
          <w:sz w:val="25"/>
          <w:highlight w:val="none"/>
        </w:rPr>
      </w:pPr>
    </w:p>
    <w:p>
      <w:pPr>
        <w:jc w:val="center"/>
        <w:rPr>
          <w:rFonts w:ascii="宋体" w:hAnsi="宋体"/>
          <w:color w:val="auto"/>
          <w:highlight w:val="none"/>
        </w:rPr>
      </w:pPr>
      <w:r>
        <w:rPr>
          <w:rFonts w:hint="eastAsia" w:ascii="宋体" w:hAnsi="宋体"/>
          <w:color w:val="auto"/>
          <w:highlight w:val="none"/>
        </w:rPr>
        <w:t>（“南通市崇川区人民政府网”下载）</w:t>
      </w:r>
    </w:p>
    <w:p>
      <w:pPr>
        <w:spacing w:line="360" w:lineRule="auto"/>
        <w:rPr>
          <w:color w:val="auto"/>
          <w:sz w:val="25"/>
          <w:highlight w:val="none"/>
        </w:rPr>
      </w:pPr>
    </w:p>
    <w:p>
      <w:pPr>
        <w:spacing w:line="360" w:lineRule="auto"/>
        <w:rPr>
          <w:color w:val="auto"/>
          <w:sz w:val="25"/>
          <w:highlight w:val="none"/>
        </w:rPr>
      </w:pPr>
    </w:p>
    <w:p>
      <w:pPr>
        <w:spacing w:line="360" w:lineRule="auto"/>
        <w:rPr>
          <w:color w:val="auto"/>
          <w:sz w:val="25"/>
          <w:highlight w:val="none"/>
        </w:rPr>
      </w:pPr>
    </w:p>
    <w:p>
      <w:pPr>
        <w:spacing w:line="360" w:lineRule="auto"/>
        <w:rPr>
          <w:color w:val="auto"/>
          <w:sz w:val="25"/>
          <w:highlight w:val="none"/>
        </w:rPr>
      </w:pPr>
    </w:p>
    <w:p>
      <w:pPr>
        <w:spacing w:line="360" w:lineRule="auto"/>
        <w:rPr>
          <w:color w:val="auto"/>
          <w:sz w:val="25"/>
          <w:highlight w:val="none"/>
        </w:rPr>
      </w:pPr>
    </w:p>
    <w:p>
      <w:pPr>
        <w:spacing w:line="360" w:lineRule="auto"/>
        <w:rPr>
          <w:color w:val="auto"/>
          <w:sz w:val="25"/>
          <w:highlight w:val="none"/>
        </w:rPr>
      </w:pPr>
    </w:p>
    <w:p>
      <w:pPr>
        <w:spacing w:line="360" w:lineRule="auto"/>
        <w:rPr>
          <w:color w:val="auto"/>
          <w:sz w:val="25"/>
          <w:highlight w:val="none"/>
        </w:rPr>
      </w:pPr>
    </w:p>
    <w:p>
      <w:pPr>
        <w:spacing w:line="500" w:lineRule="exact"/>
        <w:jc w:val="center"/>
        <w:rPr>
          <w:b/>
          <w:bCs/>
          <w:color w:val="auto"/>
          <w:sz w:val="32"/>
          <w:highlight w:val="none"/>
        </w:rPr>
      </w:pPr>
      <w:r>
        <w:rPr>
          <w:b/>
          <w:bCs/>
          <w:color w:val="auto"/>
          <w:sz w:val="32"/>
          <w:highlight w:val="none"/>
        </w:rPr>
        <w:br w:type="page"/>
      </w:r>
    </w:p>
    <w:p>
      <w:pPr>
        <w:pStyle w:val="3"/>
        <w:jc w:val="center"/>
        <w:rPr>
          <w:color w:val="auto"/>
          <w:sz w:val="36"/>
          <w:szCs w:val="48"/>
          <w:highlight w:val="none"/>
        </w:rPr>
      </w:pPr>
      <w:bookmarkStart w:id="566" w:name="_Toc404159963"/>
      <w:bookmarkStart w:id="567" w:name="_Toc286661175"/>
      <w:bookmarkStart w:id="568" w:name="_Toc465181338"/>
      <w:r>
        <w:rPr>
          <w:rFonts w:hAnsi="宋体"/>
          <w:color w:val="auto"/>
          <w:sz w:val="36"/>
          <w:szCs w:val="48"/>
          <w:highlight w:val="none"/>
        </w:rPr>
        <w:t>第六章</w:t>
      </w:r>
      <w:r>
        <w:rPr>
          <w:rFonts w:hint="eastAsia" w:hAnsi="宋体"/>
          <w:color w:val="auto"/>
          <w:sz w:val="36"/>
          <w:szCs w:val="48"/>
          <w:highlight w:val="none"/>
        </w:rPr>
        <w:t xml:space="preserve"> </w:t>
      </w:r>
      <w:r>
        <w:rPr>
          <w:rFonts w:hAnsi="宋体"/>
          <w:color w:val="auto"/>
          <w:sz w:val="36"/>
          <w:szCs w:val="48"/>
          <w:highlight w:val="none"/>
        </w:rPr>
        <w:t>投标文件格式</w:t>
      </w:r>
      <w:bookmarkEnd w:id="566"/>
      <w:bookmarkEnd w:id="567"/>
      <w:bookmarkEnd w:id="568"/>
    </w:p>
    <w:p>
      <w:pPr>
        <w:spacing w:line="500" w:lineRule="exact"/>
        <w:jc w:val="center"/>
        <w:rPr>
          <w:b/>
          <w:bCs/>
          <w:color w:val="auto"/>
          <w:sz w:val="32"/>
          <w:highlight w:val="none"/>
        </w:rPr>
      </w:pPr>
      <w:bookmarkStart w:id="569" w:name="_Toc286661178"/>
    </w:p>
    <w:p>
      <w:pPr>
        <w:spacing w:line="500" w:lineRule="exact"/>
        <w:jc w:val="center"/>
        <w:rPr>
          <w:rFonts w:ascii="宋体" w:hAnsi="宋体"/>
          <w:b/>
          <w:bCs/>
          <w:color w:val="auto"/>
          <w:sz w:val="32"/>
          <w:highlight w:val="none"/>
        </w:rPr>
      </w:pPr>
      <w:r>
        <w:rPr>
          <w:rFonts w:hint="eastAsia" w:ascii="宋体" w:hAnsi="宋体"/>
          <w:color w:val="auto"/>
          <w:sz w:val="32"/>
          <w:szCs w:val="32"/>
          <w:highlight w:val="none"/>
        </w:rPr>
        <w:t>（封面）</w:t>
      </w:r>
    </w:p>
    <w:p>
      <w:pPr>
        <w:spacing w:line="500" w:lineRule="exact"/>
        <w:jc w:val="center"/>
        <w:rPr>
          <w:rFonts w:ascii="宋体" w:hAnsi="宋体"/>
          <w:b/>
          <w:bCs/>
          <w:color w:val="auto"/>
          <w:sz w:val="32"/>
          <w:highlight w:val="none"/>
        </w:rPr>
      </w:pPr>
    </w:p>
    <w:p>
      <w:pPr>
        <w:pStyle w:val="14"/>
        <w:spacing w:line="360" w:lineRule="auto"/>
        <w:ind w:firstLine="480" w:firstLineChars="150"/>
        <w:jc w:val="center"/>
        <w:rPr>
          <w:rFonts w:ascii="宋体" w:hAnsi="宋体"/>
          <w:color w:val="auto"/>
          <w:sz w:val="32"/>
          <w:szCs w:val="32"/>
          <w:highlight w:val="none"/>
        </w:rPr>
      </w:pPr>
      <w:r>
        <w:rPr>
          <w:rFonts w:hint="eastAsia" w:ascii="宋体" w:hAnsi="宋体"/>
          <w:color w:val="auto"/>
          <w:sz w:val="32"/>
          <w:szCs w:val="32"/>
          <w:highlight w:val="none"/>
          <w:u w:val="single"/>
        </w:rPr>
        <w:t xml:space="preserve">                               </w:t>
      </w:r>
      <w:r>
        <w:rPr>
          <w:rFonts w:hint="eastAsia" w:ascii="宋体" w:hAnsi="宋体"/>
          <w:color w:val="auto"/>
          <w:sz w:val="32"/>
          <w:szCs w:val="32"/>
          <w:highlight w:val="none"/>
        </w:rPr>
        <w:t>（项目名称）</w:t>
      </w:r>
    </w:p>
    <w:p>
      <w:pPr>
        <w:pStyle w:val="14"/>
        <w:spacing w:line="360" w:lineRule="auto"/>
        <w:jc w:val="center"/>
        <w:rPr>
          <w:rFonts w:ascii="宋体" w:hAnsi="宋体"/>
          <w:color w:val="auto"/>
          <w:sz w:val="30"/>
          <w:highlight w:val="none"/>
        </w:rPr>
      </w:pPr>
    </w:p>
    <w:p>
      <w:pPr>
        <w:pStyle w:val="14"/>
        <w:spacing w:line="360" w:lineRule="auto"/>
        <w:ind w:firstLine="0"/>
        <w:rPr>
          <w:rFonts w:ascii="宋体" w:hAnsi="宋体"/>
          <w:color w:val="auto"/>
          <w:sz w:val="30"/>
          <w:highlight w:val="none"/>
        </w:rPr>
      </w:pPr>
    </w:p>
    <w:p>
      <w:pPr>
        <w:pStyle w:val="14"/>
        <w:spacing w:line="360" w:lineRule="auto"/>
        <w:jc w:val="center"/>
        <w:rPr>
          <w:rFonts w:ascii="宋体" w:hAnsi="宋体"/>
          <w:b/>
          <w:bCs/>
          <w:color w:val="auto"/>
          <w:spacing w:val="60"/>
          <w:sz w:val="84"/>
          <w:szCs w:val="84"/>
          <w:highlight w:val="none"/>
        </w:rPr>
      </w:pPr>
      <w:r>
        <w:rPr>
          <w:rFonts w:hint="eastAsia" w:ascii="宋体" w:hAnsi="宋体"/>
          <w:b/>
          <w:bCs/>
          <w:color w:val="auto"/>
          <w:spacing w:val="60"/>
          <w:sz w:val="84"/>
          <w:szCs w:val="84"/>
          <w:highlight w:val="none"/>
        </w:rPr>
        <w:t xml:space="preserve"> 投标书</w:t>
      </w:r>
    </w:p>
    <w:p>
      <w:pPr>
        <w:pStyle w:val="14"/>
        <w:spacing w:line="360" w:lineRule="auto"/>
        <w:jc w:val="center"/>
        <w:rPr>
          <w:rFonts w:ascii="宋体" w:hAnsi="宋体"/>
          <w:color w:val="auto"/>
          <w:sz w:val="48"/>
          <w:szCs w:val="48"/>
          <w:highlight w:val="none"/>
        </w:rPr>
      </w:pPr>
      <w:r>
        <w:rPr>
          <w:rFonts w:hint="eastAsia" w:ascii="宋体" w:hAnsi="宋体"/>
          <w:color w:val="auto"/>
          <w:sz w:val="48"/>
          <w:szCs w:val="48"/>
          <w:highlight w:val="none"/>
        </w:rPr>
        <w:t>（商务标）</w:t>
      </w:r>
    </w:p>
    <w:p>
      <w:pPr>
        <w:pStyle w:val="14"/>
        <w:spacing w:line="360" w:lineRule="auto"/>
        <w:jc w:val="center"/>
        <w:rPr>
          <w:rFonts w:ascii="宋体" w:hAnsi="宋体"/>
          <w:color w:val="auto"/>
          <w:sz w:val="30"/>
          <w:highlight w:val="none"/>
        </w:rPr>
      </w:pPr>
    </w:p>
    <w:p>
      <w:pPr>
        <w:pStyle w:val="14"/>
        <w:spacing w:line="360" w:lineRule="auto"/>
        <w:jc w:val="center"/>
        <w:rPr>
          <w:rFonts w:ascii="宋体" w:hAnsi="宋体"/>
          <w:color w:val="auto"/>
          <w:sz w:val="30"/>
          <w:highlight w:val="none"/>
        </w:rPr>
      </w:pPr>
    </w:p>
    <w:p>
      <w:pPr>
        <w:pStyle w:val="14"/>
        <w:spacing w:line="360" w:lineRule="auto"/>
        <w:jc w:val="center"/>
        <w:rPr>
          <w:rFonts w:ascii="宋体" w:hAnsi="宋体"/>
          <w:color w:val="auto"/>
          <w:sz w:val="30"/>
          <w:highlight w:val="none"/>
        </w:rPr>
      </w:pPr>
    </w:p>
    <w:p>
      <w:pPr>
        <w:pStyle w:val="14"/>
        <w:spacing w:line="360" w:lineRule="auto"/>
        <w:jc w:val="center"/>
        <w:rPr>
          <w:rFonts w:ascii="宋体" w:hAnsi="宋体"/>
          <w:color w:val="auto"/>
          <w:sz w:val="30"/>
          <w:highlight w:val="none"/>
        </w:rPr>
      </w:pPr>
    </w:p>
    <w:p>
      <w:pPr>
        <w:pStyle w:val="14"/>
        <w:spacing w:line="360" w:lineRule="auto"/>
        <w:ind w:firstLine="480" w:firstLineChars="160"/>
        <w:rPr>
          <w:rFonts w:ascii="宋体" w:hAnsi="宋体"/>
          <w:color w:val="auto"/>
          <w:sz w:val="30"/>
          <w:highlight w:val="none"/>
          <w:u w:val="single"/>
        </w:rPr>
      </w:pPr>
      <w:r>
        <w:rPr>
          <w:rFonts w:hint="eastAsia" w:ascii="宋体" w:hAnsi="宋体"/>
          <w:color w:val="auto"/>
          <w:sz w:val="30"/>
          <w:highlight w:val="none"/>
        </w:rPr>
        <w:t>投标人：</w:t>
      </w:r>
      <w:r>
        <w:rPr>
          <w:rFonts w:hint="eastAsia" w:ascii="宋体" w:hAnsi="宋体"/>
          <w:color w:val="auto"/>
          <w:sz w:val="30"/>
          <w:highlight w:val="none"/>
          <w:u w:val="single"/>
        </w:rPr>
        <w:t xml:space="preserve">                                </w:t>
      </w:r>
      <w:r>
        <w:rPr>
          <w:rFonts w:hint="eastAsia" w:ascii="宋体" w:hAnsi="宋体"/>
          <w:color w:val="auto"/>
          <w:sz w:val="30"/>
          <w:highlight w:val="none"/>
        </w:rPr>
        <w:t>(盖单位公章)</w:t>
      </w:r>
    </w:p>
    <w:p>
      <w:pPr>
        <w:pStyle w:val="14"/>
        <w:spacing w:line="360" w:lineRule="auto"/>
        <w:ind w:firstLine="480" w:firstLineChars="160"/>
        <w:rPr>
          <w:rFonts w:ascii="宋体" w:hAnsi="宋体"/>
          <w:color w:val="auto"/>
          <w:sz w:val="30"/>
          <w:highlight w:val="none"/>
        </w:rPr>
      </w:pPr>
    </w:p>
    <w:p>
      <w:pPr>
        <w:pStyle w:val="14"/>
        <w:spacing w:line="360" w:lineRule="auto"/>
        <w:ind w:firstLine="480" w:firstLineChars="160"/>
        <w:rPr>
          <w:rFonts w:ascii="宋体" w:hAnsi="宋体"/>
          <w:color w:val="auto"/>
          <w:sz w:val="30"/>
          <w:highlight w:val="none"/>
          <w:u w:val="single"/>
        </w:rPr>
      </w:pPr>
      <w:r>
        <w:rPr>
          <w:rFonts w:hint="eastAsia" w:ascii="宋体" w:hAnsi="宋体"/>
          <w:color w:val="auto"/>
          <w:sz w:val="30"/>
          <w:highlight w:val="none"/>
        </w:rPr>
        <w:t>法定代表人或其委托代理人：</w:t>
      </w:r>
      <w:r>
        <w:rPr>
          <w:rFonts w:hint="eastAsia" w:ascii="宋体" w:hAnsi="宋体"/>
          <w:color w:val="auto"/>
          <w:sz w:val="30"/>
          <w:highlight w:val="none"/>
          <w:u w:val="single"/>
        </w:rPr>
        <w:t xml:space="preserve">              </w:t>
      </w:r>
      <w:r>
        <w:rPr>
          <w:rFonts w:hint="eastAsia" w:ascii="宋体" w:hAnsi="宋体"/>
          <w:color w:val="auto"/>
          <w:sz w:val="30"/>
          <w:highlight w:val="none"/>
        </w:rPr>
        <w:t>(签字或盖章)</w:t>
      </w:r>
    </w:p>
    <w:p>
      <w:pPr>
        <w:pStyle w:val="14"/>
        <w:spacing w:line="360" w:lineRule="auto"/>
        <w:ind w:firstLine="480" w:firstLineChars="160"/>
        <w:rPr>
          <w:rFonts w:ascii="宋体" w:hAnsi="宋体"/>
          <w:color w:val="auto"/>
          <w:sz w:val="30"/>
          <w:highlight w:val="none"/>
        </w:rPr>
      </w:pPr>
    </w:p>
    <w:p>
      <w:pPr>
        <w:pStyle w:val="14"/>
        <w:spacing w:line="360" w:lineRule="auto"/>
        <w:rPr>
          <w:rFonts w:ascii="宋体" w:hAnsi="宋体"/>
          <w:color w:val="auto"/>
          <w:sz w:val="30"/>
          <w:highlight w:val="none"/>
          <w:u w:val="single"/>
        </w:rPr>
      </w:pPr>
      <w:r>
        <w:rPr>
          <w:rFonts w:hint="eastAsia" w:ascii="宋体" w:hAnsi="宋体"/>
          <w:color w:val="auto"/>
          <w:sz w:val="30"/>
          <w:highlight w:val="none"/>
        </w:rPr>
        <w:t>日   期：</w:t>
      </w:r>
      <w:r>
        <w:rPr>
          <w:rFonts w:hint="eastAsia" w:ascii="宋体" w:hAnsi="宋体"/>
          <w:color w:val="auto"/>
          <w:sz w:val="30"/>
          <w:highlight w:val="none"/>
          <w:u w:val="single"/>
        </w:rPr>
        <w:t xml:space="preserve">        年     月     日</w:t>
      </w:r>
    </w:p>
    <w:p>
      <w:pPr>
        <w:pStyle w:val="14"/>
        <w:spacing w:line="360" w:lineRule="auto"/>
        <w:jc w:val="center"/>
        <w:rPr>
          <w:color w:val="auto"/>
          <w:sz w:val="30"/>
          <w:highlight w:val="none"/>
        </w:rPr>
      </w:pPr>
    </w:p>
    <w:p>
      <w:pPr>
        <w:pStyle w:val="77"/>
        <w:spacing w:line="420" w:lineRule="atLeast"/>
        <w:rPr>
          <w:color w:val="auto"/>
          <w:sz w:val="32"/>
          <w:highlight w:val="none"/>
        </w:rPr>
      </w:pPr>
    </w:p>
    <w:p>
      <w:pPr>
        <w:pStyle w:val="14"/>
        <w:spacing w:line="360" w:lineRule="auto"/>
        <w:ind w:firstLine="0"/>
        <w:jc w:val="center"/>
        <w:outlineLvl w:val="1"/>
        <w:rPr>
          <w:bCs/>
          <w:color w:val="auto"/>
          <w:sz w:val="28"/>
          <w:szCs w:val="28"/>
          <w:highlight w:val="none"/>
        </w:rPr>
      </w:pPr>
      <w:r>
        <w:rPr>
          <w:rFonts w:hAnsi="宋体"/>
          <w:color w:val="auto"/>
          <w:sz w:val="28"/>
          <w:szCs w:val="28"/>
          <w:highlight w:val="none"/>
        </w:rPr>
        <w:t>一、</w:t>
      </w:r>
      <w:bookmarkEnd w:id="569"/>
      <w:r>
        <w:rPr>
          <w:rFonts w:hAnsi="宋体"/>
          <w:bCs/>
          <w:color w:val="auto"/>
          <w:sz w:val="28"/>
          <w:szCs w:val="28"/>
          <w:highlight w:val="none"/>
        </w:rPr>
        <w:t>投标函</w:t>
      </w:r>
    </w:p>
    <w:p>
      <w:pPr>
        <w:pStyle w:val="14"/>
        <w:spacing w:line="360" w:lineRule="auto"/>
        <w:ind w:firstLine="0"/>
        <w:rPr>
          <w:color w:val="auto"/>
          <w:sz w:val="25"/>
          <w:highlight w:val="none"/>
          <w:u w:val="single"/>
        </w:rPr>
      </w:pPr>
    </w:p>
    <w:p>
      <w:pPr>
        <w:pStyle w:val="14"/>
        <w:spacing w:line="360" w:lineRule="auto"/>
        <w:ind w:firstLine="0"/>
        <w:rPr>
          <w:rFonts w:ascii="宋体" w:hAnsi="宋体"/>
          <w:color w:val="auto"/>
          <w:sz w:val="22"/>
          <w:szCs w:val="22"/>
          <w:highlight w:val="none"/>
        </w:rPr>
      </w:pPr>
      <w:r>
        <w:rPr>
          <w:rFonts w:hint="eastAsia" w:ascii="宋体" w:hAnsi="宋体"/>
          <w:color w:val="auto"/>
          <w:sz w:val="22"/>
          <w:szCs w:val="22"/>
          <w:highlight w:val="none"/>
          <w:u w:val="single"/>
        </w:rPr>
        <w:t xml:space="preserve">                           </w:t>
      </w:r>
      <w:r>
        <w:rPr>
          <w:rFonts w:hint="eastAsia" w:ascii="宋体" w:hAnsi="宋体"/>
          <w:color w:val="auto"/>
          <w:sz w:val="22"/>
          <w:szCs w:val="22"/>
          <w:highlight w:val="none"/>
        </w:rPr>
        <w:t>：</w:t>
      </w:r>
    </w:p>
    <w:p>
      <w:pPr>
        <w:pStyle w:val="14"/>
        <w:spacing w:line="360" w:lineRule="auto"/>
        <w:ind w:firstLine="660" w:firstLineChars="300"/>
        <w:jc w:val="left"/>
        <w:rPr>
          <w:rFonts w:ascii="宋体" w:hAnsi="宋体"/>
          <w:color w:val="auto"/>
          <w:sz w:val="22"/>
          <w:szCs w:val="22"/>
          <w:highlight w:val="none"/>
        </w:rPr>
      </w:pPr>
      <w:r>
        <w:rPr>
          <w:rFonts w:hint="eastAsia" w:ascii="宋体" w:hAnsi="宋体"/>
          <w:color w:val="auto"/>
          <w:sz w:val="22"/>
          <w:szCs w:val="22"/>
          <w:highlight w:val="none"/>
        </w:rPr>
        <w:t>（一） 根据已收到的</w:t>
      </w:r>
      <w:r>
        <w:rPr>
          <w:rFonts w:hint="eastAsia" w:ascii="宋体" w:hAnsi="宋体"/>
          <w:color w:val="auto"/>
          <w:sz w:val="22"/>
          <w:szCs w:val="22"/>
          <w:highlight w:val="none"/>
          <w:u w:val="single"/>
        </w:rPr>
        <w:t xml:space="preserve">                   </w:t>
      </w:r>
      <w:r>
        <w:rPr>
          <w:rFonts w:hint="eastAsia" w:ascii="宋体" w:hAnsi="宋体"/>
          <w:color w:val="auto"/>
          <w:sz w:val="22"/>
          <w:szCs w:val="22"/>
          <w:highlight w:val="none"/>
        </w:rPr>
        <w:t>（工程名称）的招标文件，我方经仔细研究招标文件全部内容并对现场进行踏勘后，愿遵守《中华人民共和国招标投标法》等有关法律文件的规定，并愿以人民币（大写）</w:t>
      </w:r>
      <w:r>
        <w:rPr>
          <w:rFonts w:hint="eastAsia" w:ascii="宋体" w:hAnsi="宋体"/>
          <w:color w:val="auto"/>
          <w:sz w:val="22"/>
          <w:szCs w:val="22"/>
          <w:highlight w:val="none"/>
          <w:u w:val="single"/>
        </w:rPr>
        <w:t xml:space="preserve">          </w:t>
      </w:r>
      <w:r>
        <w:rPr>
          <w:rFonts w:hint="eastAsia" w:ascii="宋体" w:hAnsi="宋体"/>
          <w:color w:val="auto"/>
          <w:sz w:val="22"/>
          <w:szCs w:val="22"/>
          <w:highlight w:val="none"/>
        </w:rPr>
        <w:t>元[</w:t>
      </w:r>
      <w:r>
        <w:rPr>
          <w:rFonts w:hint="eastAsia" w:ascii="宋体" w:hAnsi="宋体" w:cs="宋体"/>
          <w:color w:val="auto"/>
          <w:sz w:val="22"/>
          <w:szCs w:val="22"/>
          <w:highlight w:val="none"/>
        </w:rPr>
        <w:t>¥</w:t>
      </w:r>
      <w:r>
        <w:rPr>
          <w:rFonts w:hint="eastAsia" w:ascii="宋体" w:hAnsi="宋体" w:cs="仿宋_GB2312"/>
          <w:color w:val="auto"/>
          <w:sz w:val="22"/>
          <w:szCs w:val="22"/>
          <w:highlight w:val="none"/>
        </w:rPr>
        <w:t>(</w:t>
      </w:r>
      <w:r>
        <w:rPr>
          <w:rFonts w:hint="eastAsia" w:ascii="宋体" w:hAnsi="宋体"/>
          <w:color w:val="auto"/>
          <w:sz w:val="22"/>
          <w:szCs w:val="22"/>
          <w:highlight w:val="none"/>
        </w:rPr>
        <w:t>小写)</w:t>
      </w:r>
      <w:r>
        <w:rPr>
          <w:rFonts w:hint="eastAsia" w:ascii="宋体" w:hAnsi="宋体"/>
          <w:color w:val="auto"/>
          <w:sz w:val="22"/>
          <w:szCs w:val="22"/>
          <w:highlight w:val="none"/>
          <w:u w:val="single"/>
        </w:rPr>
        <w:t xml:space="preserve">          元</w:t>
      </w:r>
      <w:r>
        <w:rPr>
          <w:rFonts w:hint="eastAsia" w:ascii="宋体" w:hAnsi="宋体"/>
          <w:color w:val="auto"/>
          <w:sz w:val="22"/>
          <w:szCs w:val="22"/>
          <w:highlight w:val="none"/>
        </w:rPr>
        <w:t>］的总价，按招标文件的要求承包本次招标范围内的全部工程，修补工程中的任何缺陷。</w:t>
      </w:r>
    </w:p>
    <w:p>
      <w:pPr>
        <w:pStyle w:val="14"/>
        <w:spacing w:line="360" w:lineRule="auto"/>
        <w:ind w:firstLine="660" w:firstLineChars="300"/>
        <w:jc w:val="left"/>
        <w:rPr>
          <w:rFonts w:ascii="宋体" w:hAnsi="宋体"/>
          <w:color w:val="auto"/>
          <w:sz w:val="22"/>
          <w:szCs w:val="22"/>
          <w:highlight w:val="none"/>
        </w:rPr>
      </w:pPr>
      <w:r>
        <w:rPr>
          <w:rFonts w:hint="eastAsia" w:ascii="宋体" w:hAnsi="宋体"/>
          <w:color w:val="auto"/>
          <w:sz w:val="22"/>
          <w:szCs w:val="22"/>
          <w:highlight w:val="none"/>
        </w:rPr>
        <w:t>(二)我方保证在收到贵单位发出的书面开工令后立即开工，并保证在工期</w:t>
      </w:r>
      <w:r>
        <w:rPr>
          <w:rFonts w:hint="eastAsia" w:ascii="宋体" w:hAnsi="宋体"/>
          <w:color w:val="auto"/>
          <w:sz w:val="22"/>
          <w:szCs w:val="22"/>
          <w:highlight w:val="none"/>
          <w:u w:val="single"/>
        </w:rPr>
        <w:t>（   ）</w:t>
      </w:r>
      <w:r>
        <w:rPr>
          <w:rFonts w:hint="eastAsia" w:ascii="宋体" w:hAnsi="宋体"/>
          <w:color w:val="auto"/>
          <w:sz w:val="22"/>
          <w:szCs w:val="22"/>
          <w:highlight w:val="none"/>
        </w:rPr>
        <w:t>日历天内竣工并移交整个工程及相关资料。</w:t>
      </w:r>
    </w:p>
    <w:p>
      <w:pPr>
        <w:widowControl/>
        <w:spacing w:line="360" w:lineRule="auto"/>
        <w:ind w:firstLine="420"/>
        <w:jc w:val="left"/>
        <w:rPr>
          <w:rFonts w:ascii="宋体" w:hAnsi="宋体"/>
          <w:color w:val="auto"/>
          <w:sz w:val="22"/>
          <w:szCs w:val="22"/>
          <w:highlight w:val="none"/>
        </w:rPr>
      </w:pPr>
      <w:r>
        <w:rPr>
          <w:rFonts w:hint="eastAsia" w:ascii="宋体" w:hAnsi="宋体"/>
          <w:color w:val="auto"/>
          <w:sz w:val="22"/>
          <w:szCs w:val="22"/>
          <w:highlight w:val="none"/>
        </w:rPr>
        <w:t>(三)我方保证本工程质量达到</w:t>
      </w:r>
      <w:r>
        <w:rPr>
          <w:rFonts w:hint="eastAsia" w:ascii="宋体" w:hAnsi="宋体"/>
          <w:color w:val="auto"/>
          <w:sz w:val="22"/>
          <w:szCs w:val="22"/>
          <w:highlight w:val="none"/>
          <w:u w:val="single"/>
        </w:rPr>
        <w:t xml:space="preserve">                   </w:t>
      </w:r>
      <w:r>
        <w:rPr>
          <w:rFonts w:hint="eastAsia" w:ascii="宋体" w:hAnsi="宋体"/>
          <w:color w:val="auto"/>
          <w:sz w:val="22"/>
          <w:szCs w:val="22"/>
          <w:highlight w:val="none"/>
        </w:rPr>
        <w:t xml:space="preserve"> 。</w:t>
      </w:r>
    </w:p>
    <w:p>
      <w:pPr>
        <w:pStyle w:val="14"/>
        <w:widowControl/>
        <w:adjustRightInd/>
        <w:spacing w:line="360" w:lineRule="auto"/>
        <w:ind w:firstLine="420"/>
        <w:jc w:val="left"/>
        <w:textAlignment w:val="auto"/>
        <w:rPr>
          <w:rFonts w:ascii="宋体" w:hAnsi="宋体"/>
          <w:color w:val="auto"/>
          <w:sz w:val="22"/>
          <w:szCs w:val="22"/>
          <w:highlight w:val="none"/>
        </w:rPr>
      </w:pPr>
      <w:r>
        <w:rPr>
          <w:rFonts w:hint="eastAsia" w:ascii="宋体" w:hAnsi="宋体"/>
          <w:color w:val="auto"/>
          <w:sz w:val="22"/>
          <w:szCs w:val="22"/>
          <w:highlight w:val="none"/>
        </w:rPr>
        <w:t>(四)我方金额为人民币（大写）</w:t>
      </w:r>
      <w:r>
        <w:rPr>
          <w:rFonts w:hint="eastAsia" w:ascii="宋体" w:hAnsi="宋体"/>
          <w:color w:val="auto"/>
          <w:sz w:val="22"/>
          <w:szCs w:val="22"/>
          <w:highlight w:val="none"/>
          <w:u w:val="single"/>
        </w:rPr>
        <w:t xml:space="preserve">       </w:t>
      </w:r>
      <w:r>
        <w:rPr>
          <w:rFonts w:hint="eastAsia" w:ascii="宋体" w:hAnsi="宋体"/>
          <w:color w:val="auto"/>
          <w:sz w:val="22"/>
          <w:szCs w:val="22"/>
          <w:highlight w:val="none"/>
        </w:rPr>
        <w:t>[</w:t>
      </w:r>
      <w:r>
        <w:rPr>
          <w:rFonts w:hint="eastAsia" w:ascii="宋体" w:hAnsi="宋体" w:cs="宋体"/>
          <w:color w:val="auto"/>
          <w:sz w:val="22"/>
          <w:szCs w:val="22"/>
          <w:highlight w:val="none"/>
        </w:rPr>
        <w:t>¥</w:t>
      </w:r>
      <w:r>
        <w:rPr>
          <w:rFonts w:hint="eastAsia" w:ascii="宋体" w:hAnsi="宋体" w:cs="仿宋_GB2312"/>
          <w:color w:val="auto"/>
          <w:sz w:val="22"/>
          <w:szCs w:val="22"/>
          <w:highlight w:val="none"/>
        </w:rPr>
        <w:t>(</w:t>
      </w:r>
      <w:r>
        <w:rPr>
          <w:rFonts w:hint="eastAsia" w:ascii="宋体" w:hAnsi="宋体"/>
          <w:color w:val="auto"/>
          <w:sz w:val="22"/>
          <w:szCs w:val="22"/>
          <w:highlight w:val="none"/>
        </w:rPr>
        <w:t>小写)</w:t>
      </w:r>
      <w:r>
        <w:rPr>
          <w:rFonts w:hint="eastAsia" w:ascii="宋体" w:hAnsi="宋体"/>
          <w:color w:val="auto"/>
          <w:sz w:val="22"/>
          <w:szCs w:val="22"/>
          <w:highlight w:val="none"/>
          <w:u w:val="single"/>
        </w:rPr>
        <w:t xml:space="preserve">       </w:t>
      </w:r>
      <w:r>
        <w:rPr>
          <w:rFonts w:hint="eastAsia" w:ascii="宋体" w:hAnsi="宋体"/>
          <w:color w:val="auto"/>
          <w:sz w:val="22"/>
          <w:szCs w:val="22"/>
          <w:highlight w:val="none"/>
        </w:rPr>
        <w:t>元］的投标保证金已按招标文件要求提交。</w:t>
      </w:r>
    </w:p>
    <w:p>
      <w:pPr>
        <w:pStyle w:val="14"/>
        <w:widowControl/>
        <w:adjustRightInd/>
        <w:spacing w:line="360" w:lineRule="auto"/>
        <w:ind w:firstLine="420"/>
        <w:jc w:val="left"/>
        <w:textAlignment w:val="auto"/>
        <w:rPr>
          <w:rFonts w:ascii="宋体" w:hAnsi="宋体"/>
          <w:color w:val="auto"/>
          <w:sz w:val="22"/>
          <w:szCs w:val="22"/>
          <w:highlight w:val="none"/>
        </w:rPr>
      </w:pPr>
      <w:r>
        <w:rPr>
          <w:rFonts w:hint="eastAsia" w:ascii="宋体" w:hAnsi="宋体"/>
          <w:color w:val="auto"/>
          <w:sz w:val="22"/>
          <w:szCs w:val="22"/>
          <w:highlight w:val="none"/>
        </w:rPr>
        <w:t>(五)如果我方中标，我方承诺在收到中标通知书后，在中标通知书规定的期限内与贵方签订合同，并将按照招标文件规定的时间、数额提交履约保证金和中标差额保证金。</w:t>
      </w:r>
    </w:p>
    <w:p>
      <w:pPr>
        <w:pStyle w:val="14"/>
        <w:spacing w:line="360" w:lineRule="auto"/>
        <w:rPr>
          <w:rFonts w:ascii="宋体" w:hAnsi="宋体"/>
          <w:color w:val="auto"/>
          <w:sz w:val="22"/>
          <w:szCs w:val="22"/>
          <w:highlight w:val="none"/>
        </w:rPr>
      </w:pPr>
      <w:r>
        <w:rPr>
          <w:rFonts w:hint="eastAsia" w:ascii="宋体" w:hAnsi="宋体"/>
          <w:color w:val="auto"/>
          <w:sz w:val="22"/>
          <w:szCs w:val="22"/>
          <w:highlight w:val="none"/>
        </w:rPr>
        <w:t>(六)贵单位的招标文件、中标通知书和本投标文件将构成约束我们双方的合同。</w:t>
      </w:r>
    </w:p>
    <w:p>
      <w:pPr>
        <w:pStyle w:val="14"/>
        <w:spacing w:line="360" w:lineRule="auto"/>
        <w:ind w:firstLine="0"/>
        <w:rPr>
          <w:rFonts w:ascii="宋体" w:hAnsi="宋体"/>
          <w:color w:val="auto"/>
          <w:highlight w:val="none"/>
        </w:rPr>
      </w:pPr>
    </w:p>
    <w:p>
      <w:pPr>
        <w:pStyle w:val="14"/>
        <w:spacing w:line="360" w:lineRule="auto"/>
        <w:ind w:firstLine="0"/>
        <w:rPr>
          <w:rFonts w:ascii="宋体" w:hAnsi="宋体"/>
          <w:color w:val="auto"/>
          <w:highlight w:val="none"/>
        </w:rPr>
      </w:pPr>
    </w:p>
    <w:p>
      <w:pPr>
        <w:pStyle w:val="14"/>
        <w:spacing w:line="360" w:lineRule="auto"/>
        <w:ind w:firstLine="0"/>
        <w:rPr>
          <w:rFonts w:ascii="宋体" w:hAnsi="宋体"/>
          <w:color w:val="auto"/>
          <w:highlight w:val="none"/>
        </w:rPr>
      </w:pPr>
    </w:p>
    <w:p>
      <w:pPr>
        <w:pStyle w:val="14"/>
        <w:spacing w:line="360" w:lineRule="auto"/>
        <w:ind w:firstLine="0"/>
        <w:rPr>
          <w:rFonts w:ascii="宋体" w:hAnsi="宋体"/>
          <w:color w:val="auto"/>
          <w:highlight w:val="none"/>
          <w:u w:val="single"/>
        </w:rPr>
      </w:pPr>
      <w:r>
        <w:rPr>
          <w:rFonts w:hint="eastAsia" w:ascii="宋体" w:hAnsi="宋体"/>
          <w:color w:val="auto"/>
          <w:highlight w:val="none"/>
        </w:rPr>
        <w:t>投标人(盖章)：</w:t>
      </w:r>
      <w:r>
        <w:rPr>
          <w:rFonts w:hint="eastAsia" w:ascii="宋体" w:hAnsi="宋体"/>
          <w:color w:val="auto"/>
          <w:highlight w:val="none"/>
          <w:u w:val="single"/>
        </w:rPr>
        <w:t xml:space="preserve">                               </w:t>
      </w:r>
    </w:p>
    <w:p>
      <w:pPr>
        <w:pStyle w:val="14"/>
        <w:spacing w:line="360" w:lineRule="auto"/>
        <w:ind w:firstLine="0"/>
        <w:rPr>
          <w:rFonts w:ascii="宋体" w:hAnsi="宋体"/>
          <w:color w:val="auto"/>
          <w:highlight w:val="none"/>
        </w:rPr>
      </w:pPr>
    </w:p>
    <w:p>
      <w:pPr>
        <w:pStyle w:val="14"/>
        <w:spacing w:line="360" w:lineRule="auto"/>
        <w:ind w:firstLine="0"/>
        <w:rPr>
          <w:rFonts w:ascii="宋体" w:hAnsi="宋体"/>
          <w:color w:val="auto"/>
          <w:highlight w:val="none"/>
          <w:u w:val="single"/>
        </w:rPr>
      </w:pPr>
      <w:r>
        <w:rPr>
          <w:rFonts w:hint="eastAsia" w:ascii="宋体" w:hAnsi="宋体"/>
          <w:color w:val="auto"/>
          <w:highlight w:val="none"/>
        </w:rPr>
        <w:t>法定代表人或委托代理人(签字或盖章)：</w:t>
      </w:r>
      <w:r>
        <w:rPr>
          <w:rFonts w:hint="eastAsia" w:ascii="宋体" w:hAnsi="宋体"/>
          <w:color w:val="auto"/>
          <w:highlight w:val="none"/>
          <w:u w:val="single"/>
        </w:rPr>
        <w:t xml:space="preserve">                        </w:t>
      </w:r>
    </w:p>
    <w:p>
      <w:pPr>
        <w:pStyle w:val="14"/>
        <w:spacing w:line="360" w:lineRule="auto"/>
        <w:ind w:firstLine="0"/>
        <w:rPr>
          <w:rFonts w:ascii="宋体" w:hAnsi="宋体"/>
          <w:color w:val="auto"/>
          <w:highlight w:val="none"/>
        </w:rPr>
      </w:pPr>
      <w:r>
        <w:rPr>
          <w:rFonts w:hint="eastAsia" w:ascii="宋体" w:hAnsi="宋体"/>
          <w:color w:val="auto"/>
          <w:highlight w:val="none"/>
        </w:rPr>
        <w:t xml:space="preserve">      </w:t>
      </w:r>
    </w:p>
    <w:p>
      <w:pPr>
        <w:pStyle w:val="14"/>
        <w:spacing w:line="360" w:lineRule="auto"/>
        <w:ind w:firstLine="0"/>
        <w:rPr>
          <w:rFonts w:ascii="宋体" w:hAnsi="宋体"/>
          <w:color w:val="auto"/>
          <w:highlight w:val="none"/>
        </w:rPr>
      </w:pPr>
      <w:r>
        <w:rPr>
          <w:rFonts w:hint="eastAsia" w:ascii="宋体" w:hAnsi="宋体"/>
          <w:color w:val="auto"/>
          <w:highlight w:val="none"/>
        </w:rPr>
        <w:t>日期：</w:t>
      </w:r>
      <w:r>
        <w:rPr>
          <w:rFonts w:hint="eastAsia" w:ascii="宋体" w:hAnsi="宋体"/>
          <w:color w:val="auto"/>
          <w:highlight w:val="none"/>
          <w:u w:val="single"/>
        </w:rPr>
        <w:t xml:space="preserve">                                  </w:t>
      </w:r>
      <w:r>
        <w:rPr>
          <w:rFonts w:hint="eastAsia" w:ascii="宋体" w:hAnsi="宋体"/>
          <w:color w:val="auto"/>
          <w:highlight w:val="none"/>
        </w:rPr>
        <w:t xml:space="preserve"> </w:t>
      </w:r>
    </w:p>
    <w:p>
      <w:pPr>
        <w:pStyle w:val="77"/>
        <w:spacing w:line="420" w:lineRule="atLeast"/>
        <w:rPr>
          <w:rFonts w:ascii="宋体" w:hAnsi="宋体"/>
          <w:color w:val="auto"/>
          <w:sz w:val="32"/>
          <w:highlight w:val="none"/>
        </w:rPr>
      </w:pPr>
    </w:p>
    <w:p>
      <w:pPr>
        <w:pStyle w:val="77"/>
        <w:spacing w:line="420" w:lineRule="atLeast"/>
        <w:rPr>
          <w:color w:val="auto"/>
          <w:sz w:val="32"/>
          <w:highlight w:val="none"/>
        </w:rPr>
      </w:pPr>
    </w:p>
    <w:p>
      <w:pPr>
        <w:pStyle w:val="14"/>
        <w:spacing w:line="360" w:lineRule="auto"/>
        <w:ind w:firstLine="0"/>
        <w:rPr>
          <w:rFonts w:ascii="宋体" w:hAnsi="宋体"/>
          <w:b/>
          <w:color w:val="auto"/>
          <w:highlight w:val="none"/>
        </w:rPr>
      </w:pPr>
      <w:r>
        <w:rPr>
          <w:color w:val="auto"/>
          <w:sz w:val="32"/>
          <w:highlight w:val="none"/>
        </w:rPr>
        <w:br w:type="page"/>
      </w:r>
      <w:bookmarkStart w:id="570" w:name="_Toc286661179"/>
    </w:p>
    <w:p>
      <w:pPr>
        <w:pStyle w:val="14"/>
        <w:spacing w:line="360" w:lineRule="auto"/>
        <w:ind w:firstLine="0"/>
        <w:jc w:val="center"/>
        <w:rPr>
          <w:color w:val="auto"/>
          <w:highlight w:val="none"/>
        </w:rPr>
      </w:pPr>
    </w:p>
    <w:p>
      <w:pPr>
        <w:pStyle w:val="14"/>
        <w:snapToGrid w:val="0"/>
        <w:spacing w:line="440" w:lineRule="exact"/>
        <w:ind w:firstLine="0"/>
        <w:jc w:val="center"/>
        <w:outlineLvl w:val="1"/>
        <w:rPr>
          <w:color w:val="auto"/>
          <w:sz w:val="28"/>
          <w:szCs w:val="28"/>
          <w:highlight w:val="none"/>
        </w:rPr>
      </w:pPr>
      <w:r>
        <w:rPr>
          <w:rFonts w:hint="eastAsia" w:hAnsi="宋体"/>
          <w:color w:val="auto"/>
          <w:sz w:val="28"/>
          <w:szCs w:val="28"/>
          <w:highlight w:val="none"/>
          <w:lang w:val="en-US" w:eastAsia="zh-CN"/>
        </w:rPr>
        <w:t>二</w:t>
      </w:r>
      <w:r>
        <w:rPr>
          <w:rFonts w:hAnsi="宋体"/>
          <w:color w:val="auto"/>
          <w:sz w:val="28"/>
          <w:szCs w:val="28"/>
          <w:highlight w:val="none"/>
        </w:rPr>
        <w:t>、已标价的工程量清单</w:t>
      </w:r>
      <w:bookmarkEnd w:id="570"/>
    </w:p>
    <w:p>
      <w:pPr>
        <w:pStyle w:val="77"/>
        <w:spacing w:line="420" w:lineRule="atLeast"/>
        <w:rPr>
          <w:rFonts w:ascii="宋体" w:hAnsi="宋体"/>
          <w:color w:val="auto"/>
          <w:szCs w:val="21"/>
          <w:highlight w:val="none"/>
          <w:u w:val="single"/>
        </w:rPr>
      </w:pPr>
    </w:p>
    <w:p>
      <w:pPr>
        <w:pStyle w:val="77"/>
        <w:spacing w:line="420" w:lineRule="atLeast"/>
        <w:rPr>
          <w:rFonts w:ascii="宋体" w:hAnsi="宋体"/>
          <w:color w:val="auto"/>
          <w:sz w:val="32"/>
          <w:highlight w:val="none"/>
        </w:rPr>
      </w:pPr>
      <w:r>
        <w:rPr>
          <w:rFonts w:hint="eastAsia" w:ascii="宋体" w:hAnsi="宋体"/>
          <w:color w:val="auto"/>
          <w:szCs w:val="21"/>
          <w:highlight w:val="none"/>
          <w:u w:val="single"/>
        </w:rPr>
        <w:t xml:space="preserve">                                 </w:t>
      </w:r>
      <w:r>
        <w:rPr>
          <w:rFonts w:hint="eastAsia" w:ascii="宋体" w:hAnsi="宋体"/>
          <w:color w:val="auto"/>
          <w:sz w:val="32"/>
          <w:highlight w:val="none"/>
        </w:rPr>
        <w:t>工程</w:t>
      </w:r>
    </w:p>
    <w:p>
      <w:pPr>
        <w:pStyle w:val="77"/>
        <w:spacing w:line="420" w:lineRule="atLeast"/>
        <w:rPr>
          <w:rFonts w:ascii="宋体" w:hAnsi="宋体"/>
          <w:color w:val="auto"/>
          <w:sz w:val="32"/>
          <w:highlight w:val="none"/>
        </w:rPr>
      </w:pPr>
    </w:p>
    <w:p>
      <w:pPr>
        <w:pStyle w:val="77"/>
        <w:spacing w:line="420" w:lineRule="atLeast"/>
        <w:rPr>
          <w:rFonts w:ascii="宋体" w:hAnsi="宋体"/>
          <w:color w:val="auto"/>
          <w:sz w:val="84"/>
          <w:szCs w:val="84"/>
          <w:highlight w:val="none"/>
        </w:rPr>
      </w:pPr>
    </w:p>
    <w:p>
      <w:pPr>
        <w:pStyle w:val="77"/>
        <w:spacing w:line="420" w:lineRule="atLeast"/>
        <w:rPr>
          <w:rFonts w:ascii="宋体" w:hAnsi="宋体"/>
          <w:color w:val="auto"/>
          <w:sz w:val="84"/>
          <w:szCs w:val="84"/>
          <w:highlight w:val="none"/>
        </w:rPr>
      </w:pPr>
    </w:p>
    <w:p>
      <w:pPr>
        <w:pStyle w:val="77"/>
        <w:spacing w:line="420" w:lineRule="atLeast"/>
        <w:rPr>
          <w:rFonts w:ascii="宋体" w:hAnsi="宋体"/>
          <w:color w:val="auto"/>
          <w:sz w:val="72"/>
          <w:szCs w:val="72"/>
          <w:highlight w:val="none"/>
        </w:rPr>
      </w:pPr>
      <w:r>
        <w:rPr>
          <w:rFonts w:hint="eastAsia" w:ascii="宋体" w:hAnsi="宋体"/>
          <w:color w:val="auto"/>
          <w:sz w:val="72"/>
          <w:szCs w:val="72"/>
          <w:highlight w:val="none"/>
        </w:rPr>
        <w:t>投标总价</w:t>
      </w:r>
    </w:p>
    <w:p>
      <w:pPr>
        <w:pStyle w:val="77"/>
        <w:spacing w:line="420" w:lineRule="atLeast"/>
        <w:rPr>
          <w:rFonts w:ascii="宋体" w:hAnsi="宋体"/>
          <w:color w:val="auto"/>
          <w:sz w:val="32"/>
          <w:highlight w:val="none"/>
        </w:rPr>
      </w:pPr>
    </w:p>
    <w:p>
      <w:pPr>
        <w:pStyle w:val="77"/>
        <w:spacing w:line="420" w:lineRule="atLeast"/>
        <w:rPr>
          <w:rFonts w:ascii="宋体" w:hAnsi="宋体"/>
          <w:color w:val="auto"/>
          <w:sz w:val="32"/>
          <w:highlight w:val="none"/>
        </w:rPr>
      </w:pPr>
    </w:p>
    <w:p>
      <w:pPr>
        <w:pStyle w:val="77"/>
        <w:spacing w:line="420" w:lineRule="atLeast"/>
        <w:jc w:val="both"/>
        <w:rPr>
          <w:rFonts w:ascii="宋体" w:hAnsi="宋体"/>
          <w:color w:val="auto"/>
          <w:sz w:val="32"/>
          <w:highlight w:val="none"/>
        </w:rPr>
      </w:pPr>
    </w:p>
    <w:p>
      <w:pPr>
        <w:pStyle w:val="77"/>
        <w:spacing w:line="420" w:lineRule="atLeast"/>
        <w:jc w:val="both"/>
        <w:rPr>
          <w:rFonts w:ascii="宋体" w:hAnsi="宋体"/>
          <w:color w:val="auto"/>
          <w:sz w:val="32"/>
          <w:highlight w:val="none"/>
        </w:rPr>
      </w:pPr>
    </w:p>
    <w:p>
      <w:pPr>
        <w:pStyle w:val="77"/>
        <w:spacing w:line="420" w:lineRule="atLeast"/>
        <w:rPr>
          <w:rFonts w:ascii="宋体" w:hAnsi="宋体"/>
          <w:color w:val="auto"/>
          <w:sz w:val="32"/>
          <w:highlight w:val="none"/>
        </w:rPr>
      </w:pPr>
    </w:p>
    <w:p>
      <w:pPr>
        <w:pStyle w:val="77"/>
        <w:spacing w:line="420" w:lineRule="atLeast"/>
        <w:rPr>
          <w:rFonts w:ascii="宋体" w:hAnsi="宋体"/>
          <w:color w:val="auto"/>
          <w:sz w:val="32"/>
          <w:highlight w:val="none"/>
          <w:u w:val="single"/>
        </w:rPr>
      </w:pPr>
      <w:r>
        <w:rPr>
          <w:rFonts w:hint="eastAsia" w:ascii="宋体" w:hAnsi="宋体"/>
          <w:color w:val="auto"/>
          <w:sz w:val="32"/>
          <w:highlight w:val="none"/>
        </w:rPr>
        <w:t>投标人：</w:t>
      </w:r>
      <w:r>
        <w:rPr>
          <w:rFonts w:hint="eastAsia" w:ascii="宋体" w:hAnsi="宋体"/>
          <w:color w:val="auto"/>
          <w:sz w:val="32"/>
          <w:highlight w:val="none"/>
          <w:u w:val="single"/>
        </w:rPr>
        <w:t xml:space="preserve">                        （单位盖章）</w:t>
      </w:r>
    </w:p>
    <w:p>
      <w:pPr>
        <w:pStyle w:val="77"/>
        <w:spacing w:line="420" w:lineRule="atLeast"/>
        <w:rPr>
          <w:rFonts w:ascii="宋体" w:hAnsi="宋体"/>
          <w:color w:val="auto"/>
          <w:szCs w:val="21"/>
          <w:highlight w:val="none"/>
        </w:rPr>
      </w:pPr>
      <w:r>
        <w:rPr>
          <w:rFonts w:hint="eastAsia" w:ascii="宋体" w:hAnsi="宋体"/>
          <w:color w:val="auto"/>
          <w:sz w:val="32"/>
          <w:highlight w:val="none"/>
        </w:rPr>
        <w:t xml:space="preserve">年   月   日   </w:t>
      </w:r>
    </w:p>
    <w:p>
      <w:pPr>
        <w:pStyle w:val="14"/>
        <w:spacing w:line="360" w:lineRule="auto"/>
        <w:ind w:firstLine="0"/>
        <w:jc w:val="center"/>
        <w:rPr>
          <w:color w:val="auto"/>
          <w:sz w:val="25"/>
          <w:highlight w:val="none"/>
        </w:rPr>
      </w:pPr>
    </w:p>
    <w:p>
      <w:pPr>
        <w:spacing w:line="420" w:lineRule="atLeast"/>
        <w:rPr>
          <w:color w:val="auto"/>
          <w:kern w:val="0"/>
          <w:sz w:val="24"/>
          <w:highlight w:val="none"/>
        </w:rPr>
      </w:pPr>
    </w:p>
    <w:p>
      <w:pPr>
        <w:spacing w:line="420" w:lineRule="atLeast"/>
        <w:rPr>
          <w:color w:val="auto"/>
          <w:kern w:val="0"/>
          <w:sz w:val="24"/>
          <w:highlight w:val="none"/>
        </w:rPr>
      </w:pPr>
    </w:p>
    <w:p>
      <w:pPr>
        <w:spacing w:line="420" w:lineRule="atLeast"/>
        <w:rPr>
          <w:color w:val="auto"/>
          <w:kern w:val="0"/>
          <w:sz w:val="24"/>
          <w:highlight w:val="none"/>
        </w:rPr>
      </w:pPr>
    </w:p>
    <w:p>
      <w:pPr>
        <w:ind w:right="450"/>
        <w:jc w:val="right"/>
        <w:rPr>
          <w:color w:val="auto"/>
          <w:szCs w:val="21"/>
          <w:highlight w:val="none"/>
        </w:rPr>
      </w:pPr>
    </w:p>
    <w:p>
      <w:pPr>
        <w:ind w:right="450"/>
        <w:jc w:val="right"/>
        <w:rPr>
          <w:color w:val="auto"/>
          <w:szCs w:val="21"/>
          <w:highlight w:val="none"/>
        </w:rPr>
      </w:pPr>
    </w:p>
    <w:p>
      <w:pPr>
        <w:ind w:right="450"/>
        <w:jc w:val="right"/>
        <w:rPr>
          <w:color w:val="auto"/>
          <w:szCs w:val="21"/>
          <w:highlight w:val="none"/>
        </w:rPr>
      </w:pPr>
    </w:p>
    <w:p>
      <w:pPr>
        <w:pStyle w:val="14"/>
        <w:snapToGrid w:val="0"/>
        <w:spacing w:line="440" w:lineRule="exact"/>
        <w:ind w:firstLine="0"/>
        <w:jc w:val="center"/>
        <w:outlineLvl w:val="1"/>
        <w:rPr>
          <w:color w:val="auto"/>
          <w:sz w:val="28"/>
          <w:szCs w:val="28"/>
          <w:highlight w:val="none"/>
        </w:rPr>
      </w:pPr>
      <w:bookmarkStart w:id="571" w:name="_Toc286661180"/>
      <w:r>
        <w:rPr>
          <w:rFonts w:hAnsi="宋体"/>
          <w:color w:val="auto"/>
          <w:sz w:val="28"/>
          <w:szCs w:val="28"/>
          <w:highlight w:val="none"/>
        </w:rPr>
        <w:t>投标总价</w:t>
      </w:r>
      <w:bookmarkEnd w:id="571"/>
    </w:p>
    <w:p>
      <w:pPr>
        <w:adjustRightInd w:val="0"/>
        <w:snapToGrid w:val="0"/>
        <w:spacing w:line="440" w:lineRule="exact"/>
        <w:rPr>
          <w:color w:val="auto"/>
          <w:sz w:val="30"/>
          <w:szCs w:val="30"/>
          <w:highlight w:val="none"/>
        </w:rPr>
      </w:pPr>
    </w:p>
    <w:p>
      <w:pPr>
        <w:adjustRightInd w:val="0"/>
        <w:snapToGrid w:val="0"/>
        <w:spacing w:line="440" w:lineRule="exact"/>
        <w:rPr>
          <w:color w:val="auto"/>
          <w:sz w:val="30"/>
          <w:szCs w:val="30"/>
          <w:highlight w:val="none"/>
        </w:rPr>
      </w:pPr>
    </w:p>
    <w:p>
      <w:pPr>
        <w:adjustRightInd w:val="0"/>
        <w:snapToGrid w:val="0"/>
        <w:spacing w:line="440" w:lineRule="exact"/>
        <w:rPr>
          <w:color w:val="auto"/>
          <w:sz w:val="30"/>
          <w:szCs w:val="30"/>
          <w:highlight w:val="none"/>
        </w:rPr>
      </w:pPr>
    </w:p>
    <w:p>
      <w:pPr>
        <w:adjustRightInd w:val="0"/>
        <w:snapToGrid w:val="0"/>
        <w:spacing w:line="440" w:lineRule="exact"/>
        <w:rPr>
          <w:color w:val="auto"/>
          <w:sz w:val="30"/>
          <w:szCs w:val="30"/>
          <w:highlight w:val="none"/>
          <w:u w:val="single"/>
        </w:rPr>
      </w:pPr>
      <w:r>
        <w:rPr>
          <w:rFonts w:hAnsi="宋体"/>
          <w:color w:val="auto"/>
          <w:kern w:val="0"/>
          <w:sz w:val="30"/>
          <w:szCs w:val="30"/>
          <w:highlight w:val="none"/>
        </w:rPr>
        <w:t>招标人：</w:t>
      </w:r>
    </w:p>
    <w:p>
      <w:pPr>
        <w:adjustRightInd w:val="0"/>
        <w:snapToGrid w:val="0"/>
        <w:spacing w:line="440" w:lineRule="exact"/>
        <w:rPr>
          <w:color w:val="auto"/>
          <w:sz w:val="30"/>
          <w:szCs w:val="30"/>
          <w:highlight w:val="none"/>
        </w:rPr>
      </w:pPr>
    </w:p>
    <w:p>
      <w:pPr>
        <w:adjustRightInd w:val="0"/>
        <w:snapToGrid w:val="0"/>
        <w:spacing w:line="440" w:lineRule="exact"/>
        <w:rPr>
          <w:color w:val="auto"/>
          <w:sz w:val="30"/>
          <w:szCs w:val="30"/>
          <w:highlight w:val="none"/>
          <w:u w:val="single"/>
        </w:rPr>
      </w:pPr>
      <w:r>
        <w:rPr>
          <w:rFonts w:hAnsi="宋体"/>
          <w:color w:val="auto"/>
          <w:kern w:val="0"/>
          <w:sz w:val="30"/>
          <w:szCs w:val="30"/>
          <w:highlight w:val="none"/>
        </w:rPr>
        <w:t>工程名称：</w:t>
      </w:r>
    </w:p>
    <w:p>
      <w:pPr>
        <w:adjustRightInd w:val="0"/>
        <w:snapToGrid w:val="0"/>
        <w:spacing w:line="440" w:lineRule="exact"/>
        <w:rPr>
          <w:color w:val="auto"/>
          <w:sz w:val="30"/>
          <w:szCs w:val="30"/>
          <w:highlight w:val="none"/>
          <w:u w:val="single"/>
        </w:rPr>
      </w:pPr>
      <w:r>
        <w:rPr>
          <w:rFonts w:hAnsi="宋体"/>
          <w:color w:val="auto"/>
          <w:kern w:val="0"/>
          <w:sz w:val="30"/>
          <w:szCs w:val="30"/>
          <w:highlight w:val="none"/>
        </w:rPr>
        <w:t>投标总价（小写）：</w:t>
      </w:r>
    </w:p>
    <w:p>
      <w:pPr>
        <w:adjustRightInd w:val="0"/>
        <w:snapToGrid w:val="0"/>
        <w:spacing w:line="440" w:lineRule="exact"/>
        <w:rPr>
          <w:color w:val="auto"/>
          <w:sz w:val="30"/>
          <w:szCs w:val="30"/>
          <w:highlight w:val="none"/>
          <w:u w:val="single"/>
        </w:rPr>
      </w:pPr>
      <w:r>
        <w:rPr>
          <w:rFonts w:hAnsi="宋体"/>
          <w:color w:val="auto"/>
          <w:kern w:val="0"/>
          <w:sz w:val="30"/>
          <w:szCs w:val="30"/>
          <w:highlight w:val="none"/>
        </w:rPr>
        <w:t>（大写）：</w:t>
      </w:r>
    </w:p>
    <w:p>
      <w:pPr>
        <w:adjustRightInd w:val="0"/>
        <w:snapToGrid w:val="0"/>
        <w:spacing w:line="440" w:lineRule="exact"/>
        <w:rPr>
          <w:color w:val="auto"/>
          <w:sz w:val="30"/>
          <w:szCs w:val="30"/>
          <w:highlight w:val="none"/>
        </w:rPr>
      </w:pPr>
    </w:p>
    <w:p>
      <w:pPr>
        <w:adjustRightInd w:val="0"/>
        <w:snapToGrid w:val="0"/>
        <w:spacing w:line="440" w:lineRule="exact"/>
        <w:rPr>
          <w:color w:val="auto"/>
          <w:sz w:val="30"/>
          <w:szCs w:val="30"/>
          <w:highlight w:val="none"/>
        </w:rPr>
      </w:pPr>
    </w:p>
    <w:p>
      <w:pPr>
        <w:adjustRightInd w:val="0"/>
        <w:snapToGrid w:val="0"/>
        <w:spacing w:line="440" w:lineRule="exact"/>
        <w:rPr>
          <w:color w:val="auto"/>
          <w:sz w:val="30"/>
          <w:szCs w:val="30"/>
          <w:highlight w:val="none"/>
          <w:u w:val="single"/>
        </w:rPr>
      </w:pPr>
      <w:r>
        <w:rPr>
          <w:rFonts w:hAnsi="宋体"/>
          <w:color w:val="auto"/>
          <w:kern w:val="0"/>
          <w:sz w:val="30"/>
          <w:szCs w:val="30"/>
          <w:highlight w:val="none"/>
        </w:rPr>
        <w:t>投标人：</w:t>
      </w:r>
    </w:p>
    <w:p>
      <w:pPr>
        <w:adjustRightInd w:val="0"/>
        <w:snapToGrid w:val="0"/>
        <w:spacing w:line="440" w:lineRule="exact"/>
        <w:jc w:val="center"/>
        <w:rPr>
          <w:color w:val="auto"/>
          <w:sz w:val="30"/>
          <w:szCs w:val="30"/>
          <w:highlight w:val="none"/>
        </w:rPr>
      </w:pPr>
      <w:r>
        <w:rPr>
          <w:rFonts w:hAnsi="宋体"/>
          <w:color w:val="auto"/>
          <w:kern w:val="0"/>
          <w:sz w:val="30"/>
          <w:szCs w:val="30"/>
          <w:highlight w:val="none"/>
        </w:rPr>
        <w:t>（单位盖章）</w:t>
      </w:r>
    </w:p>
    <w:p>
      <w:pPr>
        <w:adjustRightInd w:val="0"/>
        <w:snapToGrid w:val="0"/>
        <w:spacing w:line="440" w:lineRule="exact"/>
        <w:rPr>
          <w:color w:val="auto"/>
          <w:sz w:val="30"/>
          <w:szCs w:val="30"/>
          <w:highlight w:val="none"/>
        </w:rPr>
      </w:pPr>
    </w:p>
    <w:p>
      <w:pPr>
        <w:adjustRightInd w:val="0"/>
        <w:snapToGrid w:val="0"/>
        <w:spacing w:line="440" w:lineRule="exact"/>
        <w:rPr>
          <w:color w:val="auto"/>
          <w:sz w:val="30"/>
          <w:szCs w:val="30"/>
          <w:highlight w:val="none"/>
        </w:rPr>
      </w:pPr>
    </w:p>
    <w:p>
      <w:pPr>
        <w:adjustRightInd w:val="0"/>
        <w:snapToGrid w:val="0"/>
        <w:spacing w:line="440" w:lineRule="exact"/>
        <w:rPr>
          <w:color w:val="auto"/>
          <w:sz w:val="30"/>
          <w:szCs w:val="30"/>
          <w:highlight w:val="none"/>
        </w:rPr>
      </w:pPr>
    </w:p>
    <w:p>
      <w:pPr>
        <w:adjustRightInd w:val="0"/>
        <w:snapToGrid w:val="0"/>
        <w:spacing w:line="440" w:lineRule="exact"/>
        <w:rPr>
          <w:color w:val="auto"/>
          <w:kern w:val="0"/>
          <w:sz w:val="30"/>
          <w:szCs w:val="30"/>
          <w:highlight w:val="none"/>
        </w:rPr>
      </w:pPr>
      <w:r>
        <w:rPr>
          <w:rFonts w:hAnsi="宋体"/>
          <w:color w:val="auto"/>
          <w:kern w:val="0"/>
          <w:sz w:val="30"/>
          <w:szCs w:val="30"/>
          <w:highlight w:val="none"/>
        </w:rPr>
        <w:t>法定代表人</w:t>
      </w:r>
    </w:p>
    <w:p>
      <w:pPr>
        <w:adjustRightInd w:val="0"/>
        <w:snapToGrid w:val="0"/>
        <w:spacing w:line="440" w:lineRule="exact"/>
        <w:ind w:left="4350" w:hanging="4350" w:hangingChars="1450"/>
        <w:jc w:val="left"/>
        <w:rPr>
          <w:color w:val="auto"/>
          <w:sz w:val="30"/>
          <w:szCs w:val="30"/>
          <w:highlight w:val="none"/>
        </w:rPr>
      </w:pPr>
      <w:r>
        <w:rPr>
          <w:rFonts w:hAnsi="宋体"/>
          <w:color w:val="auto"/>
          <w:kern w:val="0"/>
          <w:sz w:val="30"/>
          <w:szCs w:val="30"/>
          <w:highlight w:val="none"/>
        </w:rPr>
        <w:t>或其授权人：</w:t>
      </w:r>
    </w:p>
    <w:p>
      <w:pPr>
        <w:adjustRightInd w:val="0"/>
        <w:snapToGrid w:val="0"/>
        <w:spacing w:line="440" w:lineRule="exact"/>
        <w:ind w:left="3045" w:leftChars="1450" w:firstLine="1800" w:firstLineChars="600"/>
        <w:jc w:val="left"/>
        <w:rPr>
          <w:color w:val="auto"/>
          <w:sz w:val="30"/>
          <w:szCs w:val="30"/>
          <w:highlight w:val="none"/>
        </w:rPr>
      </w:pPr>
      <w:r>
        <w:rPr>
          <w:rFonts w:hAnsi="宋体"/>
          <w:color w:val="auto"/>
          <w:kern w:val="0"/>
          <w:sz w:val="30"/>
          <w:szCs w:val="30"/>
          <w:highlight w:val="none"/>
        </w:rPr>
        <w:t>（签字或盖章）</w:t>
      </w:r>
    </w:p>
    <w:p>
      <w:pPr>
        <w:adjustRightInd w:val="0"/>
        <w:snapToGrid w:val="0"/>
        <w:spacing w:line="440" w:lineRule="exact"/>
        <w:ind w:left="4350" w:hanging="4350" w:hangingChars="1450"/>
        <w:jc w:val="left"/>
        <w:rPr>
          <w:color w:val="auto"/>
          <w:sz w:val="30"/>
          <w:szCs w:val="30"/>
          <w:highlight w:val="none"/>
        </w:rPr>
      </w:pPr>
    </w:p>
    <w:p>
      <w:pPr>
        <w:adjustRightInd w:val="0"/>
        <w:snapToGrid w:val="0"/>
        <w:spacing w:line="440" w:lineRule="exact"/>
        <w:ind w:left="4350" w:hanging="4350" w:hangingChars="1450"/>
        <w:jc w:val="left"/>
        <w:rPr>
          <w:color w:val="auto"/>
          <w:sz w:val="30"/>
          <w:szCs w:val="30"/>
          <w:highlight w:val="none"/>
        </w:rPr>
      </w:pPr>
    </w:p>
    <w:p>
      <w:pPr>
        <w:adjustRightInd w:val="0"/>
        <w:snapToGrid w:val="0"/>
        <w:spacing w:line="440" w:lineRule="exact"/>
        <w:ind w:left="4350" w:hanging="4350" w:hangingChars="1450"/>
        <w:jc w:val="left"/>
        <w:rPr>
          <w:color w:val="auto"/>
          <w:sz w:val="30"/>
          <w:szCs w:val="30"/>
          <w:highlight w:val="none"/>
        </w:rPr>
      </w:pPr>
    </w:p>
    <w:p>
      <w:pPr>
        <w:adjustRightInd w:val="0"/>
        <w:snapToGrid w:val="0"/>
        <w:spacing w:line="440" w:lineRule="exact"/>
        <w:rPr>
          <w:color w:val="auto"/>
          <w:sz w:val="30"/>
          <w:szCs w:val="30"/>
          <w:highlight w:val="none"/>
          <w:u w:val="single"/>
        </w:rPr>
      </w:pPr>
      <w:r>
        <w:rPr>
          <w:rFonts w:hAnsi="宋体"/>
          <w:color w:val="auto"/>
          <w:kern w:val="0"/>
          <w:sz w:val="30"/>
          <w:szCs w:val="30"/>
          <w:highlight w:val="none"/>
        </w:rPr>
        <w:t>编制人：</w:t>
      </w:r>
    </w:p>
    <w:p>
      <w:pPr>
        <w:adjustRightInd w:val="0"/>
        <w:snapToGrid w:val="0"/>
        <w:spacing w:line="440" w:lineRule="exact"/>
        <w:ind w:left="4350" w:hanging="4350" w:hangingChars="1450"/>
        <w:jc w:val="left"/>
        <w:rPr>
          <w:color w:val="auto"/>
          <w:sz w:val="30"/>
          <w:szCs w:val="30"/>
          <w:highlight w:val="none"/>
        </w:rPr>
      </w:pPr>
      <w:r>
        <w:rPr>
          <w:rFonts w:hAnsi="宋体"/>
          <w:color w:val="auto"/>
          <w:kern w:val="0"/>
          <w:sz w:val="30"/>
          <w:szCs w:val="30"/>
          <w:highlight w:val="none"/>
        </w:rPr>
        <w:t>（造价人员签字盖专用章）</w:t>
      </w:r>
    </w:p>
    <w:p>
      <w:pPr>
        <w:adjustRightInd w:val="0"/>
        <w:snapToGrid w:val="0"/>
        <w:spacing w:line="440" w:lineRule="exact"/>
        <w:ind w:left="4350" w:hanging="4350" w:hangingChars="1450"/>
        <w:jc w:val="left"/>
        <w:rPr>
          <w:color w:val="auto"/>
          <w:sz w:val="30"/>
          <w:szCs w:val="30"/>
          <w:highlight w:val="none"/>
        </w:rPr>
      </w:pPr>
    </w:p>
    <w:p>
      <w:pPr>
        <w:adjustRightInd w:val="0"/>
        <w:snapToGrid w:val="0"/>
        <w:spacing w:line="440" w:lineRule="exact"/>
        <w:rPr>
          <w:color w:val="auto"/>
          <w:sz w:val="30"/>
          <w:szCs w:val="30"/>
          <w:highlight w:val="none"/>
        </w:rPr>
      </w:pPr>
    </w:p>
    <w:p>
      <w:pPr>
        <w:adjustRightInd w:val="0"/>
        <w:snapToGrid w:val="0"/>
        <w:spacing w:line="440" w:lineRule="exact"/>
        <w:rPr>
          <w:color w:val="auto"/>
          <w:sz w:val="30"/>
          <w:szCs w:val="30"/>
          <w:highlight w:val="none"/>
        </w:rPr>
      </w:pPr>
    </w:p>
    <w:p>
      <w:pPr>
        <w:adjustRightInd w:val="0"/>
        <w:snapToGrid w:val="0"/>
        <w:spacing w:line="440" w:lineRule="exact"/>
        <w:rPr>
          <w:color w:val="auto"/>
          <w:kern w:val="0"/>
          <w:sz w:val="30"/>
          <w:szCs w:val="30"/>
          <w:highlight w:val="none"/>
        </w:rPr>
      </w:pPr>
      <w:r>
        <w:rPr>
          <w:rFonts w:hAnsi="宋体"/>
          <w:color w:val="auto"/>
          <w:kern w:val="0"/>
          <w:sz w:val="30"/>
          <w:szCs w:val="30"/>
          <w:highlight w:val="none"/>
        </w:rPr>
        <w:t>编制时间：年月日</w:t>
      </w:r>
    </w:p>
    <w:p>
      <w:pPr>
        <w:adjustRightInd w:val="0"/>
        <w:snapToGrid w:val="0"/>
        <w:spacing w:line="440" w:lineRule="exact"/>
        <w:rPr>
          <w:color w:val="auto"/>
          <w:sz w:val="30"/>
          <w:szCs w:val="30"/>
          <w:highlight w:val="none"/>
        </w:rPr>
      </w:pPr>
    </w:p>
    <w:p>
      <w:pPr>
        <w:rPr>
          <w:color w:val="auto"/>
          <w:szCs w:val="21"/>
          <w:highlight w:val="none"/>
        </w:rPr>
      </w:pPr>
    </w:p>
    <w:p>
      <w:pPr>
        <w:jc w:val="right"/>
        <w:rPr>
          <w:color w:val="auto"/>
          <w:szCs w:val="21"/>
          <w:highlight w:val="none"/>
        </w:rPr>
      </w:pPr>
    </w:p>
    <w:p>
      <w:pPr>
        <w:jc w:val="right"/>
        <w:rPr>
          <w:color w:val="auto"/>
          <w:szCs w:val="21"/>
          <w:highlight w:val="none"/>
        </w:rPr>
      </w:pPr>
    </w:p>
    <w:p>
      <w:pPr>
        <w:jc w:val="right"/>
        <w:rPr>
          <w:color w:val="auto"/>
          <w:szCs w:val="21"/>
          <w:highlight w:val="none"/>
        </w:rPr>
      </w:pPr>
    </w:p>
    <w:p>
      <w:pPr>
        <w:spacing w:line="480" w:lineRule="auto"/>
        <w:jc w:val="center"/>
        <w:rPr>
          <w:b/>
          <w:color w:val="auto"/>
          <w:sz w:val="36"/>
          <w:szCs w:val="36"/>
          <w:highlight w:val="none"/>
        </w:rPr>
      </w:pPr>
      <w:bookmarkStart w:id="572" w:name="_Toc359843523"/>
      <w:bookmarkStart w:id="573" w:name="_Toc359843982"/>
      <w:bookmarkStart w:id="574" w:name="_Toc359930015"/>
      <w:bookmarkStart w:id="575" w:name="_Toc359930021"/>
      <w:bookmarkStart w:id="576" w:name="_Toc359843529"/>
      <w:bookmarkStart w:id="577" w:name="_Toc359843988"/>
      <w:bookmarkStart w:id="578" w:name="_Toc359843536"/>
      <w:bookmarkStart w:id="579" w:name="_Toc359843995"/>
      <w:bookmarkStart w:id="580" w:name="_Toc359930028"/>
      <w:bookmarkStart w:id="581" w:name="_Toc359843545"/>
      <w:bookmarkStart w:id="582" w:name="_Toc359844004"/>
      <w:bookmarkStart w:id="583" w:name="_Toc359930037"/>
      <w:r>
        <w:rPr>
          <w:rFonts w:hAnsi="宋体"/>
          <w:b/>
          <w:color w:val="auto"/>
          <w:sz w:val="36"/>
          <w:szCs w:val="36"/>
          <w:highlight w:val="none"/>
        </w:rPr>
        <w:t>总说明</w:t>
      </w:r>
    </w:p>
    <w:p>
      <w:pPr>
        <w:rPr>
          <w:color w:val="auto"/>
          <w:sz w:val="24"/>
          <w:highlight w:val="none"/>
        </w:rPr>
      </w:pPr>
      <w:r>
        <w:rPr>
          <w:rFonts w:hAnsi="宋体"/>
          <w:color w:val="auto"/>
          <w:sz w:val="24"/>
          <w:highlight w:val="none"/>
        </w:rPr>
        <w:t>工程名称：第页共页</w:t>
      </w:r>
    </w:p>
    <w:tbl>
      <w:tblPr>
        <w:tblStyle w:val="57"/>
        <w:tblW w:w="8495" w:type="dxa"/>
        <w:tblInd w:w="2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16" w:hRule="atLeast"/>
        </w:trPr>
        <w:tc>
          <w:tcPr>
            <w:tcW w:w="8495" w:type="dxa"/>
          </w:tcPr>
          <w:p>
            <w:pPr>
              <w:ind w:right="-195" w:rightChars="-93"/>
              <w:rPr>
                <w:color w:val="auto"/>
                <w:sz w:val="24"/>
                <w:highlight w:val="none"/>
              </w:rPr>
            </w:pPr>
          </w:p>
          <w:p>
            <w:pPr>
              <w:rPr>
                <w:color w:val="auto"/>
                <w:sz w:val="24"/>
                <w:highlight w:val="none"/>
              </w:rPr>
            </w:pPr>
          </w:p>
          <w:p>
            <w:pPr>
              <w:rPr>
                <w:color w:val="auto"/>
                <w:sz w:val="24"/>
                <w:highlight w:val="none"/>
              </w:rPr>
            </w:pPr>
          </w:p>
          <w:p>
            <w:pPr>
              <w:rPr>
                <w:color w:val="auto"/>
                <w:sz w:val="24"/>
                <w:highlight w:val="none"/>
              </w:rPr>
            </w:pPr>
          </w:p>
          <w:p>
            <w:pPr>
              <w:rPr>
                <w:color w:val="auto"/>
                <w:sz w:val="24"/>
                <w:highlight w:val="none"/>
              </w:rPr>
            </w:pPr>
          </w:p>
        </w:tc>
      </w:tr>
    </w:tbl>
    <w:p>
      <w:pPr>
        <w:jc w:val="right"/>
        <w:rPr>
          <w:color w:val="auto"/>
          <w:szCs w:val="21"/>
          <w:highlight w:val="none"/>
        </w:rPr>
      </w:pPr>
    </w:p>
    <w:p>
      <w:pPr>
        <w:jc w:val="right"/>
        <w:rPr>
          <w:color w:val="auto"/>
          <w:szCs w:val="21"/>
          <w:highlight w:val="none"/>
        </w:rPr>
      </w:pPr>
    </w:p>
    <w:p>
      <w:pPr>
        <w:jc w:val="right"/>
        <w:rPr>
          <w:color w:val="auto"/>
          <w:szCs w:val="21"/>
          <w:highlight w:val="none"/>
        </w:rPr>
      </w:pPr>
    </w:p>
    <w:p>
      <w:pPr>
        <w:jc w:val="right"/>
        <w:rPr>
          <w:color w:val="auto"/>
          <w:szCs w:val="21"/>
          <w:highlight w:val="none"/>
        </w:rPr>
      </w:pPr>
      <w:r>
        <w:rPr>
          <w:rFonts w:hAnsi="宋体"/>
          <w:color w:val="auto"/>
          <w:szCs w:val="21"/>
          <w:highlight w:val="none"/>
        </w:rPr>
        <w:t>表</w:t>
      </w:r>
      <w:r>
        <w:rPr>
          <w:color w:val="auto"/>
          <w:szCs w:val="21"/>
          <w:highlight w:val="none"/>
        </w:rPr>
        <w:t>—01</w:t>
      </w:r>
    </w:p>
    <w:p>
      <w:pPr>
        <w:spacing w:line="480" w:lineRule="auto"/>
        <w:jc w:val="center"/>
        <w:rPr>
          <w:b/>
          <w:color w:val="auto"/>
          <w:sz w:val="36"/>
          <w:szCs w:val="36"/>
          <w:highlight w:val="none"/>
        </w:rPr>
      </w:pPr>
    </w:p>
    <w:p>
      <w:pPr>
        <w:spacing w:line="480" w:lineRule="auto"/>
        <w:jc w:val="center"/>
        <w:rPr>
          <w:b/>
          <w:color w:val="auto"/>
          <w:sz w:val="36"/>
          <w:szCs w:val="36"/>
          <w:highlight w:val="none"/>
        </w:rPr>
      </w:pPr>
      <w:r>
        <w:rPr>
          <w:rFonts w:hAnsi="宋体"/>
          <w:b/>
          <w:color w:val="auto"/>
          <w:sz w:val="36"/>
          <w:szCs w:val="36"/>
          <w:highlight w:val="none"/>
        </w:rPr>
        <w:t>建设项目投标报价汇总表</w:t>
      </w:r>
    </w:p>
    <w:p>
      <w:pPr>
        <w:rPr>
          <w:color w:val="auto"/>
          <w:sz w:val="24"/>
          <w:highlight w:val="none"/>
        </w:rPr>
      </w:pPr>
      <w:r>
        <w:rPr>
          <w:rFonts w:hAnsi="宋体"/>
          <w:color w:val="auto"/>
          <w:sz w:val="24"/>
          <w:highlight w:val="none"/>
        </w:rPr>
        <w:t>工程名称：第页共页</w:t>
      </w:r>
    </w:p>
    <w:tbl>
      <w:tblPr>
        <w:tblStyle w:val="57"/>
        <w:tblW w:w="8833"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2087"/>
        <w:gridCol w:w="1218"/>
        <w:gridCol w:w="1320"/>
        <w:gridCol w:w="1828"/>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959" w:type="dxa"/>
            <w:vMerge w:val="restart"/>
            <w:vAlign w:val="center"/>
          </w:tcPr>
          <w:p>
            <w:pPr>
              <w:jc w:val="center"/>
              <w:rPr>
                <w:color w:val="auto"/>
                <w:szCs w:val="21"/>
                <w:highlight w:val="none"/>
              </w:rPr>
            </w:pPr>
            <w:r>
              <w:rPr>
                <w:rFonts w:hAnsi="宋体"/>
                <w:color w:val="auto"/>
                <w:szCs w:val="21"/>
                <w:highlight w:val="none"/>
              </w:rPr>
              <w:t>序号</w:t>
            </w:r>
          </w:p>
        </w:tc>
        <w:tc>
          <w:tcPr>
            <w:tcW w:w="2087" w:type="dxa"/>
            <w:vMerge w:val="restart"/>
            <w:vAlign w:val="center"/>
          </w:tcPr>
          <w:p>
            <w:pPr>
              <w:jc w:val="center"/>
              <w:rPr>
                <w:color w:val="auto"/>
                <w:szCs w:val="21"/>
                <w:highlight w:val="none"/>
              </w:rPr>
            </w:pPr>
            <w:r>
              <w:rPr>
                <w:rFonts w:hAnsi="宋体"/>
                <w:color w:val="auto"/>
                <w:szCs w:val="21"/>
                <w:highlight w:val="none"/>
              </w:rPr>
              <w:t>单项工程名称</w:t>
            </w:r>
          </w:p>
        </w:tc>
        <w:tc>
          <w:tcPr>
            <w:tcW w:w="1218" w:type="dxa"/>
            <w:vMerge w:val="restart"/>
            <w:vAlign w:val="center"/>
          </w:tcPr>
          <w:p>
            <w:pPr>
              <w:rPr>
                <w:color w:val="auto"/>
                <w:szCs w:val="21"/>
                <w:highlight w:val="none"/>
              </w:rPr>
            </w:pPr>
            <w:r>
              <w:rPr>
                <w:rFonts w:hAnsi="宋体"/>
                <w:color w:val="auto"/>
                <w:szCs w:val="21"/>
                <w:highlight w:val="none"/>
              </w:rPr>
              <w:t>金额（元）</w:t>
            </w:r>
          </w:p>
        </w:tc>
        <w:tc>
          <w:tcPr>
            <w:tcW w:w="4569" w:type="dxa"/>
            <w:gridSpan w:val="3"/>
            <w:vAlign w:val="center"/>
          </w:tcPr>
          <w:p>
            <w:pPr>
              <w:jc w:val="center"/>
              <w:rPr>
                <w:color w:val="auto"/>
                <w:szCs w:val="21"/>
                <w:highlight w:val="none"/>
              </w:rPr>
            </w:pPr>
            <w:r>
              <w:rPr>
                <w:rFonts w:hAnsi="宋体"/>
                <w:color w:val="auto"/>
                <w:szCs w:val="21"/>
                <w:highlight w:val="none"/>
              </w:rPr>
              <w:t>其中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 w:hRule="atLeast"/>
        </w:trPr>
        <w:tc>
          <w:tcPr>
            <w:tcW w:w="959" w:type="dxa"/>
            <w:vMerge w:val="continue"/>
            <w:vAlign w:val="center"/>
          </w:tcPr>
          <w:p>
            <w:pPr>
              <w:jc w:val="center"/>
              <w:rPr>
                <w:color w:val="auto"/>
                <w:szCs w:val="21"/>
                <w:highlight w:val="none"/>
              </w:rPr>
            </w:pPr>
          </w:p>
        </w:tc>
        <w:tc>
          <w:tcPr>
            <w:tcW w:w="2087" w:type="dxa"/>
            <w:vMerge w:val="continue"/>
            <w:vAlign w:val="center"/>
          </w:tcPr>
          <w:p>
            <w:pPr>
              <w:widowControl/>
              <w:jc w:val="center"/>
              <w:rPr>
                <w:color w:val="auto"/>
                <w:szCs w:val="21"/>
                <w:highlight w:val="none"/>
              </w:rPr>
            </w:pPr>
          </w:p>
        </w:tc>
        <w:tc>
          <w:tcPr>
            <w:tcW w:w="1218" w:type="dxa"/>
            <w:vMerge w:val="continue"/>
            <w:vAlign w:val="center"/>
          </w:tcPr>
          <w:p>
            <w:pPr>
              <w:widowControl/>
              <w:jc w:val="center"/>
              <w:rPr>
                <w:color w:val="auto"/>
                <w:szCs w:val="21"/>
                <w:highlight w:val="none"/>
              </w:rPr>
            </w:pPr>
          </w:p>
        </w:tc>
        <w:tc>
          <w:tcPr>
            <w:tcW w:w="1320" w:type="dxa"/>
            <w:vAlign w:val="center"/>
          </w:tcPr>
          <w:p>
            <w:pPr>
              <w:jc w:val="center"/>
              <w:rPr>
                <w:color w:val="auto"/>
                <w:szCs w:val="21"/>
                <w:highlight w:val="none"/>
              </w:rPr>
            </w:pPr>
            <w:r>
              <w:rPr>
                <w:rFonts w:hAnsi="宋体"/>
                <w:color w:val="auto"/>
                <w:szCs w:val="21"/>
                <w:highlight w:val="none"/>
              </w:rPr>
              <w:t>暂估价</w:t>
            </w:r>
          </w:p>
          <w:p>
            <w:pPr>
              <w:jc w:val="center"/>
              <w:rPr>
                <w:color w:val="auto"/>
                <w:szCs w:val="21"/>
                <w:highlight w:val="none"/>
              </w:rPr>
            </w:pPr>
            <w:r>
              <w:rPr>
                <w:rFonts w:hAnsi="宋体"/>
                <w:color w:val="auto"/>
                <w:szCs w:val="21"/>
                <w:highlight w:val="none"/>
              </w:rPr>
              <w:t>（元）</w:t>
            </w:r>
          </w:p>
        </w:tc>
        <w:tc>
          <w:tcPr>
            <w:tcW w:w="1828" w:type="dxa"/>
            <w:vAlign w:val="center"/>
          </w:tcPr>
          <w:p>
            <w:pPr>
              <w:jc w:val="center"/>
              <w:rPr>
                <w:color w:val="auto"/>
                <w:szCs w:val="21"/>
                <w:highlight w:val="none"/>
              </w:rPr>
            </w:pPr>
            <w:r>
              <w:rPr>
                <w:rFonts w:hAnsi="宋体"/>
                <w:color w:val="auto"/>
                <w:szCs w:val="21"/>
                <w:highlight w:val="none"/>
              </w:rPr>
              <w:t>安全文明</w:t>
            </w:r>
          </w:p>
          <w:p>
            <w:pPr>
              <w:jc w:val="center"/>
              <w:rPr>
                <w:color w:val="auto"/>
                <w:szCs w:val="21"/>
                <w:highlight w:val="none"/>
              </w:rPr>
            </w:pPr>
            <w:r>
              <w:rPr>
                <w:rFonts w:hAnsi="宋体"/>
                <w:color w:val="auto"/>
                <w:szCs w:val="21"/>
                <w:highlight w:val="none"/>
              </w:rPr>
              <w:t>施工费（元）</w:t>
            </w:r>
          </w:p>
        </w:tc>
        <w:tc>
          <w:tcPr>
            <w:tcW w:w="1421" w:type="dxa"/>
            <w:vAlign w:val="center"/>
          </w:tcPr>
          <w:p>
            <w:pPr>
              <w:jc w:val="center"/>
              <w:rPr>
                <w:color w:val="auto"/>
                <w:szCs w:val="21"/>
                <w:highlight w:val="none"/>
              </w:rPr>
            </w:pPr>
            <w:r>
              <w:rPr>
                <w:rFonts w:hAnsi="宋体"/>
                <w:color w:val="auto"/>
                <w:szCs w:val="21"/>
                <w:highlight w:val="none"/>
              </w:rPr>
              <w:t>规费</w:t>
            </w:r>
          </w:p>
          <w:p>
            <w:pPr>
              <w:jc w:val="center"/>
              <w:rPr>
                <w:color w:val="auto"/>
                <w:szCs w:val="21"/>
                <w:highlight w:val="none"/>
              </w:rPr>
            </w:pPr>
            <w:r>
              <w:rPr>
                <w:rFonts w:hAnsi="宋体"/>
                <w:color w:val="auto"/>
                <w:szCs w:val="21"/>
                <w:highlight w:val="none"/>
              </w:rPr>
              <w:t>（元）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39" w:hRule="atLeast"/>
        </w:trPr>
        <w:tc>
          <w:tcPr>
            <w:tcW w:w="959" w:type="dxa"/>
          </w:tcPr>
          <w:p>
            <w:pPr>
              <w:jc w:val="center"/>
              <w:rPr>
                <w:color w:val="auto"/>
                <w:szCs w:val="21"/>
                <w:highlight w:val="none"/>
              </w:rPr>
            </w:pPr>
          </w:p>
          <w:p>
            <w:pPr>
              <w:jc w:val="center"/>
              <w:rPr>
                <w:color w:val="auto"/>
                <w:szCs w:val="21"/>
                <w:highlight w:val="none"/>
              </w:rPr>
            </w:pPr>
          </w:p>
          <w:p>
            <w:pPr>
              <w:jc w:val="center"/>
              <w:rPr>
                <w:color w:val="auto"/>
                <w:szCs w:val="21"/>
                <w:highlight w:val="none"/>
              </w:rPr>
            </w:pPr>
          </w:p>
        </w:tc>
        <w:tc>
          <w:tcPr>
            <w:tcW w:w="2087" w:type="dxa"/>
          </w:tcPr>
          <w:p>
            <w:pPr>
              <w:widowControl/>
              <w:jc w:val="center"/>
              <w:rPr>
                <w:color w:val="auto"/>
                <w:szCs w:val="21"/>
                <w:highlight w:val="none"/>
              </w:rPr>
            </w:pPr>
          </w:p>
          <w:p>
            <w:pPr>
              <w:widowControl/>
              <w:jc w:val="center"/>
              <w:rPr>
                <w:color w:val="auto"/>
                <w:szCs w:val="21"/>
                <w:highlight w:val="none"/>
              </w:rPr>
            </w:pPr>
          </w:p>
          <w:p>
            <w:pPr>
              <w:jc w:val="center"/>
              <w:rPr>
                <w:color w:val="auto"/>
                <w:szCs w:val="21"/>
                <w:highlight w:val="none"/>
              </w:rPr>
            </w:pPr>
          </w:p>
        </w:tc>
        <w:tc>
          <w:tcPr>
            <w:tcW w:w="1218" w:type="dxa"/>
          </w:tcPr>
          <w:p>
            <w:pPr>
              <w:widowControl/>
              <w:jc w:val="center"/>
              <w:rPr>
                <w:color w:val="auto"/>
                <w:szCs w:val="21"/>
                <w:highlight w:val="none"/>
              </w:rPr>
            </w:pPr>
          </w:p>
          <w:p>
            <w:pPr>
              <w:widowControl/>
              <w:jc w:val="center"/>
              <w:rPr>
                <w:color w:val="auto"/>
                <w:szCs w:val="21"/>
                <w:highlight w:val="none"/>
              </w:rPr>
            </w:pPr>
          </w:p>
          <w:p>
            <w:pPr>
              <w:jc w:val="center"/>
              <w:rPr>
                <w:color w:val="auto"/>
                <w:szCs w:val="21"/>
                <w:highlight w:val="none"/>
              </w:rPr>
            </w:pPr>
          </w:p>
        </w:tc>
        <w:tc>
          <w:tcPr>
            <w:tcW w:w="1320" w:type="dxa"/>
          </w:tcPr>
          <w:p>
            <w:pPr>
              <w:widowControl/>
              <w:jc w:val="center"/>
              <w:rPr>
                <w:color w:val="auto"/>
                <w:szCs w:val="21"/>
                <w:highlight w:val="none"/>
              </w:rPr>
            </w:pPr>
          </w:p>
          <w:p>
            <w:pPr>
              <w:widowControl/>
              <w:jc w:val="center"/>
              <w:rPr>
                <w:color w:val="auto"/>
                <w:szCs w:val="21"/>
                <w:highlight w:val="none"/>
              </w:rPr>
            </w:pPr>
          </w:p>
          <w:p>
            <w:pPr>
              <w:jc w:val="center"/>
              <w:rPr>
                <w:color w:val="auto"/>
                <w:szCs w:val="21"/>
                <w:highlight w:val="none"/>
              </w:rPr>
            </w:pPr>
          </w:p>
        </w:tc>
        <w:tc>
          <w:tcPr>
            <w:tcW w:w="1828" w:type="dxa"/>
          </w:tcPr>
          <w:p>
            <w:pPr>
              <w:widowControl/>
              <w:jc w:val="center"/>
              <w:rPr>
                <w:color w:val="auto"/>
                <w:szCs w:val="21"/>
                <w:highlight w:val="none"/>
              </w:rPr>
            </w:pPr>
          </w:p>
          <w:p>
            <w:pPr>
              <w:widowControl/>
              <w:jc w:val="center"/>
              <w:rPr>
                <w:color w:val="auto"/>
                <w:szCs w:val="21"/>
                <w:highlight w:val="none"/>
              </w:rPr>
            </w:pPr>
          </w:p>
          <w:p>
            <w:pPr>
              <w:jc w:val="center"/>
              <w:rPr>
                <w:color w:val="auto"/>
                <w:szCs w:val="21"/>
                <w:highlight w:val="none"/>
              </w:rPr>
            </w:pPr>
          </w:p>
        </w:tc>
        <w:tc>
          <w:tcPr>
            <w:tcW w:w="1421" w:type="dxa"/>
          </w:tcPr>
          <w:p>
            <w:pPr>
              <w:widowControl/>
              <w:jc w:val="center"/>
              <w:rPr>
                <w:color w:val="auto"/>
                <w:szCs w:val="21"/>
                <w:highlight w:val="none"/>
              </w:rPr>
            </w:pPr>
          </w:p>
          <w:p>
            <w:pPr>
              <w:widowControl/>
              <w:jc w:val="center"/>
              <w:rPr>
                <w:color w:val="auto"/>
                <w:szCs w:val="21"/>
                <w:highlight w:val="none"/>
              </w:rPr>
            </w:pPr>
          </w:p>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3" w:hRule="atLeast"/>
        </w:trPr>
        <w:tc>
          <w:tcPr>
            <w:tcW w:w="3046" w:type="dxa"/>
            <w:gridSpan w:val="2"/>
            <w:vAlign w:val="center"/>
          </w:tcPr>
          <w:p>
            <w:pPr>
              <w:jc w:val="center"/>
              <w:rPr>
                <w:color w:val="auto"/>
                <w:szCs w:val="21"/>
                <w:highlight w:val="none"/>
              </w:rPr>
            </w:pPr>
            <w:r>
              <w:rPr>
                <w:rFonts w:hAnsi="宋体"/>
                <w:color w:val="auto"/>
                <w:szCs w:val="21"/>
                <w:highlight w:val="none"/>
              </w:rPr>
              <w:t>合计</w:t>
            </w:r>
          </w:p>
        </w:tc>
        <w:tc>
          <w:tcPr>
            <w:tcW w:w="1218" w:type="dxa"/>
            <w:vAlign w:val="center"/>
          </w:tcPr>
          <w:p>
            <w:pPr>
              <w:jc w:val="center"/>
              <w:rPr>
                <w:color w:val="auto"/>
                <w:szCs w:val="21"/>
                <w:highlight w:val="none"/>
              </w:rPr>
            </w:pPr>
          </w:p>
        </w:tc>
        <w:tc>
          <w:tcPr>
            <w:tcW w:w="1320" w:type="dxa"/>
            <w:vAlign w:val="center"/>
          </w:tcPr>
          <w:p>
            <w:pPr>
              <w:jc w:val="center"/>
              <w:rPr>
                <w:color w:val="auto"/>
                <w:szCs w:val="21"/>
                <w:highlight w:val="none"/>
              </w:rPr>
            </w:pPr>
          </w:p>
        </w:tc>
        <w:tc>
          <w:tcPr>
            <w:tcW w:w="1828" w:type="dxa"/>
            <w:vAlign w:val="center"/>
          </w:tcPr>
          <w:p>
            <w:pPr>
              <w:jc w:val="center"/>
              <w:rPr>
                <w:color w:val="auto"/>
                <w:szCs w:val="21"/>
                <w:highlight w:val="none"/>
              </w:rPr>
            </w:pPr>
          </w:p>
        </w:tc>
        <w:tc>
          <w:tcPr>
            <w:tcW w:w="1421" w:type="dxa"/>
            <w:vAlign w:val="center"/>
          </w:tcPr>
          <w:p>
            <w:pPr>
              <w:jc w:val="center"/>
              <w:rPr>
                <w:color w:val="auto"/>
                <w:szCs w:val="21"/>
                <w:highlight w:val="none"/>
              </w:rPr>
            </w:pPr>
          </w:p>
        </w:tc>
      </w:tr>
    </w:tbl>
    <w:p>
      <w:pPr>
        <w:rPr>
          <w:color w:val="auto"/>
          <w:sz w:val="18"/>
          <w:szCs w:val="18"/>
          <w:highlight w:val="none"/>
        </w:rPr>
      </w:pPr>
      <w:r>
        <w:rPr>
          <w:rFonts w:hAnsi="宋体"/>
          <w:color w:val="auto"/>
          <w:sz w:val="18"/>
          <w:szCs w:val="18"/>
          <w:highlight w:val="none"/>
        </w:rPr>
        <w:t>注：本表适用于工程项目招标控制价或投标报价的汇总</w:t>
      </w:r>
    </w:p>
    <w:p>
      <w:pPr>
        <w:jc w:val="right"/>
        <w:rPr>
          <w:color w:val="auto"/>
          <w:sz w:val="18"/>
          <w:szCs w:val="18"/>
          <w:highlight w:val="none"/>
        </w:rPr>
      </w:pPr>
    </w:p>
    <w:p>
      <w:pPr>
        <w:jc w:val="right"/>
        <w:rPr>
          <w:color w:val="auto"/>
          <w:sz w:val="18"/>
          <w:szCs w:val="18"/>
          <w:highlight w:val="none"/>
        </w:rPr>
      </w:pPr>
      <w:r>
        <w:rPr>
          <w:rFonts w:hAnsi="宋体"/>
          <w:color w:val="auto"/>
          <w:sz w:val="18"/>
          <w:szCs w:val="18"/>
          <w:highlight w:val="none"/>
        </w:rPr>
        <w:t>表</w:t>
      </w:r>
      <w:r>
        <w:rPr>
          <w:color w:val="auto"/>
          <w:sz w:val="18"/>
          <w:szCs w:val="18"/>
          <w:highlight w:val="none"/>
        </w:rPr>
        <w:t>—02</w:t>
      </w:r>
    </w:p>
    <w:p>
      <w:pPr>
        <w:spacing w:line="480" w:lineRule="auto"/>
        <w:jc w:val="center"/>
        <w:rPr>
          <w:b/>
          <w:color w:val="auto"/>
          <w:sz w:val="36"/>
          <w:szCs w:val="36"/>
          <w:highlight w:val="none"/>
        </w:rPr>
      </w:pPr>
    </w:p>
    <w:p>
      <w:pPr>
        <w:spacing w:line="480" w:lineRule="auto"/>
        <w:jc w:val="center"/>
        <w:rPr>
          <w:b/>
          <w:color w:val="auto"/>
          <w:sz w:val="36"/>
          <w:szCs w:val="36"/>
          <w:highlight w:val="none"/>
        </w:rPr>
      </w:pPr>
      <w:r>
        <w:rPr>
          <w:rFonts w:hAnsi="宋体"/>
          <w:b/>
          <w:color w:val="auto"/>
          <w:sz w:val="36"/>
          <w:szCs w:val="36"/>
          <w:highlight w:val="none"/>
        </w:rPr>
        <w:t>单项工程投标报价汇总表</w:t>
      </w:r>
    </w:p>
    <w:p>
      <w:pPr>
        <w:rPr>
          <w:color w:val="auto"/>
          <w:sz w:val="24"/>
          <w:highlight w:val="none"/>
        </w:rPr>
      </w:pPr>
      <w:r>
        <w:rPr>
          <w:rFonts w:hAnsi="宋体"/>
          <w:color w:val="auto"/>
          <w:sz w:val="24"/>
          <w:highlight w:val="none"/>
        </w:rPr>
        <w:t>工程名称：第页共页</w:t>
      </w:r>
    </w:p>
    <w:tbl>
      <w:tblPr>
        <w:tblStyle w:val="57"/>
        <w:tblW w:w="958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9"/>
        <w:gridCol w:w="2688"/>
        <w:gridCol w:w="1484"/>
        <w:gridCol w:w="1370"/>
        <w:gridCol w:w="1712"/>
        <w:gridCol w:w="12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1079" w:type="dxa"/>
            <w:vMerge w:val="restart"/>
            <w:vAlign w:val="center"/>
          </w:tcPr>
          <w:p>
            <w:pPr>
              <w:jc w:val="center"/>
              <w:rPr>
                <w:color w:val="auto"/>
                <w:szCs w:val="21"/>
                <w:highlight w:val="none"/>
              </w:rPr>
            </w:pPr>
            <w:r>
              <w:rPr>
                <w:rFonts w:hAnsi="宋体"/>
                <w:color w:val="auto"/>
                <w:szCs w:val="21"/>
                <w:highlight w:val="none"/>
              </w:rPr>
              <w:t>序号</w:t>
            </w:r>
          </w:p>
        </w:tc>
        <w:tc>
          <w:tcPr>
            <w:tcW w:w="2688" w:type="dxa"/>
            <w:vMerge w:val="restart"/>
            <w:vAlign w:val="center"/>
          </w:tcPr>
          <w:p>
            <w:pPr>
              <w:jc w:val="center"/>
              <w:rPr>
                <w:color w:val="auto"/>
                <w:szCs w:val="21"/>
                <w:highlight w:val="none"/>
              </w:rPr>
            </w:pPr>
            <w:r>
              <w:rPr>
                <w:rFonts w:hAnsi="宋体"/>
                <w:color w:val="auto"/>
                <w:szCs w:val="21"/>
                <w:highlight w:val="none"/>
              </w:rPr>
              <w:t>单位工程名称</w:t>
            </w:r>
          </w:p>
        </w:tc>
        <w:tc>
          <w:tcPr>
            <w:tcW w:w="1484" w:type="dxa"/>
            <w:vMerge w:val="restart"/>
            <w:vAlign w:val="center"/>
          </w:tcPr>
          <w:p>
            <w:pPr>
              <w:rPr>
                <w:color w:val="auto"/>
                <w:szCs w:val="21"/>
                <w:highlight w:val="none"/>
              </w:rPr>
            </w:pPr>
            <w:r>
              <w:rPr>
                <w:rFonts w:hAnsi="宋体"/>
                <w:color w:val="auto"/>
                <w:szCs w:val="21"/>
                <w:highlight w:val="none"/>
              </w:rPr>
              <w:t>金额（元）</w:t>
            </w:r>
          </w:p>
        </w:tc>
        <w:tc>
          <w:tcPr>
            <w:tcW w:w="4337" w:type="dxa"/>
            <w:gridSpan w:val="3"/>
            <w:vAlign w:val="center"/>
          </w:tcPr>
          <w:p>
            <w:pPr>
              <w:jc w:val="center"/>
              <w:rPr>
                <w:color w:val="auto"/>
                <w:szCs w:val="21"/>
                <w:highlight w:val="none"/>
              </w:rPr>
            </w:pPr>
            <w:r>
              <w:rPr>
                <w:rFonts w:hAnsi="宋体"/>
                <w:color w:val="auto"/>
                <w:szCs w:val="21"/>
                <w:highlight w:val="none"/>
              </w:rPr>
              <w:t>其中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trPr>
        <w:tc>
          <w:tcPr>
            <w:tcW w:w="1079" w:type="dxa"/>
            <w:vMerge w:val="continue"/>
            <w:vAlign w:val="center"/>
          </w:tcPr>
          <w:p>
            <w:pPr>
              <w:jc w:val="center"/>
              <w:rPr>
                <w:color w:val="auto"/>
                <w:szCs w:val="21"/>
                <w:highlight w:val="none"/>
              </w:rPr>
            </w:pPr>
          </w:p>
        </w:tc>
        <w:tc>
          <w:tcPr>
            <w:tcW w:w="2688" w:type="dxa"/>
            <w:vMerge w:val="continue"/>
            <w:vAlign w:val="center"/>
          </w:tcPr>
          <w:p>
            <w:pPr>
              <w:widowControl/>
              <w:jc w:val="center"/>
              <w:rPr>
                <w:color w:val="auto"/>
                <w:szCs w:val="21"/>
                <w:highlight w:val="none"/>
              </w:rPr>
            </w:pPr>
          </w:p>
        </w:tc>
        <w:tc>
          <w:tcPr>
            <w:tcW w:w="1484" w:type="dxa"/>
            <w:vMerge w:val="continue"/>
            <w:vAlign w:val="center"/>
          </w:tcPr>
          <w:p>
            <w:pPr>
              <w:widowControl/>
              <w:jc w:val="center"/>
              <w:rPr>
                <w:color w:val="auto"/>
                <w:szCs w:val="21"/>
                <w:highlight w:val="none"/>
              </w:rPr>
            </w:pPr>
          </w:p>
        </w:tc>
        <w:tc>
          <w:tcPr>
            <w:tcW w:w="1370" w:type="dxa"/>
            <w:vAlign w:val="center"/>
          </w:tcPr>
          <w:p>
            <w:pPr>
              <w:jc w:val="center"/>
              <w:rPr>
                <w:color w:val="auto"/>
                <w:szCs w:val="21"/>
                <w:highlight w:val="none"/>
              </w:rPr>
            </w:pPr>
            <w:r>
              <w:rPr>
                <w:rFonts w:hAnsi="宋体"/>
                <w:color w:val="auto"/>
                <w:szCs w:val="21"/>
                <w:highlight w:val="none"/>
              </w:rPr>
              <w:t>暂估价</w:t>
            </w:r>
          </w:p>
          <w:p>
            <w:pPr>
              <w:jc w:val="center"/>
              <w:rPr>
                <w:color w:val="auto"/>
                <w:szCs w:val="21"/>
                <w:highlight w:val="none"/>
              </w:rPr>
            </w:pPr>
            <w:r>
              <w:rPr>
                <w:rFonts w:hAnsi="宋体"/>
                <w:color w:val="auto"/>
                <w:szCs w:val="21"/>
                <w:highlight w:val="none"/>
              </w:rPr>
              <w:t>（元）</w:t>
            </w:r>
          </w:p>
        </w:tc>
        <w:tc>
          <w:tcPr>
            <w:tcW w:w="1712" w:type="dxa"/>
            <w:vAlign w:val="center"/>
          </w:tcPr>
          <w:p>
            <w:pPr>
              <w:jc w:val="center"/>
              <w:rPr>
                <w:color w:val="auto"/>
                <w:szCs w:val="21"/>
                <w:highlight w:val="none"/>
              </w:rPr>
            </w:pPr>
            <w:r>
              <w:rPr>
                <w:rFonts w:hAnsi="宋体"/>
                <w:color w:val="auto"/>
                <w:szCs w:val="21"/>
                <w:highlight w:val="none"/>
              </w:rPr>
              <w:t>安全文明</w:t>
            </w:r>
          </w:p>
          <w:p>
            <w:pPr>
              <w:jc w:val="center"/>
              <w:rPr>
                <w:color w:val="auto"/>
                <w:szCs w:val="21"/>
                <w:highlight w:val="none"/>
              </w:rPr>
            </w:pPr>
            <w:r>
              <w:rPr>
                <w:rFonts w:hAnsi="宋体"/>
                <w:color w:val="auto"/>
                <w:szCs w:val="21"/>
                <w:highlight w:val="none"/>
              </w:rPr>
              <w:t>施工费（元）</w:t>
            </w:r>
          </w:p>
        </w:tc>
        <w:tc>
          <w:tcPr>
            <w:tcW w:w="1255" w:type="dxa"/>
            <w:vAlign w:val="center"/>
          </w:tcPr>
          <w:p>
            <w:pPr>
              <w:jc w:val="center"/>
              <w:rPr>
                <w:color w:val="auto"/>
                <w:szCs w:val="21"/>
                <w:highlight w:val="none"/>
              </w:rPr>
            </w:pPr>
            <w:r>
              <w:rPr>
                <w:rFonts w:hAnsi="宋体"/>
                <w:color w:val="auto"/>
                <w:szCs w:val="21"/>
                <w:highlight w:val="none"/>
              </w:rPr>
              <w:t>规费</w:t>
            </w:r>
          </w:p>
          <w:p>
            <w:pPr>
              <w:jc w:val="center"/>
              <w:rPr>
                <w:color w:val="auto"/>
                <w:szCs w:val="21"/>
                <w:highlight w:val="none"/>
              </w:rPr>
            </w:pPr>
            <w:r>
              <w:rPr>
                <w:rFonts w:hAnsi="宋体"/>
                <w:color w:val="auto"/>
                <w:szCs w:val="21"/>
                <w:highlight w:val="none"/>
              </w:rPr>
              <w:t>（元）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56" w:hRule="atLeast"/>
        </w:trPr>
        <w:tc>
          <w:tcPr>
            <w:tcW w:w="1079" w:type="dxa"/>
          </w:tcPr>
          <w:p>
            <w:pPr>
              <w:jc w:val="center"/>
              <w:rPr>
                <w:color w:val="auto"/>
                <w:szCs w:val="21"/>
                <w:highlight w:val="none"/>
              </w:rPr>
            </w:pPr>
          </w:p>
          <w:p>
            <w:pPr>
              <w:jc w:val="center"/>
              <w:rPr>
                <w:color w:val="auto"/>
                <w:szCs w:val="21"/>
                <w:highlight w:val="none"/>
              </w:rPr>
            </w:pPr>
          </w:p>
          <w:p>
            <w:pPr>
              <w:jc w:val="center"/>
              <w:rPr>
                <w:color w:val="auto"/>
                <w:szCs w:val="21"/>
                <w:highlight w:val="none"/>
              </w:rPr>
            </w:pPr>
          </w:p>
        </w:tc>
        <w:tc>
          <w:tcPr>
            <w:tcW w:w="2688" w:type="dxa"/>
          </w:tcPr>
          <w:p>
            <w:pPr>
              <w:widowControl/>
              <w:jc w:val="center"/>
              <w:rPr>
                <w:color w:val="auto"/>
                <w:szCs w:val="21"/>
                <w:highlight w:val="none"/>
              </w:rPr>
            </w:pPr>
          </w:p>
          <w:p>
            <w:pPr>
              <w:widowControl/>
              <w:jc w:val="center"/>
              <w:rPr>
                <w:color w:val="auto"/>
                <w:szCs w:val="21"/>
                <w:highlight w:val="none"/>
              </w:rPr>
            </w:pPr>
          </w:p>
          <w:p>
            <w:pPr>
              <w:jc w:val="center"/>
              <w:rPr>
                <w:color w:val="auto"/>
                <w:szCs w:val="21"/>
                <w:highlight w:val="none"/>
              </w:rPr>
            </w:pPr>
          </w:p>
        </w:tc>
        <w:tc>
          <w:tcPr>
            <w:tcW w:w="1484" w:type="dxa"/>
          </w:tcPr>
          <w:p>
            <w:pPr>
              <w:widowControl/>
              <w:jc w:val="center"/>
              <w:rPr>
                <w:color w:val="auto"/>
                <w:szCs w:val="21"/>
                <w:highlight w:val="none"/>
              </w:rPr>
            </w:pPr>
          </w:p>
          <w:p>
            <w:pPr>
              <w:widowControl/>
              <w:jc w:val="center"/>
              <w:rPr>
                <w:color w:val="auto"/>
                <w:szCs w:val="21"/>
                <w:highlight w:val="none"/>
              </w:rPr>
            </w:pPr>
          </w:p>
          <w:p>
            <w:pPr>
              <w:jc w:val="center"/>
              <w:rPr>
                <w:color w:val="auto"/>
                <w:szCs w:val="21"/>
                <w:highlight w:val="none"/>
              </w:rPr>
            </w:pPr>
          </w:p>
        </w:tc>
        <w:tc>
          <w:tcPr>
            <w:tcW w:w="1370" w:type="dxa"/>
          </w:tcPr>
          <w:p>
            <w:pPr>
              <w:widowControl/>
              <w:jc w:val="center"/>
              <w:rPr>
                <w:color w:val="auto"/>
                <w:szCs w:val="21"/>
                <w:highlight w:val="none"/>
              </w:rPr>
            </w:pPr>
          </w:p>
          <w:p>
            <w:pPr>
              <w:widowControl/>
              <w:jc w:val="center"/>
              <w:rPr>
                <w:color w:val="auto"/>
                <w:szCs w:val="21"/>
                <w:highlight w:val="none"/>
              </w:rPr>
            </w:pPr>
          </w:p>
          <w:p>
            <w:pPr>
              <w:jc w:val="center"/>
              <w:rPr>
                <w:color w:val="auto"/>
                <w:szCs w:val="21"/>
                <w:highlight w:val="none"/>
              </w:rPr>
            </w:pPr>
          </w:p>
        </w:tc>
        <w:tc>
          <w:tcPr>
            <w:tcW w:w="1712" w:type="dxa"/>
          </w:tcPr>
          <w:p>
            <w:pPr>
              <w:widowControl/>
              <w:jc w:val="center"/>
              <w:rPr>
                <w:color w:val="auto"/>
                <w:szCs w:val="21"/>
                <w:highlight w:val="none"/>
              </w:rPr>
            </w:pPr>
          </w:p>
          <w:p>
            <w:pPr>
              <w:widowControl/>
              <w:jc w:val="center"/>
              <w:rPr>
                <w:color w:val="auto"/>
                <w:szCs w:val="21"/>
                <w:highlight w:val="none"/>
              </w:rPr>
            </w:pPr>
          </w:p>
          <w:p>
            <w:pPr>
              <w:jc w:val="center"/>
              <w:rPr>
                <w:color w:val="auto"/>
                <w:szCs w:val="21"/>
                <w:highlight w:val="none"/>
              </w:rPr>
            </w:pPr>
          </w:p>
        </w:tc>
        <w:tc>
          <w:tcPr>
            <w:tcW w:w="1255" w:type="dxa"/>
          </w:tcPr>
          <w:p>
            <w:pPr>
              <w:widowControl/>
              <w:jc w:val="center"/>
              <w:rPr>
                <w:color w:val="auto"/>
                <w:szCs w:val="21"/>
                <w:highlight w:val="none"/>
              </w:rPr>
            </w:pPr>
          </w:p>
          <w:p>
            <w:pPr>
              <w:widowControl/>
              <w:jc w:val="center"/>
              <w:rPr>
                <w:color w:val="auto"/>
                <w:szCs w:val="21"/>
                <w:highlight w:val="none"/>
              </w:rPr>
            </w:pPr>
          </w:p>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6" w:hRule="atLeast"/>
        </w:trPr>
        <w:tc>
          <w:tcPr>
            <w:tcW w:w="3767" w:type="dxa"/>
            <w:gridSpan w:val="2"/>
            <w:vAlign w:val="center"/>
          </w:tcPr>
          <w:p>
            <w:pPr>
              <w:jc w:val="center"/>
              <w:rPr>
                <w:color w:val="auto"/>
                <w:szCs w:val="21"/>
                <w:highlight w:val="none"/>
              </w:rPr>
            </w:pPr>
            <w:r>
              <w:rPr>
                <w:rFonts w:hAnsi="宋体"/>
                <w:color w:val="auto"/>
                <w:szCs w:val="21"/>
                <w:highlight w:val="none"/>
              </w:rPr>
              <w:t>合计</w:t>
            </w:r>
          </w:p>
        </w:tc>
        <w:tc>
          <w:tcPr>
            <w:tcW w:w="1484" w:type="dxa"/>
            <w:vAlign w:val="center"/>
          </w:tcPr>
          <w:p>
            <w:pPr>
              <w:jc w:val="center"/>
              <w:rPr>
                <w:color w:val="auto"/>
                <w:szCs w:val="21"/>
                <w:highlight w:val="none"/>
              </w:rPr>
            </w:pPr>
          </w:p>
        </w:tc>
        <w:tc>
          <w:tcPr>
            <w:tcW w:w="1370" w:type="dxa"/>
            <w:vAlign w:val="center"/>
          </w:tcPr>
          <w:p>
            <w:pPr>
              <w:jc w:val="center"/>
              <w:rPr>
                <w:color w:val="auto"/>
                <w:szCs w:val="21"/>
                <w:highlight w:val="none"/>
              </w:rPr>
            </w:pPr>
          </w:p>
        </w:tc>
        <w:tc>
          <w:tcPr>
            <w:tcW w:w="1712" w:type="dxa"/>
            <w:vAlign w:val="center"/>
          </w:tcPr>
          <w:p>
            <w:pPr>
              <w:jc w:val="center"/>
              <w:rPr>
                <w:color w:val="auto"/>
                <w:szCs w:val="21"/>
                <w:highlight w:val="none"/>
              </w:rPr>
            </w:pPr>
          </w:p>
        </w:tc>
        <w:tc>
          <w:tcPr>
            <w:tcW w:w="1255" w:type="dxa"/>
            <w:vAlign w:val="center"/>
          </w:tcPr>
          <w:p>
            <w:pPr>
              <w:jc w:val="center"/>
              <w:rPr>
                <w:color w:val="auto"/>
                <w:szCs w:val="21"/>
                <w:highlight w:val="none"/>
              </w:rPr>
            </w:pPr>
          </w:p>
        </w:tc>
      </w:tr>
    </w:tbl>
    <w:p>
      <w:pPr>
        <w:rPr>
          <w:color w:val="auto"/>
          <w:sz w:val="18"/>
          <w:szCs w:val="18"/>
          <w:highlight w:val="none"/>
        </w:rPr>
      </w:pPr>
      <w:r>
        <w:rPr>
          <w:rFonts w:hAnsi="宋体"/>
          <w:color w:val="auto"/>
          <w:sz w:val="18"/>
          <w:szCs w:val="18"/>
          <w:highlight w:val="none"/>
        </w:rPr>
        <w:t>注：本表适用于单项工程招标控制价或投标报价的汇总。暂估价包括分部分项工程中的暂估价和专业工程暂估价。</w:t>
      </w:r>
    </w:p>
    <w:p>
      <w:pPr>
        <w:jc w:val="right"/>
        <w:rPr>
          <w:color w:val="auto"/>
          <w:sz w:val="18"/>
          <w:szCs w:val="18"/>
          <w:highlight w:val="none"/>
        </w:rPr>
      </w:pPr>
    </w:p>
    <w:p>
      <w:pPr>
        <w:jc w:val="right"/>
        <w:rPr>
          <w:color w:val="auto"/>
          <w:sz w:val="18"/>
          <w:szCs w:val="18"/>
          <w:highlight w:val="none"/>
        </w:rPr>
      </w:pPr>
      <w:r>
        <w:rPr>
          <w:rFonts w:hAnsi="宋体"/>
          <w:color w:val="auto"/>
          <w:sz w:val="18"/>
          <w:szCs w:val="18"/>
          <w:highlight w:val="none"/>
        </w:rPr>
        <w:t>表</w:t>
      </w:r>
      <w:r>
        <w:rPr>
          <w:color w:val="auto"/>
          <w:sz w:val="18"/>
          <w:szCs w:val="18"/>
          <w:highlight w:val="none"/>
        </w:rPr>
        <w:t>—03</w:t>
      </w:r>
    </w:p>
    <w:p>
      <w:pPr>
        <w:spacing w:line="480" w:lineRule="auto"/>
        <w:jc w:val="center"/>
        <w:rPr>
          <w:b/>
          <w:color w:val="auto"/>
          <w:sz w:val="36"/>
          <w:szCs w:val="36"/>
          <w:highlight w:val="none"/>
        </w:rPr>
      </w:pPr>
    </w:p>
    <w:p>
      <w:pPr>
        <w:spacing w:line="480" w:lineRule="auto"/>
        <w:jc w:val="center"/>
        <w:rPr>
          <w:b/>
          <w:color w:val="auto"/>
          <w:sz w:val="36"/>
          <w:szCs w:val="36"/>
          <w:highlight w:val="none"/>
        </w:rPr>
      </w:pPr>
      <w:r>
        <w:rPr>
          <w:rFonts w:hAnsi="宋体"/>
          <w:b/>
          <w:color w:val="auto"/>
          <w:sz w:val="36"/>
          <w:szCs w:val="36"/>
          <w:highlight w:val="none"/>
        </w:rPr>
        <w:t>单位工程投标报价汇总表</w:t>
      </w:r>
    </w:p>
    <w:p>
      <w:pPr>
        <w:rPr>
          <w:color w:val="auto"/>
          <w:sz w:val="24"/>
          <w:highlight w:val="none"/>
        </w:rPr>
      </w:pPr>
      <w:r>
        <w:rPr>
          <w:rFonts w:hAnsi="宋体"/>
          <w:color w:val="auto"/>
          <w:sz w:val="24"/>
          <w:highlight w:val="none"/>
        </w:rPr>
        <w:t>工程名称：标段：第</w:t>
      </w:r>
      <w:r>
        <w:rPr>
          <w:rFonts w:hint="eastAsia" w:hAnsi="宋体"/>
          <w:color w:val="auto"/>
          <w:sz w:val="24"/>
          <w:highlight w:val="none"/>
          <w:u w:val="single"/>
          <w:lang w:val="en-US" w:eastAsia="zh-CN"/>
        </w:rPr>
        <w:t xml:space="preserve">   </w:t>
      </w:r>
      <w:r>
        <w:rPr>
          <w:rFonts w:hAnsi="宋体"/>
          <w:color w:val="auto"/>
          <w:sz w:val="24"/>
          <w:highlight w:val="none"/>
        </w:rPr>
        <w:t>页</w:t>
      </w:r>
      <w:r>
        <w:rPr>
          <w:rFonts w:hint="eastAsia" w:hAnsi="宋体"/>
          <w:color w:val="auto"/>
          <w:sz w:val="24"/>
          <w:highlight w:val="none"/>
          <w:lang w:val="en-US" w:eastAsia="zh-CN"/>
        </w:rPr>
        <w:t xml:space="preserve"> </w:t>
      </w:r>
      <w:r>
        <w:rPr>
          <w:rFonts w:hAnsi="宋体"/>
          <w:color w:val="auto"/>
          <w:sz w:val="24"/>
          <w:highlight w:val="none"/>
        </w:rPr>
        <w:t>共</w:t>
      </w:r>
      <w:r>
        <w:rPr>
          <w:rFonts w:hint="eastAsia" w:hAnsi="宋体"/>
          <w:color w:val="auto"/>
          <w:sz w:val="24"/>
          <w:highlight w:val="none"/>
          <w:lang w:val="en-US" w:eastAsia="zh-CN"/>
        </w:rPr>
        <w:t xml:space="preserve"> </w:t>
      </w:r>
      <w:r>
        <w:rPr>
          <w:rFonts w:hint="eastAsia" w:hAnsi="宋体"/>
          <w:color w:val="auto"/>
          <w:sz w:val="24"/>
          <w:highlight w:val="none"/>
          <w:u w:val="single"/>
          <w:lang w:val="en-US" w:eastAsia="zh-CN"/>
        </w:rPr>
        <w:t xml:space="preserve">  </w:t>
      </w:r>
      <w:r>
        <w:rPr>
          <w:rFonts w:hAnsi="宋体"/>
          <w:color w:val="auto"/>
          <w:sz w:val="24"/>
          <w:highlight w:val="none"/>
        </w:rPr>
        <w:t>页</w:t>
      </w:r>
    </w:p>
    <w:tbl>
      <w:tblPr>
        <w:tblStyle w:val="57"/>
        <w:tblW w:w="968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0"/>
        <w:gridCol w:w="3914"/>
        <w:gridCol w:w="2422"/>
        <w:gridCol w:w="23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1040" w:type="dxa"/>
            <w:tcBorders>
              <w:bottom w:val="single" w:color="auto" w:sz="4" w:space="0"/>
            </w:tcBorders>
            <w:vAlign w:val="center"/>
          </w:tcPr>
          <w:p>
            <w:pPr>
              <w:jc w:val="center"/>
              <w:rPr>
                <w:color w:val="auto"/>
                <w:szCs w:val="21"/>
                <w:highlight w:val="none"/>
              </w:rPr>
            </w:pPr>
            <w:r>
              <w:rPr>
                <w:rFonts w:hAnsi="宋体"/>
                <w:color w:val="auto"/>
                <w:szCs w:val="21"/>
                <w:highlight w:val="none"/>
              </w:rPr>
              <w:t>序号</w:t>
            </w:r>
          </w:p>
        </w:tc>
        <w:tc>
          <w:tcPr>
            <w:tcW w:w="3914" w:type="dxa"/>
            <w:tcBorders>
              <w:bottom w:val="single" w:color="auto" w:sz="4" w:space="0"/>
            </w:tcBorders>
            <w:vAlign w:val="center"/>
          </w:tcPr>
          <w:p>
            <w:pPr>
              <w:jc w:val="center"/>
              <w:rPr>
                <w:color w:val="auto"/>
                <w:szCs w:val="21"/>
                <w:highlight w:val="none"/>
              </w:rPr>
            </w:pPr>
            <w:r>
              <w:rPr>
                <w:rFonts w:hAnsi="宋体"/>
                <w:color w:val="auto"/>
                <w:szCs w:val="21"/>
                <w:highlight w:val="none"/>
              </w:rPr>
              <w:t>汇总内容</w:t>
            </w:r>
          </w:p>
        </w:tc>
        <w:tc>
          <w:tcPr>
            <w:tcW w:w="2422" w:type="dxa"/>
            <w:tcBorders>
              <w:bottom w:val="single" w:color="auto" w:sz="4" w:space="0"/>
            </w:tcBorders>
            <w:vAlign w:val="center"/>
          </w:tcPr>
          <w:p>
            <w:pPr>
              <w:jc w:val="center"/>
              <w:rPr>
                <w:color w:val="auto"/>
                <w:szCs w:val="21"/>
                <w:highlight w:val="none"/>
              </w:rPr>
            </w:pPr>
            <w:r>
              <w:rPr>
                <w:rFonts w:hAnsi="宋体"/>
                <w:color w:val="auto"/>
                <w:szCs w:val="21"/>
                <w:highlight w:val="none"/>
              </w:rPr>
              <w:t>金额（元）</w:t>
            </w:r>
          </w:p>
        </w:tc>
        <w:tc>
          <w:tcPr>
            <w:tcW w:w="2312" w:type="dxa"/>
            <w:tcBorders>
              <w:bottom w:val="single" w:color="auto" w:sz="4" w:space="0"/>
            </w:tcBorders>
            <w:vAlign w:val="center"/>
          </w:tcPr>
          <w:p>
            <w:pPr>
              <w:jc w:val="center"/>
              <w:rPr>
                <w:color w:val="auto"/>
                <w:szCs w:val="21"/>
                <w:highlight w:val="none"/>
              </w:rPr>
            </w:pPr>
            <w:r>
              <w:rPr>
                <w:rFonts w:hAnsi="宋体"/>
                <w:color w:val="auto"/>
                <w:szCs w:val="21"/>
                <w:highlight w:val="none"/>
              </w:rPr>
              <w:t>其中：暂估价（元）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r>
              <w:rPr>
                <w:color w:val="auto"/>
                <w:szCs w:val="21"/>
                <w:highlight w:val="none"/>
              </w:rPr>
              <w:t>1</w:t>
            </w:r>
          </w:p>
        </w:tc>
        <w:tc>
          <w:tcPr>
            <w:tcW w:w="3914" w:type="dxa"/>
            <w:vAlign w:val="center"/>
          </w:tcPr>
          <w:p>
            <w:pPr>
              <w:rPr>
                <w:color w:val="auto"/>
                <w:szCs w:val="21"/>
                <w:highlight w:val="none"/>
              </w:rPr>
            </w:pPr>
            <w:r>
              <w:rPr>
                <w:rFonts w:hAnsi="宋体"/>
                <w:color w:val="auto"/>
                <w:szCs w:val="21"/>
                <w:highlight w:val="none"/>
              </w:rPr>
              <w:t>分部分项工程</w:t>
            </w:r>
          </w:p>
        </w:tc>
        <w:tc>
          <w:tcPr>
            <w:tcW w:w="2422" w:type="dxa"/>
            <w:vAlign w:val="center"/>
          </w:tcPr>
          <w:p>
            <w:pPr>
              <w:jc w:val="center"/>
              <w:rPr>
                <w:color w:val="auto"/>
                <w:szCs w:val="21"/>
                <w:highlight w:val="none"/>
              </w:rPr>
            </w:pPr>
          </w:p>
        </w:tc>
        <w:tc>
          <w:tcPr>
            <w:tcW w:w="2312"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r>
              <w:rPr>
                <w:color w:val="auto"/>
                <w:szCs w:val="21"/>
                <w:highlight w:val="none"/>
              </w:rPr>
              <w:t>1.1</w:t>
            </w:r>
          </w:p>
        </w:tc>
        <w:tc>
          <w:tcPr>
            <w:tcW w:w="3914" w:type="dxa"/>
            <w:vAlign w:val="center"/>
          </w:tcPr>
          <w:p>
            <w:pPr>
              <w:rPr>
                <w:color w:val="auto"/>
                <w:szCs w:val="21"/>
                <w:highlight w:val="none"/>
              </w:rPr>
            </w:pP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r>
              <w:rPr>
                <w:color w:val="auto"/>
                <w:szCs w:val="21"/>
                <w:highlight w:val="none"/>
              </w:rPr>
              <w:t>1.2</w:t>
            </w:r>
          </w:p>
        </w:tc>
        <w:tc>
          <w:tcPr>
            <w:tcW w:w="3914" w:type="dxa"/>
            <w:vAlign w:val="center"/>
          </w:tcPr>
          <w:p>
            <w:pPr>
              <w:rPr>
                <w:color w:val="auto"/>
                <w:szCs w:val="21"/>
                <w:highlight w:val="none"/>
              </w:rPr>
            </w:pP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r>
              <w:rPr>
                <w:color w:val="auto"/>
                <w:szCs w:val="21"/>
                <w:highlight w:val="none"/>
              </w:rPr>
              <w:t>1.3</w:t>
            </w:r>
          </w:p>
        </w:tc>
        <w:tc>
          <w:tcPr>
            <w:tcW w:w="3914" w:type="dxa"/>
            <w:vAlign w:val="center"/>
          </w:tcPr>
          <w:p>
            <w:pPr>
              <w:rPr>
                <w:color w:val="auto"/>
                <w:szCs w:val="21"/>
                <w:highlight w:val="none"/>
              </w:rPr>
            </w:pP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r>
              <w:rPr>
                <w:color w:val="auto"/>
                <w:szCs w:val="21"/>
                <w:highlight w:val="none"/>
              </w:rPr>
              <w:t>1.4</w:t>
            </w:r>
          </w:p>
        </w:tc>
        <w:tc>
          <w:tcPr>
            <w:tcW w:w="3914" w:type="dxa"/>
            <w:vAlign w:val="center"/>
          </w:tcPr>
          <w:p>
            <w:pPr>
              <w:rPr>
                <w:color w:val="auto"/>
                <w:szCs w:val="21"/>
                <w:highlight w:val="none"/>
              </w:rPr>
            </w:pP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r>
              <w:rPr>
                <w:color w:val="auto"/>
                <w:szCs w:val="21"/>
                <w:highlight w:val="none"/>
              </w:rPr>
              <w:t>1.5</w:t>
            </w:r>
          </w:p>
        </w:tc>
        <w:tc>
          <w:tcPr>
            <w:tcW w:w="3914" w:type="dxa"/>
            <w:vAlign w:val="center"/>
          </w:tcPr>
          <w:p>
            <w:pPr>
              <w:rPr>
                <w:color w:val="auto"/>
                <w:szCs w:val="21"/>
                <w:highlight w:val="none"/>
              </w:rPr>
            </w:pP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p>
        </w:tc>
        <w:tc>
          <w:tcPr>
            <w:tcW w:w="3914" w:type="dxa"/>
            <w:vAlign w:val="center"/>
          </w:tcPr>
          <w:p>
            <w:pPr>
              <w:rPr>
                <w:color w:val="auto"/>
                <w:szCs w:val="21"/>
                <w:highlight w:val="none"/>
              </w:rPr>
            </w:pP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p>
        </w:tc>
        <w:tc>
          <w:tcPr>
            <w:tcW w:w="3914" w:type="dxa"/>
            <w:vAlign w:val="center"/>
          </w:tcPr>
          <w:p>
            <w:pPr>
              <w:rPr>
                <w:color w:val="auto"/>
                <w:szCs w:val="21"/>
                <w:highlight w:val="none"/>
              </w:rPr>
            </w:pP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p>
        </w:tc>
        <w:tc>
          <w:tcPr>
            <w:tcW w:w="3914" w:type="dxa"/>
            <w:vAlign w:val="center"/>
          </w:tcPr>
          <w:p>
            <w:pPr>
              <w:rPr>
                <w:color w:val="auto"/>
                <w:szCs w:val="21"/>
                <w:highlight w:val="none"/>
              </w:rPr>
            </w:pP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p>
        </w:tc>
        <w:tc>
          <w:tcPr>
            <w:tcW w:w="3914" w:type="dxa"/>
            <w:vAlign w:val="center"/>
          </w:tcPr>
          <w:p>
            <w:pPr>
              <w:rPr>
                <w:color w:val="auto"/>
                <w:szCs w:val="21"/>
                <w:highlight w:val="none"/>
              </w:rPr>
            </w:pP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p>
        </w:tc>
        <w:tc>
          <w:tcPr>
            <w:tcW w:w="3914" w:type="dxa"/>
            <w:vAlign w:val="center"/>
          </w:tcPr>
          <w:p>
            <w:pPr>
              <w:rPr>
                <w:color w:val="auto"/>
                <w:szCs w:val="21"/>
                <w:highlight w:val="none"/>
              </w:rPr>
            </w:pP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r>
              <w:rPr>
                <w:color w:val="auto"/>
                <w:szCs w:val="21"/>
                <w:highlight w:val="none"/>
              </w:rPr>
              <w:t>2</w:t>
            </w:r>
          </w:p>
        </w:tc>
        <w:tc>
          <w:tcPr>
            <w:tcW w:w="3914" w:type="dxa"/>
            <w:vAlign w:val="center"/>
          </w:tcPr>
          <w:p>
            <w:pPr>
              <w:rPr>
                <w:color w:val="auto"/>
                <w:szCs w:val="21"/>
                <w:highlight w:val="none"/>
              </w:rPr>
            </w:pPr>
            <w:r>
              <w:rPr>
                <w:rFonts w:hAnsi="宋体"/>
                <w:color w:val="auto"/>
                <w:szCs w:val="21"/>
                <w:highlight w:val="none"/>
              </w:rPr>
              <w:t>措施项目</w:t>
            </w: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r>
              <w:rPr>
                <w:color w:val="auto"/>
                <w:szCs w:val="21"/>
                <w:highlight w:val="none"/>
              </w:rPr>
              <w:t>2.1</w:t>
            </w:r>
          </w:p>
        </w:tc>
        <w:tc>
          <w:tcPr>
            <w:tcW w:w="3914" w:type="dxa"/>
            <w:vAlign w:val="center"/>
          </w:tcPr>
          <w:p>
            <w:pPr>
              <w:ind w:firstLine="310" w:firstLineChars="148"/>
              <w:rPr>
                <w:color w:val="auto"/>
                <w:szCs w:val="21"/>
                <w:highlight w:val="none"/>
              </w:rPr>
            </w:pPr>
            <w:r>
              <w:rPr>
                <w:rFonts w:hAnsi="宋体"/>
                <w:color w:val="auto"/>
                <w:szCs w:val="21"/>
                <w:highlight w:val="none"/>
              </w:rPr>
              <w:t>安全文明施工费</w:t>
            </w: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r>
              <w:rPr>
                <w:color w:val="auto"/>
                <w:szCs w:val="21"/>
                <w:highlight w:val="none"/>
              </w:rPr>
              <w:t>3</w:t>
            </w:r>
          </w:p>
        </w:tc>
        <w:tc>
          <w:tcPr>
            <w:tcW w:w="3914" w:type="dxa"/>
            <w:vAlign w:val="center"/>
          </w:tcPr>
          <w:p>
            <w:pPr>
              <w:rPr>
                <w:color w:val="auto"/>
                <w:szCs w:val="21"/>
                <w:highlight w:val="none"/>
              </w:rPr>
            </w:pPr>
            <w:r>
              <w:rPr>
                <w:rFonts w:hAnsi="宋体"/>
                <w:color w:val="auto"/>
                <w:szCs w:val="21"/>
                <w:highlight w:val="none"/>
              </w:rPr>
              <w:t>其他项目</w:t>
            </w: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r>
              <w:rPr>
                <w:color w:val="auto"/>
                <w:szCs w:val="21"/>
                <w:highlight w:val="none"/>
              </w:rPr>
              <w:t>3.1</w:t>
            </w:r>
          </w:p>
        </w:tc>
        <w:tc>
          <w:tcPr>
            <w:tcW w:w="3914" w:type="dxa"/>
            <w:vAlign w:val="center"/>
          </w:tcPr>
          <w:p>
            <w:pPr>
              <w:ind w:firstLine="310" w:firstLineChars="148"/>
              <w:rPr>
                <w:color w:val="auto"/>
                <w:szCs w:val="21"/>
                <w:highlight w:val="none"/>
              </w:rPr>
            </w:pPr>
            <w:r>
              <w:rPr>
                <w:rFonts w:hAnsi="宋体"/>
                <w:color w:val="auto"/>
                <w:szCs w:val="21"/>
                <w:highlight w:val="none"/>
              </w:rPr>
              <w:t>暂列金额</w:t>
            </w: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r>
              <w:rPr>
                <w:color w:val="auto"/>
                <w:szCs w:val="21"/>
                <w:highlight w:val="none"/>
              </w:rPr>
              <w:t>3.2</w:t>
            </w:r>
          </w:p>
        </w:tc>
        <w:tc>
          <w:tcPr>
            <w:tcW w:w="3914" w:type="dxa"/>
            <w:vAlign w:val="center"/>
          </w:tcPr>
          <w:p>
            <w:pPr>
              <w:ind w:firstLine="310" w:firstLineChars="148"/>
              <w:rPr>
                <w:color w:val="auto"/>
                <w:szCs w:val="21"/>
                <w:highlight w:val="none"/>
              </w:rPr>
            </w:pPr>
            <w:r>
              <w:rPr>
                <w:rFonts w:hAnsi="宋体"/>
                <w:color w:val="auto"/>
                <w:szCs w:val="21"/>
                <w:highlight w:val="none"/>
              </w:rPr>
              <w:t>专业工程暂估价</w:t>
            </w: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r>
              <w:rPr>
                <w:color w:val="auto"/>
                <w:szCs w:val="21"/>
                <w:highlight w:val="none"/>
              </w:rPr>
              <w:t>3.3</w:t>
            </w:r>
          </w:p>
        </w:tc>
        <w:tc>
          <w:tcPr>
            <w:tcW w:w="3914" w:type="dxa"/>
            <w:vAlign w:val="center"/>
          </w:tcPr>
          <w:p>
            <w:pPr>
              <w:ind w:firstLine="310" w:firstLineChars="148"/>
              <w:rPr>
                <w:color w:val="auto"/>
                <w:szCs w:val="21"/>
                <w:highlight w:val="none"/>
              </w:rPr>
            </w:pPr>
            <w:r>
              <w:rPr>
                <w:rFonts w:hAnsi="宋体"/>
                <w:color w:val="auto"/>
                <w:szCs w:val="21"/>
                <w:highlight w:val="none"/>
              </w:rPr>
              <w:t>计日工</w:t>
            </w: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r>
              <w:rPr>
                <w:color w:val="auto"/>
                <w:szCs w:val="21"/>
                <w:highlight w:val="none"/>
              </w:rPr>
              <w:t>3.4</w:t>
            </w:r>
          </w:p>
        </w:tc>
        <w:tc>
          <w:tcPr>
            <w:tcW w:w="3914" w:type="dxa"/>
            <w:vAlign w:val="center"/>
          </w:tcPr>
          <w:p>
            <w:pPr>
              <w:ind w:firstLine="310" w:firstLineChars="148"/>
              <w:rPr>
                <w:color w:val="auto"/>
                <w:szCs w:val="21"/>
                <w:highlight w:val="none"/>
              </w:rPr>
            </w:pPr>
            <w:r>
              <w:rPr>
                <w:rFonts w:hAnsi="宋体"/>
                <w:color w:val="auto"/>
                <w:szCs w:val="21"/>
                <w:highlight w:val="none"/>
              </w:rPr>
              <w:t>总承包服务费</w:t>
            </w: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r>
              <w:rPr>
                <w:color w:val="auto"/>
                <w:szCs w:val="21"/>
                <w:highlight w:val="none"/>
              </w:rPr>
              <w:t>4</w:t>
            </w:r>
          </w:p>
        </w:tc>
        <w:tc>
          <w:tcPr>
            <w:tcW w:w="3914" w:type="dxa"/>
            <w:vAlign w:val="center"/>
          </w:tcPr>
          <w:p>
            <w:pPr>
              <w:rPr>
                <w:color w:val="auto"/>
                <w:szCs w:val="21"/>
                <w:highlight w:val="none"/>
              </w:rPr>
            </w:pPr>
            <w:r>
              <w:rPr>
                <w:rFonts w:hAnsi="宋体"/>
                <w:color w:val="auto"/>
                <w:szCs w:val="21"/>
                <w:highlight w:val="none"/>
              </w:rPr>
              <w:t>规费</w:t>
            </w: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040" w:type="dxa"/>
            <w:vAlign w:val="center"/>
          </w:tcPr>
          <w:p>
            <w:pPr>
              <w:jc w:val="center"/>
              <w:rPr>
                <w:color w:val="auto"/>
                <w:szCs w:val="21"/>
                <w:highlight w:val="none"/>
              </w:rPr>
            </w:pPr>
            <w:r>
              <w:rPr>
                <w:color w:val="auto"/>
                <w:szCs w:val="21"/>
                <w:highlight w:val="none"/>
              </w:rPr>
              <w:t>5</w:t>
            </w:r>
          </w:p>
        </w:tc>
        <w:tc>
          <w:tcPr>
            <w:tcW w:w="3914" w:type="dxa"/>
            <w:vAlign w:val="center"/>
          </w:tcPr>
          <w:p>
            <w:pPr>
              <w:rPr>
                <w:color w:val="auto"/>
                <w:szCs w:val="21"/>
                <w:highlight w:val="none"/>
              </w:rPr>
            </w:pPr>
            <w:r>
              <w:rPr>
                <w:rFonts w:hAnsi="宋体"/>
                <w:color w:val="auto"/>
                <w:szCs w:val="21"/>
                <w:highlight w:val="none"/>
              </w:rPr>
              <w:t>税金</w:t>
            </w:r>
          </w:p>
        </w:tc>
        <w:tc>
          <w:tcPr>
            <w:tcW w:w="2422" w:type="dxa"/>
          </w:tcPr>
          <w:p>
            <w:pPr>
              <w:jc w:val="center"/>
              <w:rPr>
                <w:color w:val="auto"/>
                <w:szCs w:val="21"/>
                <w:highlight w:val="none"/>
              </w:rPr>
            </w:pPr>
          </w:p>
        </w:tc>
        <w:tc>
          <w:tcPr>
            <w:tcW w:w="2312" w:type="dxa"/>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4954" w:type="dxa"/>
            <w:gridSpan w:val="2"/>
            <w:vAlign w:val="center"/>
          </w:tcPr>
          <w:p>
            <w:pPr>
              <w:jc w:val="center"/>
              <w:rPr>
                <w:color w:val="auto"/>
                <w:szCs w:val="21"/>
                <w:highlight w:val="none"/>
              </w:rPr>
            </w:pPr>
            <w:r>
              <w:rPr>
                <w:rFonts w:hAnsi="宋体"/>
                <w:color w:val="auto"/>
                <w:szCs w:val="21"/>
                <w:highlight w:val="none"/>
              </w:rPr>
              <w:t>招标报价合计</w:t>
            </w:r>
            <w:r>
              <w:rPr>
                <w:color w:val="auto"/>
                <w:szCs w:val="21"/>
                <w:highlight w:val="none"/>
              </w:rPr>
              <w:t>=1+2+3+4+5</w:t>
            </w:r>
          </w:p>
        </w:tc>
        <w:tc>
          <w:tcPr>
            <w:tcW w:w="2422" w:type="dxa"/>
            <w:vAlign w:val="center"/>
          </w:tcPr>
          <w:p>
            <w:pPr>
              <w:jc w:val="center"/>
              <w:rPr>
                <w:color w:val="auto"/>
                <w:szCs w:val="21"/>
                <w:highlight w:val="none"/>
              </w:rPr>
            </w:pPr>
          </w:p>
        </w:tc>
        <w:tc>
          <w:tcPr>
            <w:tcW w:w="2312" w:type="dxa"/>
            <w:vAlign w:val="center"/>
          </w:tcPr>
          <w:p>
            <w:pPr>
              <w:jc w:val="center"/>
              <w:rPr>
                <w:color w:val="auto"/>
                <w:szCs w:val="21"/>
                <w:highlight w:val="none"/>
              </w:rPr>
            </w:pPr>
          </w:p>
        </w:tc>
      </w:tr>
    </w:tbl>
    <w:p>
      <w:pPr>
        <w:rPr>
          <w:color w:val="auto"/>
          <w:sz w:val="18"/>
          <w:szCs w:val="18"/>
          <w:highlight w:val="none"/>
        </w:rPr>
      </w:pPr>
      <w:r>
        <w:rPr>
          <w:rFonts w:hAnsi="宋体"/>
          <w:color w:val="auto"/>
          <w:sz w:val="18"/>
          <w:szCs w:val="18"/>
          <w:highlight w:val="none"/>
        </w:rPr>
        <w:t>注：本表适用于单位工程投标报价的汇总，如无单位工程划分，单项工程也使用本表汇总。</w:t>
      </w:r>
    </w:p>
    <w:p>
      <w:pPr>
        <w:jc w:val="right"/>
        <w:rPr>
          <w:color w:val="auto"/>
          <w:highlight w:val="none"/>
        </w:rPr>
      </w:pPr>
      <w:r>
        <w:rPr>
          <w:rFonts w:hAnsi="宋体"/>
          <w:color w:val="auto"/>
          <w:highlight w:val="none"/>
        </w:rPr>
        <w:t>表</w:t>
      </w:r>
      <w:r>
        <w:rPr>
          <w:color w:val="auto"/>
          <w:highlight w:val="none"/>
        </w:rPr>
        <w:t>—04</w:t>
      </w:r>
    </w:p>
    <w:p>
      <w:pPr>
        <w:ind w:right="420"/>
        <w:jc w:val="center"/>
        <w:rPr>
          <w:b/>
          <w:bCs/>
          <w:color w:val="auto"/>
          <w:kern w:val="0"/>
          <w:sz w:val="32"/>
          <w:szCs w:val="32"/>
          <w:highlight w:val="none"/>
        </w:rPr>
      </w:pPr>
    </w:p>
    <w:p>
      <w:pPr>
        <w:ind w:right="420"/>
        <w:jc w:val="center"/>
        <w:rPr>
          <w:b/>
          <w:bCs/>
          <w:color w:val="auto"/>
          <w:kern w:val="0"/>
          <w:sz w:val="32"/>
          <w:szCs w:val="32"/>
          <w:highlight w:val="none"/>
        </w:rPr>
      </w:pPr>
    </w:p>
    <w:p>
      <w:pPr>
        <w:ind w:right="420"/>
        <w:jc w:val="center"/>
        <w:rPr>
          <w:b/>
          <w:bCs/>
          <w:color w:val="auto"/>
          <w:kern w:val="0"/>
          <w:sz w:val="32"/>
          <w:szCs w:val="32"/>
          <w:highlight w:val="none"/>
        </w:rPr>
      </w:pPr>
      <w:r>
        <w:rPr>
          <w:rFonts w:hAnsi="宋体"/>
          <w:b/>
          <w:bCs/>
          <w:color w:val="auto"/>
          <w:kern w:val="0"/>
          <w:sz w:val="32"/>
          <w:szCs w:val="32"/>
          <w:highlight w:val="none"/>
        </w:rPr>
        <w:t>分部分项工程和措施项目计价表</w:t>
      </w:r>
    </w:p>
    <w:p>
      <w:pPr>
        <w:ind w:right="420"/>
        <w:jc w:val="center"/>
        <w:rPr>
          <w:b/>
          <w:bCs/>
          <w:color w:val="auto"/>
          <w:kern w:val="0"/>
          <w:sz w:val="32"/>
          <w:szCs w:val="32"/>
          <w:highlight w:val="none"/>
        </w:rPr>
      </w:pPr>
    </w:p>
    <w:p>
      <w:pPr>
        <w:pStyle w:val="2"/>
        <w:tabs>
          <w:tab w:val="left" w:pos="4529"/>
          <w:tab w:val="left" w:pos="7890"/>
          <w:tab w:val="left" w:pos="8416"/>
          <w:tab w:val="left" w:pos="9047"/>
        </w:tabs>
        <w:ind w:firstLine="230" w:firstLineChars="100"/>
        <w:rPr>
          <w:rFonts w:eastAsia="宋体"/>
          <w:color w:val="auto"/>
          <w:highlight w:val="none"/>
        </w:rPr>
      </w:pPr>
      <w:r>
        <w:rPr>
          <w:rFonts w:hAnsi="宋体" w:eastAsia="宋体"/>
          <w:color w:val="auto"/>
          <w:highlight w:val="none"/>
        </w:rPr>
        <w:t>工程名称：标段：第页共页</w:t>
      </w:r>
    </w:p>
    <w:tbl>
      <w:tblPr>
        <w:tblStyle w:val="57"/>
        <w:tblW w:w="9391" w:type="dxa"/>
        <w:tblInd w:w="93" w:type="dxa"/>
        <w:tblLayout w:type="fixed"/>
        <w:tblCellMar>
          <w:top w:w="0" w:type="dxa"/>
          <w:left w:w="108" w:type="dxa"/>
          <w:bottom w:w="0" w:type="dxa"/>
          <w:right w:w="108" w:type="dxa"/>
        </w:tblCellMar>
      </w:tblPr>
      <w:tblGrid>
        <w:gridCol w:w="546"/>
        <w:gridCol w:w="1581"/>
        <w:gridCol w:w="1186"/>
        <w:gridCol w:w="2107"/>
        <w:gridCol w:w="658"/>
        <w:gridCol w:w="809"/>
        <w:gridCol w:w="791"/>
        <w:gridCol w:w="797"/>
        <w:gridCol w:w="916"/>
      </w:tblGrid>
      <w:tr>
        <w:tblPrEx>
          <w:tblCellMar>
            <w:top w:w="0" w:type="dxa"/>
            <w:left w:w="108" w:type="dxa"/>
            <w:bottom w:w="0" w:type="dxa"/>
            <w:right w:w="108" w:type="dxa"/>
          </w:tblCellMar>
        </w:tblPrEx>
        <w:trPr>
          <w:trHeight w:val="428" w:hRule="atLeast"/>
        </w:trPr>
        <w:tc>
          <w:tcPr>
            <w:tcW w:w="546" w:type="dxa"/>
            <w:vMerge w:val="restart"/>
            <w:tcBorders>
              <w:top w:val="single" w:color="auto" w:sz="8" w:space="0"/>
              <w:left w:val="single" w:color="auto" w:sz="8" w:space="0"/>
              <w:bottom w:val="single" w:color="auto" w:sz="4" w:space="0"/>
              <w:right w:val="single" w:color="auto" w:sz="4" w:space="0"/>
            </w:tcBorders>
            <w:vAlign w:val="center"/>
          </w:tcPr>
          <w:p>
            <w:pPr>
              <w:widowControl/>
              <w:jc w:val="center"/>
              <w:rPr>
                <w:b/>
                <w:bCs/>
                <w:color w:val="auto"/>
                <w:kern w:val="0"/>
                <w:sz w:val="20"/>
                <w:szCs w:val="20"/>
                <w:highlight w:val="none"/>
              </w:rPr>
            </w:pPr>
            <w:r>
              <w:rPr>
                <w:rFonts w:hAnsi="宋体"/>
                <w:b/>
                <w:bCs/>
                <w:color w:val="auto"/>
                <w:kern w:val="0"/>
                <w:sz w:val="20"/>
                <w:szCs w:val="20"/>
                <w:highlight w:val="none"/>
              </w:rPr>
              <w:t>序号</w:t>
            </w:r>
          </w:p>
        </w:tc>
        <w:tc>
          <w:tcPr>
            <w:tcW w:w="1581" w:type="dxa"/>
            <w:vMerge w:val="restart"/>
            <w:tcBorders>
              <w:top w:val="single" w:color="auto" w:sz="8" w:space="0"/>
              <w:left w:val="single" w:color="auto" w:sz="4" w:space="0"/>
              <w:bottom w:val="single" w:color="auto" w:sz="4" w:space="0"/>
              <w:right w:val="single" w:color="auto" w:sz="4" w:space="0"/>
            </w:tcBorders>
            <w:vAlign w:val="center"/>
          </w:tcPr>
          <w:p>
            <w:pPr>
              <w:widowControl/>
              <w:jc w:val="center"/>
              <w:rPr>
                <w:b/>
                <w:bCs/>
                <w:color w:val="auto"/>
                <w:kern w:val="0"/>
                <w:sz w:val="20"/>
                <w:szCs w:val="20"/>
                <w:highlight w:val="none"/>
              </w:rPr>
            </w:pPr>
            <w:r>
              <w:rPr>
                <w:rFonts w:hAnsi="宋体"/>
                <w:b/>
                <w:bCs/>
                <w:color w:val="auto"/>
                <w:kern w:val="0"/>
                <w:sz w:val="20"/>
                <w:szCs w:val="20"/>
                <w:highlight w:val="none"/>
              </w:rPr>
              <w:t>项目编码</w:t>
            </w:r>
          </w:p>
        </w:tc>
        <w:tc>
          <w:tcPr>
            <w:tcW w:w="1186" w:type="dxa"/>
            <w:vMerge w:val="restart"/>
            <w:tcBorders>
              <w:top w:val="single" w:color="auto" w:sz="8" w:space="0"/>
              <w:left w:val="single" w:color="auto" w:sz="4" w:space="0"/>
              <w:bottom w:val="single" w:color="auto" w:sz="4" w:space="0"/>
              <w:right w:val="single" w:color="auto" w:sz="4" w:space="0"/>
            </w:tcBorders>
            <w:vAlign w:val="center"/>
          </w:tcPr>
          <w:p>
            <w:pPr>
              <w:widowControl/>
              <w:jc w:val="center"/>
              <w:rPr>
                <w:b/>
                <w:bCs/>
                <w:color w:val="auto"/>
                <w:kern w:val="0"/>
                <w:sz w:val="20"/>
                <w:szCs w:val="20"/>
                <w:highlight w:val="none"/>
              </w:rPr>
            </w:pPr>
            <w:r>
              <w:rPr>
                <w:rFonts w:hAnsi="宋体"/>
                <w:b/>
                <w:bCs/>
                <w:color w:val="auto"/>
                <w:kern w:val="0"/>
                <w:sz w:val="20"/>
                <w:szCs w:val="20"/>
                <w:highlight w:val="none"/>
              </w:rPr>
              <w:t>项目名称</w:t>
            </w:r>
          </w:p>
        </w:tc>
        <w:tc>
          <w:tcPr>
            <w:tcW w:w="2107" w:type="dxa"/>
            <w:vMerge w:val="restart"/>
            <w:tcBorders>
              <w:top w:val="single" w:color="auto" w:sz="8" w:space="0"/>
              <w:left w:val="single" w:color="auto" w:sz="4" w:space="0"/>
              <w:bottom w:val="single" w:color="auto" w:sz="4" w:space="0"/>
              <w:right w:val="single" w:color="auto" w:sz="4" w:space="0"/>
            </w:tcBorders>
            <w:vAlign w:val="center"/>
          </w:tcPr>
          <w:p>
            <w:pPr>
              <w:widowControl/>
              <w:jc w:val="center"/>
              <w:rPr>
                <w:b/>
                <w:bCs/>
                <w:color w:val="auto"/>
                <w:kern w:val="0"/>
                <w:sz w:val="20"/>
                <w:szCs w:val="20"/>
                <w:highlight w:val="none"/>
              </w:rPr>
            </w:pPr>
            <w:r>
              <w:rPr>
                <w:rFonts w:hAnsi="宋体"/>
                <w:b/>
                <w:bCs/>
                <w:color w:val="auto"/>
                <w:kern w:val="0"/>
                <w:sz w:val="20"/>
                <w:szCs w:val="20"/>
                <w:highlight w:val="none"/>
              </w:rPr>
              <w:t>项目特征描述</w:t>
            </w:r>
          </w:p>
        </w:tc>
        <w:tc>
          <w:tcPr>
            <w:tcW w:w="658" w:type="dxa"/>
            <w:vMerge w:val="restart"/>
            <w:tcBorders>
              <w:top w:val="single" w:color="auto" w:sz="8" w:space="0"/>
              <w:left w:val="single" w:color="auto" w:sz="4" w:space="0"/>
              <w:bottom w:val="single" w:color="auto" w:sz="4" w:space="0"/>
              <w:right w:val="single" w:color="auto" w:sz="4" w:space="0"/>
            </w:tcBorders>
            <w:vAlign w:val="center"/>
          </w:tcPr>
          <w:p>
            <w:pPr>
              <w:widowControl/>
              <w:jc w:val="center"/>
              <w:rPr>
                <w:rFonts w:hAnsi="宋体"/>
                <w:b/>
                <w:bCs/>
                <w:color w:val="auto"/>
                <w:kern w:val="0"/>
                <w:sz w:val="20"/>
                <w:szCs w:val="20"/>
                <w:highlight w:val="none"/>
              </w:rPr>
            </w:pPr>
            <w:r>
              <w:rPr>
                <w:rFonts w:hAnsi="宋体"/>
                <w:b/>
                <w:bCs/>
                <w:color w:val="auto"/>
                <w:kern w:val="0"/>
                <w:sz w:val="20"/>
                <w:szCs w:val="20"/>
                <w:highlight w:val="none"/>
              </w:rPr>
              <w:t>计量</w:t>
            </w:r>
          </w:p>
          <w:p>
            <w:pPr>
              <w:widowControl/>
              <w:jc w:val="center"/>
              <w:rPr>
                <w:b/>
                <w:bCs/>
                <w:color w:val="auto"/>
                <w:kern w:val="0"/>
                <w:sz w:val="20"/>
                <w:szCs w:val="20"/>
                <w:highlight w:val="none"/>
              </w:rPr>
            </w:pPr>
            <w:r>
              <w:rPr>
                <w:rFonts w:hAnsi="宋体"/>
                <w:b/>
                <w:bCs/>
                <w:color w:val="auto"/>
                <w:kern w:val="0"/>
                <w:sz w:val="20"/>
                <w:szCs w:val="20"/>
                <w:highlight w:val="none"/>
              </w:rPr>
              <w:t>单位</w:t>
            </w:r>
          </w:p>
        </w:tc>
        <w:tc>
          <w:tcPr>
            <w:tcW w:w="809" w:type="dxa"/>
            <w:vMerge w:val="restart"/>
            <w:tcBorders>
              <w:top w:val="single" w:color="auto" w:sz="8" w:space="0"/>
              <w:left w:val="single" w:color="auto" w:sz="4" w:space="0"/>
              <w:bottom w:val="single" w:color="auto" w:sz="4" w:space="0"/>
              <w:right w:val="single" w:color="auto" w:sz="4" w:space="0"/>
            </w:tcBorders>
            <w:vAlign w:val="center"/>
          </w:tcPr>
          <w:p>
            <w:pPr>
              <w:widowControl/>
              <w:jc w:val="center"/>
              <w:rPr>
                <w:b/>
                <w:bCs/>
                <w:color w:val="auto"/>
                <w:kern w:val="0"/>
                <w:sz w:val="20"/>
                <w:szCs w:val="20"/>
                <w:highlight w:val="none"/>
              </w:rPr>
            </w:pPr>
            <w:r>
              <w:rPr>
                <w:rFonts w:hAnsi="宋体"/>
                <w:b/>
                <w:bCs/>
                <w:color w:val="auto"/>
                <w:kern w:val="0"/>
                <w:sz w:val="20"/>
                <w:szCs w:val="20"/>
                <w:highlight w:val="none"/>
              </w:rPr>
              <w:t>工程量</w:t>
            </w:r>
          </w:p>
        </w:tc>
        <w:tc>
          <w:tcPr>
            <w:tcW w:w="2504" w:type="dxa"/>
            <w:gridSpan w:val="3"/>
            <w:tcBorders>
              <w:top w:val="single" w:color="auto" w:sz="8" w:space="0"/>
              <w:left w:val="nil"/>
              <w:bottom w:val="single" w:color="auto" w:sz="4" w:space="0"/>
              <w:right w:val="single" w:color="auto" w:sz="8" w:space="0"/>
            </w:tcBorders>
            <w:vAlign w:val="center"/>
          </w:tcPr>
          <w:p>
            <w:pPr>
              <w:widowControl/>
              <w:jc w:val="center"/>
              <w:rPr>
                <w:b/>
                <w:bCs/>
                <w:color w:val="auto"/>
                <w:kern w:val="0"/>
                <w:sz w:val="20"/>
                <w:szCs w:val="20"/>
                <w:highlight w:val="none"/>
              </w:rPr>
            </w:pPr>
            <w:r>
              <w:rPr>
                <w:rFonts w:hAnsi="宋体"/>
                <w:b/>
                <w:bCs/>
                <w:color w:val="auto"/>
                <w:kern w:val="0"/>
                <w:sz w:val="20"/>
                <w:szCs w:val="20"/>
                <w:highlight w:val="none"/>
              </w:rPr>
              <w:t>金额（元）</w:t>
            </w:r>
          </w:p>
        </w:tc>
      </w:tr>
      <w:tr>
        <w:tblPrEx>
          <w:tblCellMar>
            <w:top w:w="0" w:type="dxa"/>
            <w:left w:w="108" w:type="dxa"/>
            <w:bottom w:w="0" w:type="dxa"/>
            <w:right w:w="108" w:type="dxa"/>
          </w:tblCellMar>
        </w:tblPrEx>
        <w:trPr>
          <w:trHeight w:val="388" w:hRule="atLeast"/>
        </w:trPr>
        <w:tc>
          <w:tcPr>
            <w:tcW w:w="546" w:type="dxa"/>
            <w:vMerge w:val="continue"/>
            <w:tcBorders>
              <w:top w:val="single" w:color="auto" w:sz="8" w:space="0"/>
              <w:left w:val="single" w:color="auto" w:sz="8"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1581" w:type="dxa"/>
            <w:vMerge w:val="continue"/>
            <w:tcBorders>
              <w:top w:val="single" w:color="auto" w:sz="8" w:space="0"/>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1186" w:type="dxa"/>
            <w:vMerge w:val="continue"/>
            <w:tcBorders>
              <w:top w:val="single" w:color="auto" w:sz="8" w:space="0"/>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2107" w:type="dxa"/>
            <w:vMerge w:val="continue"/>
            <w:tcBorders>
              <w:top w:val="single" w:color="auto" w:sz="8" w:space="0"/>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658" w:type="dxa"/>
            <w:vMerge w:val="continue"/>
            <w:tcBorders>
              <w:top w:val="single" w:color="auto" w:sz="8" w:space="0"/>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809" w:type="dxa"/>
            <w:vMerge w:val="continue"/>
            <w:tcBorders>
              <w:top w:val="single" w:color="auto" w:sz="8" w:space="0"/>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791" w:type="dxa"/>
            <w:vMerge w:val="restart"/>
            <w:tcBorders>
              <w:top w:val="nil"/>
              <w:left w:val="single" w:color="auto" w:sz="4" w:space="0"/>
              <w:bottom w:val="single" w:color="auto" w:sz="4" w:space="0"/>
              <w:right w:val="single" w:color="auto" w:sz="4" w:space="0"/>
            </w:tcBorders>
            <w:vAlign w:val="center"/>
          </w:tcPr>
          <w:p>
            <w:pPr>
              <w:widowControl/>
              <w:jc w:val="center"/>
              <w:rPr>
                <w:rFonts w:hAnsi="宋体"/>
                <w:b/>
                <w:bCs/>
                <w:color w:val="auto"/>
                <w:kern w:val="0"/>
                <w:sz w:val="20"/>
                <w:szCs w:val="20"/>
                <w:highlight w:val="none"/>
              </w:rPr>
            </w:pPr>
            <w:r>
              <w:rPr>
                <w:rFonts w:hAnsi="宋体"/>
                <w:b/>
                <w:bCs/>
                <w:color w:val="auto"/>
                <w:kern w:val="0"/>
                <w:sz w:val="20"/>
                <w:szCs w:val="20"/>
                <w:highlight w:val="none"/>
              </w:rPr>
              <w:t>综合</w:t>
            </w:r>
          </w:p>
          <w:p>
            <w:pPr>
              <w:widowControl/>
              <w:jc w:val="center"/>
              <w:rPr>
                <w:b/>
                <w:bCs/>
                <w:color w:val="auto"/>
                <w:kern w:val="0"/>
                <w:sz w:val="20"/>
                <w:szCs w:val="20"/>
                <w:highlight w:val="none"/>
              </w:rPr>
            </w:pPr>
            <w:r>
              <w:rPr>
                <w:rFonts w:hAnsi="宋体"/>
                <w:b/>
                <w:bCs/>
                <w:color w:val="auto"/>
                <w:kern w:val="0"/>
                <w:sz w:val="20"/>
                <w:szCs w:val="20"/>
                <w:highlight w:val="none"/>
              </w:rPr>
              <w:t>单价</w:t>
            </w:r>
          </w:p>
        </w:tc>
        <w:tc>
          <w:tcPr>
            <w:tcW w:w="797" w:type="dxa"/>
            <w:vMerge w:val="restart"/>
            <w:tcBorders>
              <w:top w:val="nil"/>
              <w:left w:val="single" w:color="auto" w:sz="4" w:space="0"/>
              <w:bottom w:val="single" w:color="auto" w:sz="4" w:space="0"/>
              <w:right w:val="single" w:color="auto" w:sz="4" w:space="0"/>
            </w:tcBorders>
            <w:vAlign w:val="center"/>
          </w:tcPr>
          <w:p>
            <w:pPr>
              <w:widowControl/>
              <w:jc w:val="center"/>
              <w:rPr>
                <w:b/>
                <w:bCs/>
                <w:color w:val="auto"/>
                <w:kern w:val="0"/>
                <w:sz w:val="20"/>
                <w:szCs w:val="20"/>
                <w:highlight w:val="none"/>
              </w:rPr>
            </w:pPr>
            <w:r>
              <w:rPr>
                <w:rFonts w:hAnsi="宋体"/>
                <w:b/>
                <w:bCs/>
                <w:color w:val="auto"/>
                <w:kern w:val="0"/>
                <w:sz w:val="20"/>
                <w:szCs w:val="20"/>
                <w:highlight w:val="none"/>
              </w:rPr>
              <w:t>合价</w:t>
            </w:r>
          </w:p>
        </w:tc>
        <w:tc>
          <w:tcPr>
            <w:tcW w:w="916" w:type="dxa"/>
            <w:tcBorders>
              <w:top w:val="nil"/>
              <w:left w:val="nil"/>
              <w:bottom w:val="single" w:color="auto" w:sz="4" w:space="0"/>
              <w:right w:val="single" w:color="auto" w:sz="8" w:space="0"/>
            </w:tcBorders>
            <w:vAlign w:val="center"/>
          </w:tcPr>
          <w:p>
            <w:pPr>
              <w:widowControl/>
              <w:jc w:val="center"/>
              <w:rPr>
                <w:b/>
                <w:bCs/>
                <w:color w:val="auto"/>
                <w:kern w:val="0"/>
                <w:sz w:val="20"/>
                <w:szCs w:val="20"/>
                <w:highlight w:val="none"/>
              </w:rPr>
            </w:pPr>
            <w:r>
              <w:rPr>
                <w:rFonts w:hAnsi="宋体"/>
                <w:b/>
                <w:bCs/>
                <w:color w:val="auto"/>
                <w:kern w:val="0"/>
                <w:sz w:val="20"/>
                <w:szCs w:val="20"/>
                <w:highlight w:val="none"/>
              </w:rPr>
              <w:t>其中</w:t>
            </w:r>
          </w:p>
        </w:tc>
      </w:tr>
      <w:tr>
        <w:tblPrEx>
          <w:tblCellMar>
            <w:top w:w="0" w:type="dxa"/>
            <w:left w:w="108" w:type="dxa"/>
            <w:bottom w:w="0" w:type="dxa"/>
            <w:right w:w="108" w:type="dxa"/>
          </w:tblCellMar>
        </w:tblPrEx>
        <w:trPr>
          <w:trHeight w:val="388" w:hRule="atLeast"/>
        </w:trPr>
        <w:tc>
          <w:tcPr>
            <w:tcW w:w="546" w:type="dxa"/>
            <w:vMerge w:val="continue"/>
            <w:tcBorders>
              <w:top w:val="single" w:color="auto" w:sz="8" w:space="0"/>
              <w:left w:val="single" w:color="auto" w:sz="8"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1581" w:type="dxa"/>
            <w:vMerge w:val="continue"/>
            <w:tcBorders>
              <w:top w:val="single" w:color="auto" w:sz="8" w:space="0"/>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1186" w:type="dxa"/>
            <w:vMerge w:val="continue"/>
            <w:tcBorders>
              <w:top w:val="single" w:color="auto" w:sz="8" w:space="0"/>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2107" w:type="dxa"/>
            <w:vMerge w:val="continue"/>
            <w:tcBorders>
              <w:top w:val="single" w:color="auto" w:sz="8" w:space="0"/>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658" w:type="dxa"/>
            <w:vMerge w:val="continue"/>
            <w:tcBorders>
              <w:top w:val="single" w:color="auto" w:sz="8" w:space="0"/>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809" w:type="dxa"/>
            <w:vMerge w:val="continue"/>
            <w:tcBorders>
              <w:top w:val="single" w:color="auto" w:sz="8" w:space="0"/>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791" w:type="dxa"/>
            <w:vMerge w:val="continue"/>
            <w:tcBorders>
              <w:top w:val="nil"/>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797" w:type="dxa"/>
            <w:vMerge w:val="continue"/>
            <w:tcBorders>
              <w:top w:val="nil"/>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916" w:type="dxa"/>
            <w:tcBorders>
              <w:top w:val="nil"/>
              <w:left w:val="nil"/>
              <w:bottom w:val="single" w:color="auto" w:sz="4" w:space="0"/>
              <w:right w:val="single" w:color="auto" w:sz="8" w:space="0"/>
            </w:tcBorders>
            <w:vAlign w:val="center"/>
          </w:tcPr>
          <w:p>
            <w:pPr>
              <w:widowControl/>
              <w:jc w:val="center"/>
              <w:rPr>
                <w:b/>
                <w:bCs/>
                <w:color w:val="auto"/>
                <w:kern w:val="0"/>
                <w:sz w:val="20"/>
                <w:szCs w:val="20"/>
                <w:highlight w:val="none"/>
              </w:rPr>
            </w:pPr>
            <w:r>
              <w:rPr>
                <w:rFonts w:hAnsi="宋体"/>
                <w:b/>
                <w:bCs/>
                <w:color w:val="auto"/>
                <w:kern w:val="0"/>
                <w:sz w:val="20"/>
                <w:szCs w:val="20"/>
                <w:highlight w:val="none"/>
              </w:rPr>
              <w:t>暂估价</w:t>
            </w: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2107"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r>
              <w:rPr>
                <w:rFonts w:hAnsi="宋体"/>
                <w:color w:val="auto"/>
                <w:kern w:val="0"/>
                <w:sz w:val="18"/>
                <w:szCs w:val="18"/>
                <w:highlight w:val="none"/>
              </w:rPr>
              <w:t>　</w:t>
            </w: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2107"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r>
              <w:rPr>
                <w:rFonts w:hAnsi="宋体"/>
                <w:color w:val="auto"/>
                <w:kern w:val="0"/>
                <w:sz w:val="18"/>
                <w:szCs w:val="18"/>
                <w:highlight w:val="none"/>
              </w:rPr>
              <w:t>　</w:t>
            </w: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2107"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r>
              <w:rPr>
                <w:rFonts w:hAnsi="宋体"/>
                <w:color w:val="auto"/>
                <w:kern w:val="0"/>
                <w:sz w:val="18"/>
                <w:szCs w:val="18"/>
                <w:highlight w:val="none"/>
              </w:rPr>
              <w:t>　</w:t>
            </w: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2107"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r>
              <w:rPr>
                <w:rFonts w:hAnsi="宋体"/>
                <w:color w:val="auto"/>
                <w:kern w:val="0"/>
                <w:sz w:val="18"/>
                <w:szCs w:val="18"/>
                <w:highlight w:val="none"/>
              </w:rPr>
              <w:t>　</w:t>
            </w: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2107"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r>
              <w:rPr>
                <w:rFonts w:hAnsi="宋体"/>
                <w:color w:val="auto"/>
                <w:kern w:val="0"/>
                <w:sz w:val="18"/>
                <w:szCs w:val="18"/>
                <w:highlight w:val="none"/>
              </w:rPr>
              <w:t>　</w:t>
            </w: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2107"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2107"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2107"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2107"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2107"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2107"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2107"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r>
              <w:rPr>
                <w:rFonts w:hAnsi="宋体"/>
                <w:color w:val="auto"/>
                <w:kern w:val="0"/>
                <w:sz w:val="18"/>
                <w:szCs w:val="18"/>
                <w:highlight w:val="none"/>
              </w:rPr>
              <w:t>　</w:t>
            </w: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2107"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r>
              <w:rPr>
                <w:rFonts w:hAnsi="宋体"/>
                <w:color w:val="auto"/>
                <w:kern w:val="0"/>
                <w:sz w:val="18"/>
                <w:szCs w:val="18"/>
                <w:highlight w:val="none"/>
              </w:rPr>
              <w:t>　</w:t>
            </w: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2107"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r>
              <w:rPr>
                <w:rFonts w:hAnsi="宋体"/>
                <w:color w:val="auto"/>
                <w:kern w:val="0"/>
                <w:sz w:val="18"/>
                <w:szCs w:val="18"/>
                <w:highlight w:val="none"/>
              </w:rPr>
              <w:t>　</w:t>
            </w: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2107"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r>
              <w:rPr>
                <w:rFonts w:hAnsi="宋体"/>
                <w:color w:val="auto"/>
                <w:kern w:val="0"/>
                <w:sz w:val="18"/>
                <w:szCs w:val="18"/>
                <w:highlight w:val="none"/>
              </w:rPr>
              <w:t>　</w:t>
            </w: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2107"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r>
              <w:rPr>
                <w:rFonts w:hAnsi="宋体"/>
                <w:color w:val="auto"/>
                <w:kern w:val="0"/>
                <w:sz w:val="18"/>
                <w:szCs w:val="18"/>
                <w:highlight w:val="none"/>
              </w:rPr>
              <w:t>　</w:t>
            </w: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2107"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468"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581"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86"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2107"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658"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809"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468" w:hRule="atLeast"/>
        </w:trPr>
        <w:tc>
          <w:tcPr>
            <w:tcW w:w="7678" w:type="dxa"/>
            <w:gridSpan w:val="7"/>
            <w:tcBorders>
              <w:top w:val="single" w:color="auto" w:sz="4" w:space="0"/>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本页小计</w:t>
            </w:r>
          </w:p>
        </w:tc>
        <w:tc>
          <w:tcPr>
            <w:tcW w:w="797"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16" w:type="dxa"/>
            <w:tcBorders>
              <w:top w:val="nil"/>
              <w:left w:val="nil"/>
              <w:bottom w:val="single" w:color="auto" w:sz="4" w:space="0"/>
              <w:right w:val="single" w:color="auto" w:sz="8"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450" w:hRule="atLeast"/>
        </w:trPr>
        <w:tc>
          <w:tcPr>
            <w:tcW w:w="7678" w:type="dxa"/>
            <w:gridSpan w:val="7"/>
            <w:tcBorders>
              <w:top w:val="single" w:color="auto" w:sz="4" w:space="0"/>
              <w:left w:val="single" w:color="auto" w:sz="8" w:space="0"/>
              <w:bottom w:val="single" w:color="auto" w:sz="8"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合计</w:t>
            </w:r>
          </w:p>
        </w:tc>
        <w:tc>
          <w:tcPr>
            <w:tcW w:w="797" w:type="dxa"/>
            <w:tcBorders>
              <w:top w:val="nil"/>
              <w:left w:val="nil"/>
              <w:bottom w:val="single" w:color="auto" w:sz="8"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16" w:type="dxa"/>
            <w:tcBorders>
              <w:top w:val="nil"/>
              <w:left w:val="nil"/>
              <w:bottom w:val="single" w:color="auto" w:sz="8" w:space="0"/>
              <w:right w:val="single" w:color="auto" w:sz="8"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r>
    </w:tbl>
    <w:p>
      <w:pPr>
        <w:widowControl/>
        <w:ind w:firstLine="360" w:firstLineChars="200"/>
        <w:rPr>
          <w:color w:val="auto"/>
          <w:kern w:val="0"/>
          <w:sz w:val="18"/>
          <w:szCs w:val="18"/>
          <w:highlight w:val="none"/>
        </w:rPr>
      </w:pPr>
      <w:r>
        <w:rPr>
          <w:rFonts w:hAnsi="宋体"/>
          <w:color w:val="auto"/>
          <w:kern w:val="0"/>
          <w:sz w:val="18"/>
          <w:szCs w:val="18"/>
          <w:highlight w:val="none"/>
        </w:rPr>
        <w:t>注：为计取规费等的使用，可在表中增设其中：</w:t>
      </w:r>
      <w:r>
        <w:rPr>
          <w:color w:val="auto"/>
          <w:kern w:val="0"/>
          <w:sz w:val="18"/>
          <w:szCs w:val="18"/>
          <w:highlight w:val="none"/>
        </w:rPr>
        <w:t>“</w:t>
      </w:r>
      <w:r>
        <w:rPr>
          <w:rFonts w:hAnsi="宋体"/>
          <w:color w:val="auto"/>
          <w:kern w:val="0"/>
          <w:sz w:val="18"/>
          <w:szCs w:val="18"/>
          <w:highlight w:val="none"/>
        </w:rPr>
        <w:t>定额人工费</w:t>
      </w:r>
      <w:r>
        <w:rPr>
          <w:color w:val="auto"/>
          <w:kern w:val="0"/>
          <w:sz w:val="18"/>
          <w:szCs w:val="18"/>
          <w:highlight w:val="none"/>
        </w:rPr>
        <w:t>“</w:t>
      </w:r>
    </w:p>
    <w:p>
      <w:pPr>
        <w:spacing w:line="243" w:lineRule="exact"/>
        <w:jc w:val="right"/>
        <w:rPr>
          <w:color w:val="auto"/>
          <w:sz w:val="18"/>
          <w:szCs w:val="18"/>
          <w:highlight w:val="none"/>
        </w:rPr>
      </w:pPr>
      <w:r>
        <w:rPr>
          <w:rFonts w:hAnsi="宋体"/>
          <w:color w:val="auto"/>
          <w:sz w:val="18"/>
          <w:szCs w:val="18"/>
          <w:highlight w:val="none"/>
        </w:rPr>
        <w:t>表</w:t>
      </w:r>
      <w:r>
        <w:rPr>
          <w:color w:val="auto"/>
          <w:sz w:val="18"/>
          <w:szCs w:val="18"/>
          <w:highlight w:val="none"/>
        </w:rPr>
        <w:t>-08</w:t>
      </w:r>
    </w:p>
    <w:p>
      <w:pPr>
        <w:pStyle w:val="78"/>
        <w:tabs>
          <w:tab w:val="left" w:pos="707"/>
        </w:tabs>
        <w:jc w:val="center"/>
        <w:outlineLvl w:val="2"/>
        <w:rPr>
          <w:rFonts w:ascii="Times New Roman" w:hAnsi="Times New Roman" w:cs="Times New Roman"/>
          <w:b/>
          <w:color w:val="auto"/>
          <w:spacing w:val="1"/>
          <w:highlight w:val="none"/>
          <w:lang w:eastAsia="zh-CN"/>
        </w:rPr>
      </w:pPr>
    </w:p>
    <w:p>
      <w:pPr>
        <w:pStyle w:val="78"/>
        <w:tabs>
          <w:tab w:val="left" w:pos="707"/>
        </w:tabs>
        <w:jc w:val="center"/>
        <w:outlineLvl w:val="2"/>
        <w:rPr>
          <w:rFonts w:ascii="Times New Roman" w:hAnsi="Times New Roman" w:cs="Times New Roman"/>
          <w:b/>
          <w:color w:val="auto"/>
          <w:spacing w:val="1"/>
          <w:highlight w:val="none"/>
          <w:lang w:eastAsia="zh-CN"/>
        </w:rPr>
      </w:pPr>
    </w:p>
    <w:p>
      <w:pPr>
        <w:pStyle w:val="78"/>
        <w:tabs>
          <w:tab w:val="left" w:pos="707"/>
        </w:tabs>
        <w:jc w:val="center"/>
        <w:outlineLvl w:val="2"/>
        <w:rPr>
          <w:rFonts w:ascii="Times New Roman" w:hAnsi="Times New Roman" w:cs="Times New Roman"/>
          <w:b/>
          <w:color w:val="auto"/>
          <w:spacing w:val="1"/>
          <w:highlight w:val="none"/>
          <w:lang w:eastAsia="zh-CN"/>
        </w:rPr>
      </w:pPr>
    </w:p>
    <w:p>
      <w:pPr>
        <w:pStyle w:val="78"/>
        <w:tabs>
          <w:tab w:val="left" w:pos="707"/>
        </w:tabs>
        <w:jc w:val="center"/>
        <w:outlineLvl w:val="2"/>
        <w:rPr>
          <w:rFonts w:ascii="Times New Roman" w:hAnsi="Times New Roman" w:cs="Times New Roman"/>
          <w:b/>
          <w:color w:val="auto"/>
          <w:spacing w:val="1"/>
          <w:highlight w:val="none"/>
          <w:lang w:eastAsia="zh-CN"/>
        </w:rPr>
      </w:pPr>
      <w:r>
        <w:rPr>
          <w:rFonts w:ascii="Times New Roman" w:hAnsi="Times New Roman" w:cs="Times New Roman"/>
          <w:b/>
          <w:color w:val="auto"/>
          <w:spacing w:val="1"/>
          <w:highlight w:val="none"/>
          <w:lang w:eastAsia="zh-CN"/>
        </w:rPr>
        <w:tab/>
      </w:r>
      <w:bookmarkEnd w:id="572"/>
      <w:bookmarkEnd w:id="573"/>
      <w:bookmarkEnd w:id="574"/>
    </w:p>
    <w:p>
      <w:pPr>
        <w:pStyle w:val="78"/>
        <w:tabs>
          <w:tab w:val="left" w:pos="707"/>
        </w:tabs>
        <w:jc w:val="center"/>
        <w:outlineLvl w:val="2"/>
        <w:rPr>
          <w:rFonts w:ascii="Times New Roman" w:hAnsi="Times New Roman" w:cs="Times New Roman"/>
          <w:b/>
          <w:color w:val="auto"/>
          <w:spacing w:val="1"/>
          <w:highlight w:val="none"/>
          <w:lang w:eastAsia="zh-CN"/>
        </w:rPr>
      </w:pPr>
      <w:r>
        <w:rPr>
          <w:rFonts w:ascii="Times New Roman" w:hAnsi="Times New Roman" w:cs="Times New Roman"/>
          <w:b/>
          <w:color w:val="auto"/>
          <w:spacing w:val="1"/>
          <w:highlight w:val="none"/>
          <w:lang w:eastAsia="zh-CN"/>
        </w:rPr>
        <w:br w:type="page"/>
      </w:r>
      <w:r>
        <w:rPr>
          <w:rFonts w:ascii="Times New Roman" w:cs="Times New Roman"/>
          <w:b/>
          <w:color w:val="auto"/>
          <w:spacing w:val="1"/>
          <w:highlight w:val="none"/>
          <w:lang w:eastAsia="zh-CN"/>
        </w:rPr>
        <w:t>综合单价分析表</w:t>
      </w:r>
    </w:p>
    <w:p>
      <w:pPr>
        <w:pStyle w:val="78"/>
        <w:tabs>
          <w:tab w:val="left" w:pos="707"/>
        </w:tabs>
        <w:jc w:val="center"/>
        <w:outlineLvl w:val="2"/>
        <w:rPr>
          <w:rFonts w:ascii="Times New Roman" w:hAnsi="Times New Roman" w:cs="Times New Roman"/>
          <w:b/>
          <w:color w:val="auto"/>
          <w:spacing w:val="1"/>
          <w:highlight w:val="none"/>
          <w:lang w:eastAsia="zh-CN"/>
        </w:rPr>
      </w:pPr>
    </w:p>
    <w:p>
      <w:pPr>
        <w:pStyle w:val="79"/>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工程名称：</w:t>
      </w:r>
      <w:r>
        <w:rPr>
          <w:rFonts w:ascii="Times New Roman" w:hAnsi="Times New Roman" w:cs="Times New Roman"/>
          <w:color w:val="auto"/>
          <w:sz w:val="18"/>
          <w:szCs w:val="18"/>
          <w:highlight w:val="none"/>
          <w:lang w:eastAsia="zh-CN"/>
        </w:rPr>
        <w:tab/>
      </w:r>
      <w:r>
        <w:rPr>
          <w:rFonts w:ascii="Times New Roman" w:hAnsi="宋体" w:cs="Times New Roman"/>
          <w:color w:val="auto"/>
          <w:sz w:val="18"/>
          <w:szCs w:val="18"/>
          <w:highlight w:val="none"/>
          <w:lang w:eastAsia="zh-CN"/>
        </w:rPr>
        <w:t>标段：第页共页</w:t>
      </w:r>
    </w:p>
    <w:tbl>
      <w:tblPr>
        <w:tblStyle w:val="57"/>
        <w:tblW w:w="8940" w:type="dxa"/>
        <w:jc w:val="center"/>
        <w:tblLayout w:type="fixed"/>
        <w:tblCellMar>
          <w:top w:w="0" w:type="dxa"/>
          <w:left w:w="0" w:type="dxa"/>
          <w:bottom w:w="0" w:type="dxa"/>
          <w:right w:w="0" w:type="dxa"/>
        </w:tblCellMar>
      </w:tblPr>
      <w:tblGrid>
        <w:gridCol w:w="540"/>
        <w:gridCol w:w="180"/>
        <w:gridCol w:w="318"/>
        <w:gridCol w:w="402"/>
        <w:gridCol w:w="540"/>
        <w:gridCol w:w="555"/>
        <w:gridCol w:w="29"/>
        <w:gridCol w:w="639"/>
        <w:gridCol w:w="200"/>
        <w:gridCol w:w="404"/>
        <w:gridCol w:w="630"/>
        <w:gridCol w:w="663"/>
        <w:gridCol w:w="529"/>
        <w:gridCol w:w="12"/>
        <w:gridCol w:w="600"/>
        <w:gridCol w:w="143"/>
        <w:gridCol w:w="551"/>
        <w:gridCol w:w="283"/>
        <w:gridCol w:w="405"/>
        <w:gridCol w:w="87"/>
        <w:gridCol w:w="244"/>
        <w:gridCol w:w="309"/>
        <w:gridCol w:w="677"/>
      </w:tblGrid>
      <w:tr>
        <w:tblPrEx>
          <w:tblCellMar>
            <w:top w:w="0" w:type="dxa"/>
            <w:left w:w="0" w:type="dxa"/>
            <w:bottom w:w="0" w:type="dxa"/>
            <w:right w:w="0" w:type="dxa"/>
          </w:tblCellMar>
        </w:tblPrEx>
        <w:trPr>
          <w:trHeight w:val="576" w:hRule="exact"/>
          <w:jc w:val="center"/>
        </w:trPr>
        <w:tc>
          <w:tcPr>
            <w:tcW w:w="1038"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项目编码</w:t>
            </w:r>
          </w:p>
        </w:tc>
        <w:tc>
          <w:tcPr>
            <w:tcW w:w="1497" w:type="dxa"/>
            <w:gridSpan w:val="3"/>
            <w:tcBorders>
              <w:top w:val="single" w:color="000000" w:sz="4" w:space="0"/>
              <w:left w:val="single" w:color="000000" w:sz="4"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p>
        </w:tc>
        <w:tc>
          <w:tcPr>
            <w:tcW w:w="868" w:type="dxa"/>
            <w:gridSpan w:val="3"/>
            <w:tcBorders>
              <w:top w:val="single" w:color="000000" w:sz="4" w:space="0"/>
              <w:left w:val="single" w:color="auto" w:sz="4"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项目名称</w:t>
            </w:r>
          </w:p>
        </w:tc>
        <w:tc>
          <w:tcPr>
            <w:tcW w:w="2226" w:type="dxa"/>
            <w:gridSpan w:val="4"/>
            <w:tcBorders>
              <w:top w:val="single" w:color="000000" w:sz="4" w:space="0"/>
              <w:left w:val="single" w:color="000000" w:sz="4"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p>
        </w:tc>
        <w:tc>
          <w:tcPr>
            <w:tcW w:w="755" w:type="dxa"/>
            <w:gridSpan w:val="3"/>
            <w:tcBorders>
              <w:top w:val="single" w:color="000000" w:sz="4" w:space="0"/>
              <w:left w:val="single" w:color="auto" w:sz="4" w:space="0"/>
              <w:bottom w:val="single" w:color="000000" w:sz="4" w:space="0"/>
              <w:right w:val="single" w:color="auto" w:sz="2"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计量单位</w:t>
            </w:r>
          </w:p>
        </w:tc>
        <w:tc>
          <w:tcPr>
            <w:tcW w:w="834" w:type="dxa"/>
            <w:gridSpan w:val="2"/>
            <w:tcBorders>
              <w:top w:val="single" w:color="000000" w:sz="4" w:space="0"/>
              <w:left w:val="single" w:color="auto" w:sz="4" w:space="0"/>
              <w:bottom w:val="single" w:color="000000" w:sz="4" w:space="0"/>
              <w:right w:val="single" w:color="auto" w:sz="2" w:space="0"/>
            </w:tcBorders>
            <w:vAlign w:val="center"/>
          </w:tcPr>
          <w:p>
            <w:pPr>
              <w:pStyle w:val="79"/>
              <w:jc w:val="center"/>
              <w:rPr>
                <w:rFonts w:ascii="Times New Roman" w:hAnsi="Times New Roman" w:cs="Times New Roman"/>
                <w:color w:val="auto"/>
                <w:sz w:val="18"/>
                <w:szCs w:val="18"/>
                <w:highlight w:val="none"/>
              </w:rPr>
            </w:pPr>
          </w:p>
        </w:tc>
        <w:tc>
          <w:tcPr>
            <w:tcW w:w="736" w:type="dxa"/>
            <w:gridSpan w:val="3"/>
            <w:tcBorders>
              <w:top w:val="single" w:color="000000" w:sz="4" w:space="0"/>
              <w:left w:val="single" w:color="auto" w:sz="2"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工程量</w:t>
            </w:r>
          </w:p>
        </w:tc>
        <w:tc>
          <w:tcPr>
            <w:tcW w:w="986" w:type="dxa"/>
            <w:gridSpan w:val="2"/>
            <w:tcBorders>
              <w:top w:val="single" w:color="000000" w:sz="4" w:space="0"/>
              <w:left w:val="single" w:color="auto"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576" w:hRule="exact"/>
          <w:jc w:val="center"/>
        </w:trPr>
        <w:tc>
          <w:tcPr>
            <w:tcW w:w="8940" w:type="dxa"/>
            <w:gridSpan w:val="2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清单综合单价组成明细</w:t>
            </w:r>
          </w:p>
        </w:tc>
      </w:tr>
      <w:tr>
        <w:tblPrEx>
          <w:tblCellMar>
            <w:top w:w="0" w:type="dxa"/>
            <w:left w:w="0" w:type="dxa"/>
            <w:bottom w:w="0" w:type="dxa"/>
            <w:right w:w="0" w:type="dxa"/>
          </w:tblCellMar>
        </w:tblPrEx>
        <w:trPr>
          <w:trHeight w:val="578" w:hRule="exact"/>
          <w:jc w:val="center"/>
        </w:trPr>
        <w:tc>
          <w:tcPr>
            <w:tcW w:w="540" w:type="dxa"/>
            <w:vMerge w:val="restart"/>
            <w:tcBorders>
              <w:top w:val="single" w:color="000000" w:sz="4" w:space="0"/>
              <w:left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定额</w:t>
            </w:r>
          </w:p>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编号</w:t>
            </w:r>
          </w:p>
        </w:tc>
        <w:tc>
          <w:tcPr>
            <w:tcW w:w="900" w:type="dxa"/>
            <w:gridSpan w:val="3"/>
            <w:vMerge w:val="restart"/>
            <w:tcBorders>
              <w:top w:val="single" w:color="000000" w:sz="4" w:space="0"/>
              <w:left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定额项目</w:t>
            </w:r>
          </w:p>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名称</w:t>
            </w:r>
          </w:p>
        </w:tc>
        <w:tc>
          <w:tcPr>
            <w:tcW w:w="540" w:type="dxa"/>
            <w:vMerge w:val="restart"/>
            <w:tcBorders>
              <w:top w:val="single" w:color="000000" w:sz="4" w:space="0"/>
              <w:left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定额</w:t>
            </w:r>
          </w:p>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单位</w:t>
            </w:r>
          </w:p>
        </w:tc>
        <w:tc>
          <w:tcPr>
            <w:tcW w:w="584" w:type="dxa"/>
            <w:gridSpan w:val="2"/>
            <w:vMerge w:val="restart"/>
            <w:tcBorders>
              <w:top w:val="single" w:color="000000" w:sz="4" w:space="0"/>
              <w:left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数量</w:t>
            </w:r>
          </w:p>
        </w:tc>
        <w:tc>
          <w:tcPr>
            <w:tcW w:w="3077" w:type="dxa"/>
            <w:gridSpan w:val="7"/>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单价</w:t>
            </w:r>
          </w:p>
        </w:tc>
        <w:tc>
          <w:tcPr>
            <w:tcW w:w="3299" w:type="dxa"/>
            <w:gridSpan w:val="9"/>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合价</w:t>
            </w:r>
          </w:p>
        </w:tc>
      </w:tr>
      <w:tr>
        <w:tblPrEx>
          <w:tblCellMar>
            <w:top w:w="0" w:type="dxa"/>
            <w:left w:w="0" w:type="dxa"/>
            <w:bottom w:w="0" w:type="dxa"/>
            <w:right w:w="0" w:type="dxa"/>
          </w:tblCellMar>
        </w:tblPrEx>
        <w:trPr>
          <w:trHeight w:val="809" w:hRule="exact"/>
          <w:jc w:val="center"/>
        </w:trPr>
        <w:tc>
          <w:tcPr>
            <w:tcW w:w="540" w:type="dxa"/>
            <w:vMerge w:val="continue"/>
            <w:tcBorders>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900" w:type="dxa"/>
            <w:gridSpan w:val="3"/>
            <w:vMerge w:val="continue"/>
            <w:tcBorders>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540" w:type="dxa"/>
            <w:vMerge w:val="continue"/>
            <w:tcBorders>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584" w:type="dxa"/>
            <w:gridSpan w:val="2"/>
            <w:vMerge w:val="continue"/>
            <w:tcBorders>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3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人工费</w:t>
            </w:r>
          </w:p>
        </w:tc>
        <w:tc>
          <w:tcPr>
            <w:tcW w:w="60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材料费</w:t>
            </w:r>
          </w:p>
        </w:tc>
        <w:tc>
          <w:tcPr>
            <w:tcW w:w="63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机械费</w:t>
            </w:r>
          </w:p>
        </w:tc>
        <w:tc>
          <w:tcPr>
            <w:tcW w:w="663" w:type="dxa"/>
            <w:tcBorders>
              <w:top w:val="single" w:color="000000" w:sz="4" w:space="0"/>
              <w:left w:val="single" w:color="000000" w:sz="4"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管理费</w:t>
            </w:r>
          </w:p>
        </w:tc>
        <w:tc>
          <w:tcPr>
            <w:tcW w:w="541" w:type="dxa"/>
            <w:gridSpan w:val="2"/>
            <w:tcBorders>
              <w:top w:val="single" w:color="000000" w:sz="4" w:space="0"/>
              <w:left w:val="single" w:color="auto"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利润</w:t>
            </w:r>
          </w:p>
        </w:tc>
        <w:tc>
          <w:tcPr>
            <w:tcW w:w="60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人工费</w:t>
            </w:r>
          </w:p>
        </w:tc>
        <w:tc>
          <w:tcPr>
            <w:tcW w:w="69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材料费</w:t>
            </w:r>
          </w:p>
        </w:tc>
        <w:tc>
          <w:tcPr>
            <w:tcW w:w="688"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机械费</w:t>
            </w:r>
          </w:p>
        </w:tc>
        <w:tc>
          <w:tcPr>
            <w:tcW w:w="640" w:type="dxa"/>
            <w:gridSpan w:val="3"/>
            <w:tcBorders>
              <w:top w:val="single" w:color="000000" w:sz="4" w:space="0"/>
              <w:left w:val="single" w:color="000000" w:sz="4"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管理费</w:t>
            </w:r>
          </w:p>
        </w:tc>
        <w:tc>
          <w:tcPr>
            <w:tcW w:w="677" w:type="dxa"/>
            <w:tcBorders>
              <w:top w:val="single" w:color="000000" w:sz="4" w:space="0"/>
              <w:left w:val="single" w:color="auto"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利润</w:t>
            </w:r>
          </w:p>
        </w:tc>
      </w:tr>
      <w:tr>
        <w:tblPrEx>
          <w:tblCellMar>
            <w:top w:w="0" w:type="dxa"/>
            <w:left w:w="0" w:type="dxa"/>
            <w:bottom w:w="0" w:type="dxa"/>
            <w:right w:w="0" w:type="dxa"/>
          </w:tblCellMar>
        </w:tblPrEx>
        <w:trPr>
          <w:trHeight w:val="521" w:hRule="exact"/>
          <w:jc w:val="center"/>
        </w:trPr>
        <w:tc>
          <w:tcPr>
            <w:tcW w:w="54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900"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54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58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3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0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3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63" w:type="dxa"/>
            <w:tcBorders>
              <w:top w:val="single" w:color="000000" w:sz="4" w:space="0"/>
              <w:left w:val="single" w:color="000000" w:sz="4"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p>
        </w:tc>
        <w:tc>
          <w:tcPr>
            <w:tcW w:w="541" w:type="dxa"/>
            <w:gridSpan w:val="2"/>
            <w:tcBorders>
              <w:top w:val="single" w:color="000000" w:sz="4" w:space="0"/>
              <w:left w:val="single" w:color="auto"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0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9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88"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40" w:type="dxa"/>
            <w:gridSpan w:val="3"/>
            <w:tcBorders>
              <w:top w:val="single" w:color="000000" w:sz="4" w:space="0"/>
              <w:left w:val="single" w:color="000000" w:sz="4"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p>
        </w:tc>
        <w:tc>
          <w:tcPr>
            <w:tcW w:w="677" w:type="dxa"/>
            <w:tcBorders>
              <w:top w:val="single" w:color="000000" w:sz="4" w:space="0"/>
              <w:left w:val="single" w:color="auto"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521" w:hRule="exact"/>
          <w:jc w:val="center"/>
        </w:trPr>
        <w:tc>
          <w:tcPr>
            <w:tcW w:w="54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900"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54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58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3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0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3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63" w:type="dxa"/>
            <w:tcBorders>
              <w:top w:val="single" w:color="000000" w:sz="4" w:space="0"/>
              <w:left w:val="single" w:color="000000" w:sz="4"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p>
        </w:tc>
        <w:tc>
          <w:tcPr>
            <w:tcW w:w="541" w:type="dxa"/>
            <w:gridSpan w:val="2"/>
            <w:tcBorders>
              <w:top w:val="single" w:color="000000" w:sz="4" w:space="0"/>
              <w:left w:val="single" w:color="auto"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0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9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88"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40" w:type="dxa"/>
            <w:gridSpan w:val="3"/>
            <w:tcBorders>
              <w:top w:val="single" w:color="000000" w:sz="4" w:space="0"/>
              <w:left w:val="single" w:color="000000" w:sz="4"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p>
        </w:tc>
        <w:tc>
          <w:tcPr>
            <w:tcW w:w="677" w:type="dxa"/>
            <w:tcBorders>
              <w:top w:val="single" w:color="000000" w:sz="4" w:space="0"/>
              <w:left w:val="single" w:color="auto"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518" w:hRule="exact"/>
          <w:jc w:val="center"/>
        </w:trPr>
        <w:tc>
          <w:tcPr>
            <w:tcW w:w="54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900"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54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58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3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0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3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63" w:type="dxa"/>
            <w:tcBorders>
              <w:top w:val="single" w:color="000000" w:sz="4" w:space="0"/>
              <w:left w:val="single" w:color="000000" w:sz="4"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p>
        </w:tc>
        <w:tc>
          <w:tcPr>
            <w:tcW w:w="541" w:type="dxa"/>
            <w:gridSpan w:val="2"/>
            <w:tcBorders>
              <w:top w:val="single" w:color="000000" w:sz="4" w:space="0"/>
              <w:left w:val="single" w:color="auto"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0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9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88"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40" w:type="dxa"/>
            <w:gridSpan w:val="3"/>
            <w:tcBorders>
              <w:top w:val="single" w:color="000000" w:sz="4" w:space="0"/>
              <w:left w:val="single" w:color="000000" w:sz="4"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p>
        </w:tc>
        <w:tc>
          <w:tcPr>
            <w:tcW w:w="677" w:type="dxa"/>
            <w:tcBorders>
              <w:top w:val="single" w:color="000000" w:sz="4" w:space="0"/>
              <w:left w:val="single" w:color="auto"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521" w:hRule="exact"/>
          <w:jc w:val="center"/>
        </w:trPr>
        <w:tc>
          <w:tcPr>
            <w:tcW w:w="54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900"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54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58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3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0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3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63" w:type="dxa"/>
            <w:tcBorders>
              <w:top w:val="single" w:color="000000" w:sz="4" w:space="0"/>
              <w:left w:val="single" w:color="000000" w:sz="4"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p>
        </w:tc>
        <w:tc>
          <w:tcPr>
            <w:tcW w:w="541" w:type="dxa"/>
            <w:gridSpan w:val="2"/>
            <w:tcBorders>
              <w:top w:val="single" w:color="000000" w:sz="4" w:space="0"/>
              <w:left w:val="single" w:color="auto"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0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9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88"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40" w:type="dxa"/>
            <w:gridSpan w:val="3"/>
            <w:tcBorders>
              <w:top w:val="single" w:color="000000" w:sz="4" w:space="0"/>
              <w:left w:val="single" w:color="000000" w:sz="4"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p>
        </w:tc>
        <w:tc>
          <w:tcPr>
            <w:tcW w:w="677" w:type="dxa"/>
            <w:tcBorders>
              <w:top w:val="single" w:color="000000" w:sz="4" w:space="0"/>
              <w:left w:val="single" w:color="auto"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521" w:hRule="exact"/>
          <w:jc w:val="center"/>
        </w:trPr>
        <w:tc>
          <w:tcPr>
            <w:tcW w:w="54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900"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54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58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3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0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3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63" w:type="dxa"/>
            <w:tcBorders>
              <w:top w:val="single" w:color="000000" w:sz="4" w:space="0"/>
              <w:left w:val="single" w:color="000000" w:sz="4"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p>
        </w:tc>
        <w:tc>
          <w:tcPr>
            <w:tcW w:w="541" w:type="dxa"/>
            <w:gridSpan w:val="2"/>
            <w:tcBorders>
              <w:top w:val="single" w:color="000000" w:sz="4" w:space="0"/>
              <w:left w:val="single" w:color="auto"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0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9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88"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40" w:type="dxa"/>
            <w:gridSpan w:val="3"/>
            <w:tcBorders>
              <w:top w:val="single" w:color="000000" w:sz="4" w:space="0"/>
              <w:left w:val="single" w:color="000000" w:sz="4"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p>
        </w:tc>
        <w:tc>
          <w:tcPr>
            <w:tcW w:w="677" w:type="dxa"/>
            <w:tcBorders>
              <w:top w:val="single" w:color="000000" w:sz="4" w:space="0"/>
              <w:left w:val="single" w:color="auto"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518" w:hRule="exact"/>
          <w:jc w:val="center"/>
        </w:trPr>
        <w:tc>
          <w:tcPr>
            <w:tcW w:w="1440" w:type="dxa"/>
            <w:gridSpan w:val="4"/>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综合人工工日</w:t>
            </w:r>
          </w:p>
        </w:tc>
        <w:tc>
          <w:tcPr>
            <w:tcW w:w="4201" w:type="dxa"/>
            <w:gridSpan w:val="10"/>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小</w:t>
            </w:r>
            <w:r>
              <w:rPr>
                <w:rFonts w:ascii="Times New Roman" w:hAnsi="Times New Roman" w:cs="Times New Roman"/>
                <w:color w:val="auto"/>
                <w:sz w:val="18"/>
                <w:szCs w:val="18"/>
                <w:highlight w:val="none"/>
              </w:rPr>
              <w:tab/>
            </w:r>
            <w:r>
              <w:rPr>
                <w:rFonts w:ascii="Times New Roman" w:hAnsi="宋体" w:cs="Times New Roman"/>
                <w:color w:val="auto"/>
                <w:sz w:val="18"/>
                <w:szCs w:val="18"/>
                <w:highlight w:val="none"/>
              </w:rPr>
              <w:t>计</w:t>
            </w:r>
          </w:p>
        </w:tc>
        <w:tc>
          <w:tcPr>
            <w:tcW w:w="60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9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88"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40" w:type="dxa"/>
            <w:gridSpan w:val="3"/>
            <w:tcBorders>
              <w:top w:val="single" w:color="000000" w:sz="4" w:space="0"/>
              <w:left w:val="single" w:color="000000" w:sz="4" w:space="0"/>
              <w:bottom w:val="single" w:color="000000" w:sz="4" w:space="0"/>
              <w:right w:val="single" w:color="auto" w:sz="4" w:space="0"/>
            </w:tcBorders>
            <w:vAlign w:val="center"/>
          </w:tcPr>
          <w:p>
            <w:pPr>
              <w:pStyle w:val="79"/>
              <w:jc w:val="center"/>
              <w:rPr>
                <w:rFonts w:ascii="Times New Roman" w:hAnsi="Times New Roman" w:cs="Times New Roman"/>
                <w:color w:val="auto"/>
                <w:sz w:val="18"/>
                <w:szCs w:val="18"/>
                <w:highlight w:val="none"/>
              </w:rPr>
            </w:pPr>
          </w:p>
        </w:tc>
        <w:tc>
          <w:tcPr>
            <w:tcW w:w="677" w:type="dxa"/>
            <w:tcBorders>
              <w:top w:val="single" w:color="000000" w:sz="4" w:space="0"/>
              <w:left w:val="single" w:color="auto"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521" w:hRule="exact"/>
          <w:jc w:val="center"/>
        </w:trPr>
        <w:tc>
          <w:tcPr>
            <w:tcW w:w="1440" w:type="dxa"/>
            <w:gridSpan w:val="4"/>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工日</w:t>
            </w:r>
          </w:p>
        </w:tc>
        <w:tc>
          <w:tcPr>
            <w:tcW w:w="4201" w:type="dxa"/>
            <w:gridSpan w:val="10"/>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未计价材料费</w:t>
            </w:r>
          </w:p>
        </w:tc>
        <w:tc>
          <w:tcPr>
            <w:tcW w:w="3299" w:type="dxa"/>
            <w:gridSpan w:val="9"/>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521" w:hRule="exact"/>
          <w:jc w:val="center"/>
        </w:trPr>
        <w:tc>
          <w:tcPr>
            <w:tcW w:w="5641" w:type="dxa"/>
            <w:gridSpan w:val="14"/>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清单项目综合单价</w:t>
            </w:r>
          </w:p>
        </w:tc>
        <w:tc>
          <w:tcPr>
            <w:tcW w:w="3299" w:type="dxa"/>
            <w:gridSpan w:val="9"/>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809" w:hRule="exact"/>
          <w:jc w:val="center"/>
        </w:trPr>
        <w:tc>
          <w:tcPr>
            <w:tcW w:w="720" w:type="dxa"/>
            <w:gridSpan w:val="2"/>
            <w:vMerge w:val="restart"/>
            <w:tcBorders>
              <w:top w:val="single" w:color="000000" w:sz="4" w:space="0"/>
              <w:left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材料费明细</w:t>
            </w:r>
          </w:p>
        </w:tc>
        <w:tc>
          <w:tcPr>
            <w:tcW w:w="3087" w:type="dxa"/>
            <w:gridSpan w:val="8"/>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主要材料名称、规格、型号</w:t>
            </w:r>
          </w:p>
        </w:tc>
        <w:tc>
          <w:tcPr>
            <w:tcW w:w="63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单位</w:t>
            </w:r>
          </w:p>
        </w:tc>
        <w:tc>
          <w:tcPr>
            <w:tcW w:w="1204"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数量</w:t>
            </w:r>
          </w:p>
        </w:tc>
        <w:tc>
          <w:tcPr>
            <w:tcW w:w="60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单价（元）</w:t>
            </w:r>
          </w:p>
        </w:tc>
        <w:tc>
          <w:tcPr>
            <w:tcW w:w="69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合价（元）</w:t>
            </w:r>
          </w:p>
        </w:tc>
        <w:tc>
          <w:tcPr>
            <w:tcW w:w="775"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暂估单价</w:t>
            </w:r>
            <w:r>
              <w:rPr>
                <w:rFonts w:ascii="Times New Roman" w:hAnsi="Times New Roman" w:cs="Times New Roman"/>
                <w:color w:val="auto"/>
                <w:sz w:val="18"/>
                <w:szCs w:val="18"/>
                <w:highlight w:val="none"/>
              </w:rPr>
              <w:t>(</w:t>
            </w:r>
            <w:r>
              <w:rPr>
                <w:rFonts w:ascii="Times New Roman" w:hAnsi="宋体" w:cs="Times New Roman"/>
                <w:color w:val="auto"/>
                <w:sz w:val="18"/>
                <w:szCs w:val="18"/>
                <w:highlight w:val="none"/>
              </w:rPr>
              <w:t>元</w:t>
            </w:r>
            <w:r>
              <w:rPr>
                <w:rFonts w:ascii="Times New Roman" w:hAnsi="Times New Roman" w:cs="Times New Roman"/>
                <w:color w:val="auto"/>
                <w:sz w:val="18"/>
                <w:szCs w:val="18"/>
                <w:highlight w:val="none"/>
              </w:rPr>
              <w:t>)</w:t>
            </w:r>
          </w:p>
        </w:tc>
        <w:tc>
          <w:tcPr>
            <w:tcW w:w="1230"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暂估合价（元）</w:t>
            </w:r>
          </w:p>
        </w:tc>
      </w:tr>
      <w:tr>
        <w:tblPrEx>
          <w:tblCellMar>
            <w:top w:w="0" w:type="dxa"/>
            <w:left w:w="0" w:type="dxa"/>
            <w:bottom w:w="0" w:type="dxa"/>
            <w:right w:w="0" w:type="dxa"/>
          </w:tblCellMar>
        </w:tblPrEx>
        <w:trPr>
          <w:trHeight w:val="521" w:hRule="exact"/>
          <w:jc w:val="center"/>
        </w:trPr>
        <w:tc>
          <w:tcPr>
            <w:tcW w:w="720" w:type="dxa"/>
            <w:gridSpan w:val="2"/>
            <w:vMerge w:val="continue"/>
            <w:tcBorders>
              <w:left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3087" w:type="dxa"/>
            <w:gridSpan w:val="8"/>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3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1204"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0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9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775"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1230"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521" w:hRule="exact"/>
          <w:jc w:val="center"/>
        </w:trPr>
        <w:tc>
          <w:tcPr>
            <w:tcW w:w="720" w:type="dxa"/>
            <w:gridSpan w:val="2"/>
            <w:vMerge w:val="continue"/>
            <w:tcBorders>
              <w:left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3087" w:type="dxa"/>
            <w:gridSpan w:val="8"/>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3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1204"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0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9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775"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1230"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518" w:hRule="exact"/>
          <w:jc w:val="center"/>
        </w:trPr>
        <w:tc>
          <w:tcPr>
            <w:tcW w:w="720" w:type="dxa"/>
            <w:gridSpan w:val="2"/>
            <w:vMerge w:val="continue"/>
            <w:tcBorders>
              <w:left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3087" w:type="dxa"/>
            <w:gridSpan w:val="8"/>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3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1204"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0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9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775"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1230"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521" w:hRule="exact"/>
          <w:jc w:val="center"/>
        </w:trPr>
        <w:tc>
          <w:tcPr>
            <w:tcW w:w="720" w:type="dxa"/>
            <w:gridSpan w:val="2"/>
            <w:vMerge w:val="continue"/>
            <w:tcBorders>
              <w:left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3087" w:type="dxa"/>
            <w:gridSpan w:val="8"/>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3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1204"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0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9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775"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1230"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518" w:hRule="exact"/>
          <w:jc w:val="center"/>
        </w:trPr>
        <w:tc>
          <w:tcPr>
            <w:tcW w:w="720" w:type="dxa"/>
            <w:gridSpan w:val="2"/>
            <w:vMerge w:val="continue"/>
            <w:tcBorders>
              <w:left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3087" w:type="dxa"/>
            <w:gridSpan w:val="8"/>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3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1204"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0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69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775"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1230"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521" w:hRule="exact"/>
          <w:jc w:val="center"/>
        </w:trPr>
        <w:tc>
          <w:tcPr>
            <w:tcW w:w="720" w:type="dxa"/>
            <w:gridSpan w:val="2"/>
            <w:vMerge w:val="continue"/>
            <w:tcBorders>
              <w:left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4921" w:type="dxa"/>
            <w:gridSpan w:val="1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其他材料费</w:t>
            </w:r>
          </w:p>
        </w:tc>
        <w:tc>
          <w:tcPr>
            <w:tcW w:w="60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Times New Roman" w:cs="Times New Roman"/>
                <w:color w:val="auto"/>
                <w:sz w:val="18"/>
                <w:szCs w:val="18"/>
                <w:highlight w:val="none"/>
              </w:rPr>
              <w:t>—</w:t>
            </w:r>
          </w:p>
        </w:tc>
        <w:tc>
          <w:tcPr>
            <w:tcW w:w="694" w:type="dxa"/>
            <w:gridSpan w:val="2"/>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775"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Times New Roman" w:cs="Times New Roman"/>
                <w:color w:val="auto"/>
                <w:sz w:val="18"/>
                <w:szCs w:val="18"/>
                <w:highlight w:val="none"/>
              </w:rPr>
              <w:t>—</w:t>
            </w:r>
          </w:p>
        </w:tc>
        <w:tc>
          <w:tcPr>
            <w:tcW w:w="1230" w:type="dxa"/>
            <w:gridSpan w:val="3"/>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521" w:hRule="exact"/>
          <w:jc w:val="center"/>
        </w:trPr>
        <w:tc>
          <w:tcPr>
            <w:tcW w:w="720" w:type="dxa"/>
            <w:gridSpan w:val="2"/>
            <w:vMerge w:val="continue"/>
            <w:tcBorders>
              <w:left w:val="single" w:color="000000" w:sz="4" w:space="0"/>
              <w:bottom w:val="single" w:color="auto" w:sz="2"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4921" w:type="dxa"/>
            <w:gridSpan w:val="12"/>
            <w:tcBorders>
              <w:top w:val="single" w:color="000000" w:sz="4" w:space="0"/>
              <w:left w:val="single" w:color="000000" w:sz="4" w:space="0"/>
              <w:bottom w:val="single" w:color="auto" w:sz="2"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材料费小计</w:t>
            </w:r>
          </w:p>
        </w:tc>
        <w:tc>
          <w:tcPr>
            <w:tcW w:w="600" w:type="dxa"/>
            <w:tcBorders>
              <w:top w:val="single" w:color="000000" w:sz="4" w:space="0"/>
              <w:left w:val="single" w:color="000000" w:sz="4" w:space="0"/>
              <w:bottom w:val="single" w:color="auto" w:sz="2"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Times New Roman" w:cs="Times New Roman"/>
                <w:color w:val="auto"/>
                <w:sz w:val="18"/>
                <w:szCs w:val="18"/>
                <w:highlight w:val="none"/>
              </w:rPr>
              <w:t>—</w:t>
            </w:r>
          </w:p>
        </w:tc>
        <w:tc>
          <w:tcPr>
            <w:tcW w:w="694" w:type="dxa"/>
            <w:gridSpan w:val="2"/>
            <w:tcBorders>
              <w:top w:val="single" w:color="000000" w:sz="4" w:space="0"/>
              <w:left w:val="single" w:color="000000" w:sz="4" w:space="0"/>
              <w:bottom w:val="single" w:color="auto" w:sz="2"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775" w:type="dxa"/>
            <w:gridSpan w:val="3"/>
            <w:tcBorders>
              <w:top w:val="single" w:color="000000" w:sz="4" w:space="0"/>
              <w:left w:val="single" w:color="000000" w:sz="4" w:space="0"/>
              <w:bottom w:val="single" w:color="auto" w:sz="2" w:space="0"/>
              <w:right w:val="single" w:color="000000" w:sz="4" w:space="0"/>
            </w:tcBorders>
            <w:vAlign w:val="center"/>
          </w:tcPr>
          <w:p>
            <w:pPr>
              <w:pStyle w:val="79"/>
              <w:jc w:val="center"/>
              <w:rPr>
                <w:rFonts w:ascii="Times New Roman" w:hAnsi="Times New Roman" w:cs="Times New Roman"/>
                <w:color w:val="auto"/>
                <w:sz w:val="18"/>
                <w:szCs w:val="18"/>
                <w:highlight w:val="none"/>
              </w:rPr>
            </w:pPr>
            <w:r>
              <w:rPr>
                <w:rFonts w:ascii="Times New Roman" w:hAnsi="Times New Roman" w:cs="Times New Roman"/>
                <w:color w:val="auto"/>
                <w:sz w:val="18"/>
                <w:szCs w:val="18"/>
                <w:highlight w:val="none"/>
              </w:rPr>
              <w:t>—</w:t>
            </w:r>
          </w:p>
        </w:tc>
        <w:tc>
          <w:tcPr>
            <w:tcW w:w="1230" w:type="dxa"/>
            <w:gridSpan w:val="3"/>
            <w:tcBorders>
              <w:top w:val="single" w:color="000000" w:sz="4" w:space="0"/>
              <w:left w:val="single" w:color="000000" w:sz="4" w:space="0"/>
              <w:bottom w:val="single" w:color="auto" w:sz="2"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r>
    </w:tbl>
    <w:p>
      <w:pPr>
        <w:pStyle w:val="79"/>
        <w:rPr>
          <w:rFonts w:ascii="Times New Roman" w:hAnsi="Times New Roman" w:cs="Times New Roman"/>
          <w:color w:val="auto"/>
          <w:sz w:val="18"/>
          <w:szCs w:val="18"/>
          <w:highlight w:val="none"/>
          <w:lang w:eastAsia="zh-CN"/>
        </w:rPr>
      </w:pPr>
    </w:p>
    <w:p>
      <w:pPr>
        <w:pStyle w:val="79"/>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注：</w:t>
      </w:r>
      <w:r>
        <w:rPr>
          <w:rFonts w:ascii="Times New Roman" w:hAnsi="Times New Roman" w:cs="Times New Roman"/>
          <w:color w:val="auto"/>
          <w:sz w:val="18"/>
          <w:szCs w:val="18"/>
          <w:highlight w:val="none"/>
          <w:lang w:eastAsia="zh-CN"/>
        </w:rPr>
        <w:t>1</w:t>
      </w:r>
      <w:r>
        <w:rPr>
          <w:rFonts w:ascii="Times New Roman" w:hAnsi="宋体" w:cs="Times New Roman"/>
          <w:color w:val="auto"/>
          <w:sz w:val="18"/>
          <w:szCs w:val="18"/>
          <w:highlight w:val="none"/>
          <w:lang w:eastAsia="zh-CN"/>
        </w:rPr>
        <w:t>如不使用省级或行业建设主管部门发布的计价依据，可不填定额编号、名称等。</w:t>
      </w:r>
    </w:p>
    <w:p>
      <w:pPr>
        <w:pStyle w:val="79"/>
        <w:ind w:firstLine="360" w:firstLineChars="200"/>
        <w:rPr>
          <w:rFonts w:ascii="Times New Roman" w:hAnsi="Times New Roman" w:cs="Times New Roman"/>
          <w:color w:val="auto"/>
          <w:sz w:val="18"/>
          <w:szCs w:val="18"/>
          <w:highlight w:val="none"/>
          <w:lang w:eastAsia="zh-CN"/>
        </w:rPr>
      </w:pPr>
      <w:r>
        <w:rPr>
          <w:rFonts w:ascii="Times New Roman" w:hAnsi="Times New Roman" w:cs="Times New Roman"/>
          <w:color w:val="auto"/>
          <w:sz w:val="18"/>
          <w:szCs w:val="18"/>
          <w:highlight w:val="none"/>
          <w:lang w:eastAsia="zh-CN"/>
        </w:rPr>
        <w:t>2</w:t>
      </w:r>
      <w:r>
        <w:rPr>
          <w:rFonts w:ascii="Times New Roman" w:hAnsi="宋体" w:cs="Times New Roman"/>
          <w:color w:val="auto"/>
          <w:sz w:val="18"/>
          <w:szCs w:val="18"/>
          <w:highlight w:val="none"/>
          <w:lang w:eastAsia="zh-CN"/>
        </w:rPr>
        <w:t>招标文件提供了暂估单价的材料，按暂估的单价填入表内</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lang w:eastAsia="zh-CN"/>
        </w:rPr>
        <w:t>暂估单价</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lang w:eastAsia="zh-CN"/>
        </w:rPr>
        <w:t>栏及</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lang w:eastAsia="zh-CN"/>
        </w:rPr>
        <w:t>暂估合价</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lang w:eastAsia="zh-CN"/>
        </w:rPr>
        <w:t>栏。</w:t>
      </w:r>
    </w:p>
    <w:p>
      <w:pPr>
        <w:pStyle w:val="79"/>
        <w:ind w:firstLine="5490" w:firstLineChars="3050"/>
        <w:rPr>
          <w:rFonts w:ascii="Times New Roman" w:hAnsi="Times New Roman" w:cs="Times New Roman"/>
          <w:color w:val="auto"/>
          <w:sz w:val="18"/>
          <w:szCs w:val="18"/>
          <w:highlight w:val="none"/>
          <w:lang w:eastAsia="zh-CN"/>
        </w:rPr>
      </w:pPr>
    </w:p>
    <w:p>
      <w:pPr>
        <w:pStyle w:val="79"/>
        <w:ind w:firstLine="8010" w:firstLineChars="4450"/>
        <w:rPr>
          <w:rFonts w:ascii="Times New Roman" w:hAnsi="Times New Roman" w:cs="Times New Roman"/>
          <w:color w:val="auto"/>
          <w:sz w:val="18"/>
          <w:szCs w:val="18"/>
          <w:highlight w:val="none"/>
          <w:lang w:eastAsia="zh-CN"/>
        </w:rPr>
      </w:pPr>
    </w:p>
    <w:p>
      <w:pPr>
        <w:pStyle w:val="79"/>
        <w:ind w:firstLine="8010" w:firstLineChars="4450"/>
        <w:rPr>
          <w:rFonts w:ascii="Times New Roman" w:hAnsi="Times New Roman" w:cs="Times New Roman"/>
          <w:color w:val="auto"/>
          <w:sz w:val="18"/>
          <w:szCs w:val="18"/>
          <w:highlight w:val="none"/>
          <w:lang w:eastAsia="zh-CN"/>
        </w:rPr>
      </w:pPr>
    </w:p>
    <w:p>
      <w:pPr>
        <w:pStyle w:val="79"/>
        <w:ind w:firstLine="8010" w:firstLineChars="4450"/>
        <w:rPr>
          <w:rFonts w:ascii="Times New Roman" w:hAnsi="Times New Roman" w:cs="Times New Roman"/>
          <w:color w:val="auto"/>
          <w:sz w:val="18"/>
          <w:szCs w:val="18"/>
          <w:highlight w:val="none"/>
          <w:lang w:eastAsia="zh-CN"/>
        </w:rPr>
      </w:pPr>
    </w:p>
    <w:p>
      <w:pPr>
        <w:pStyle w:val="79"/>
        <w:ind w:firstLine="8010" w:firstLineChars="4450"/>
        <w:rPr>
          <w:rFonts w:ascii="Times New Roman" w:hAnsi="Times New Roman" w:cs="Times New Roman"/>
          <w:color w:val="auto"/>
          <w:sz w:val="18"/>
          <w:szCs w:val="18"/>
          <w:highlight w:val="none"/>
          <w:lang w:eastAsia="zh-CN"/>
        </w:rPr>
      </w:pPr>
    </w:p>
    <w:p>
      <w:pPr>
        <w:pStyle w:val="79"/>
        <w:ind w:firstLine="8010" w:firstLineChars="445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表</w:t>
      </w:r>
      <w:r>
        <w:rPr>
          <w:rFonts w:ascii="Times New Roman" w:hAnsi="Times New Roman" w:cs="Times New Roman"/>
          <w:color w:val="auto"/>
          <w:sz w:val="18"/>
          <w:szCs w:val="18"/>
          <w:highlight w:val="none"/>
          <w:lang w:eastAsia="zh-CN"/>
        </w:rPr>
        <w:t>-09</w:t>
      </w:r>
    </w:p>
    <w:p>
      <w:pPr>
        <w:pStyle w:val="78"/>
        <w:tabs>
          <w:tab w:val="left" w:pos="707"/>
        </w:tabs>
        <w:jc w:val="center"/>
        <w:outlineLvl w:val="2"/>
        <w:rPr>
          <w:rFonts w:ascii="Times New Roman" w:hAnsi="Times New Roman" w:cs="Times New Roman"/>
          <w:b/>
          <w:color w:val="auto"/>
          <w:spacing w:val="1"/>
          <w:highlight w:val="none"/>
          <w:lang w:eastAsia="zh-CN"/>
        </w:rPr>
      </w:pPr>
    </w:p>
    <w:p>
      <w:pPr>
        <w:pStyle w:val="78"/>
        <w:tabs>
          <w:tab w:val="left" w:pos="707"/>
        </w:tabs>
        <w:jc w:val="center"/>
        <w:outlineLvl w:val="2"/>
        <w:rPr>
          <w:rFonts w:ascii="Times New Roman" w:hAnsi="Times New Roman" w:cs="Times New Roman"/>
          <w:b/>
          <w:color w:val="auto"/>
          <w:spacing w:val="1"/>
          <w:highlight w:val="none"/>
          <w:lang w:eastAsia="zh-CN"/>
        </w:rPr>
      </w:pPr>
      <w:r>
        <w:rPr>
          <w:rFonts w:ascii="Times New Roman" w:hAnsi="Times New Roman" w:cs="Times New Roman"/>
          <w:b/>
          <w:color w:val="auto"/>
          <w:spacing w:val="1"/>
          <w:highlight w:val="none"/>
          <w:lang w:eastAsia="zh-CN"/>
        </w:rPr>
        <w:tab/>
      </w:r>
      <w:r>
        <w:rPr>
          <w:rFonts w:ascii="Times New Roman" w:cs="Times New Roman"/>
          <w:b/>
          <w:color w:val="auto"/>
          <w:spacing w:val="1"/>
          <w:highlight w:val="none"/>
          <w:lang w:eastAsia="zh-CN"/>
        </w:rPr>
        <w:t>总价措施项目清单与计价表</w:t>
      </w:r>
    </w:p>
    <w:p>
      <w:pPr>
        <w:pStyle w:val="78"/>
        <w:tabs>
          <w:tab w:val="left" w:pos="707"/>
        </w:tabs>
        <w:jc w:val="center"/>
        <w:outlineLvl w:val="2"/>
        <w:rPr>
          <w:rFonts w:ascii="Times New Roman" w:hAnsi="Times New Roman" w:cs="Times New Roman"/>
          <w:b/>
          <w:color w:val="auto"/>
          <w:spacing w:val="1"/>
          <w:highlight w:val="none"/>
          <w:lang w:eastAsia="zh-CN"/>
        </w:rPr>
      </w:pPr>
    </w:p>
    <w:p>
      <w:pPr>
        <w:pStyle w:val="2"/>
        <w:tabs>
          <w:tab w:val="left" w:pos="4529"/>
          <w:tab w:val="left" w:pos="7890"/>
          <w:tab w:val="left" w:pos="8416"/>
          <w:tab w:val="left" w:pos="9047"/>
        </w:tabs>
        <w:ind w:firstLine="230" w:firstLineChars="100"/>
        <w:rPr>
          <w:rFonts w:eastAsia="宋体"/>
          <w:color w:val="auto"/>
          <w:highlight w:val="none"/>
        </w:rPr>
      </w:pPr>
      <w:r>
        <w:rPr>
          <w:rFonts w:hAnsi="宋体" w:eastAsia="宋体"/>
          <w:color w:val="auto"/>
          <w:highlight w:val="none"/>
        </w:rPr>
        <w:t>工程</w:t>
      </w:r>
      <w:r>
        <w:rPr>
          <w:rFonts w:hAnsi="宋体" w:eastAsia="宋体"/>
          <w:color w:val="auto"/>
          <w:spacing w:val="-3"/>
          <w:highlight w:val="none"/>
        </w:rPr>
        <w:t>名</w:t>
      </w:r>
      <w:r>
        <w:rPr>
          <w:rFonts w:hAnsi="宋体" w:eastAsia="宋体"/>
          <w:color w:val="auto"/>
          <w:highlight w:val="none"/>
        </w:rPr>
        <w:t>称：</w:t>
      </w:r>
      <w:r>
        <w:rPr>
          <w:rFonts w:eastAsia="宋体"/>
          <w:color w:val="auto"/>
          <w:highlight w:val="none"/>
        </w:rPr>
        <w:tab/>
      </w:r>
      <w:r>
        <w:rPr>
          <w:rFonts w:hAnsi="宋体" w:eastAsia="宋体"/>
          <w:color w:val="auto"/>
          <w:highlight w:val="none"/>
        </w:rPr>
        <w:t>标</w:t>
      </w:r>
      <w:r>
        <w:rPr>
          <w:rFonts w:hAnsi="宋体" w:eastAsia="宋体"/>
          <w:color w:val="auto"/>
          <w:spacing w:val="-3"/>
          <w:highlight w:val="none"/>
        </w:rPr>
        <w:t>段：</w:t>
      </w:r>
      <w:r>
        <w:rPr>
          <w:rFonts w:hAnsi="宋体" w:eastAsia="宋体"/>
          <w:color w:val="auto"/>
          <w:highlight w:val="none"/>
        </w:rPr>
        <w:t>第页共页</w:t>
      </w:r>
    </w:p>
    <w:tbl>
      <w:tblPr>
        <w:tblStyle w:val="57"/>
        <w:tblW w:w="9392" w:type="dxa"/>
        <w:tblInd w:w="93" w:type="dxa"/>
        <w:tblLayout w:type="fixed"/>
        <w:tblCellMar>
          <w:top w:w="0" w:type="dxa"/>
          <w:left w:w="108" w:type="dxa"/>
          <w:bottom w:w="0" w:type="dxa"/>
          <w:right w:w="108" w:type="dxa"/>
        </w:tblCellMar>
      </w:tblPr>
      <w:tblGrid>
        <w:gridCol w:w="546"/>
        <w:gridCol w:w="1220"/>
        <w:gridCol w:w="1769"/>
        <w:gridCol w:w="933"/>
        <w:gridCol w:w="937"/>
        <w:gridCol w:w="994"/>
        <w:gridCol w:w="844"/>
        <w:gridCol w:w="1161"/>
        <w:gridCol w:w="988"/>
      </w:tblGrid>
      <w:tr>
        <w:tblPrEx>
          <w:tblCellMar>
            <w:top w:w="0" w:type="dxa"/>
            <w:left w:w="108" w:type="dxa"/>
            <w:bottom w:w="0" w:type="dxa"/>
            <w:right w:w="108" w:type="dxa"/>
          </w:tblCellMar>
        </w:tblPrEx>
        <w:trPr>
          <w:trHeight w:val="260" w:hRule="atLeast"/>
        </w:trPr>
        <w:tc>
          <w:tcPr>
            <w:tcW w:w="546" w:type="dxa"/>
            <w:vMerge w:val="restart"/>
            <w:tcBorders>
              <w:top w:val="single" w:color="auto" w:sz="8" w:space="0"/>
              <w:left w:val="single" w:color="auto" w:sz="8" w:space="0"/>
              <w:bottom w:val="single" w:color="auto" w:sz="4" w:space="0"/>
              <w:right w:val="single" w:color="auto" w:sz="4" w:space="0"/>
            </w:tcBorders>
            <w:vAlign w:val="center"/>
          </w:tcPr>
          <w:p>
            <w:pPr>
              <w:widowControl/>
              <w:jc w:val="center"/>
              <w:rPr>
                <w:b/>
                <w:bCs/>
                <w:color w:val="auto"/>
                <w:kern w:val="0"/>
                <w:sz w:val="20"/>
                <w:szCs w:val="20"/>
                <w:highlight w:val="none"/>
              </w:rPr>
            </w:pPr>
            <w:r>
              <w:rPr>
                <w:rFonts w:hAnsi="宋体"/>
                <w:b/>
                <w:bCs/>
                <w:color w:val="auto"/>
                <w:kern w:val="0"/>
                <w:sz w:val="20"/>
                <w:szCs w:val="20"/>
                <w:highlight w:val="none"/>
              </w:rPr>
              <w:t>序号</w:t>
            </w:r>
          </w:p>
        </w:tc>
        <w:tc>
          <w:tcPr>
            <w:tcW w:w="1220" w:type="dxa"/>
            <w:vMerge w:val="restart"/>
            <w:tcBorders>
              <w:top w:val="single" w:color="auto" w:sz="8" w:space="0"/>
              <w:left w:val="nil"/>
              <w:bottom w:val="single" w:color="auto" w:sz="4" w:space="0"/>
              <w:right w:val="single" w:color="auto" w:sz="4" w:space="0"/>
            </w:tcBorders>
            <w:vAlign w:val="center"/>
          </w:tcPr>
          <w:p>
            <w:pPr>
              <w:widowControl/>
              <w:jc w:val="center"/>
              <w:rPr>
                <w:b/>
                <w:bCs/>
                <w:color w:val="auto"/>
                <w:kern w:val="0"/>
                <w:sz w:val="20"/>
                <w:szCs w:val="20"/>
                <w:highlight w:val="none"/>
              </w:rPr>
            </w:pPr>
            <w:r>
              <w:rPr>
                <w:rFonts w:hAnsi="宋体"/>
                <w:b/>
                <w:bCs/>
                <w:color w:val="auto"/>
                <w:kern w:val="0"/>
                <w:sz w:val="20"/>
                <w:szCs w:val="20"/>
                <w:highlight w:val="none"/>
              </w:rPr>
              <w:t>项目编码</w:t>
            </w:r>
          </w:p>
        </w:tc>
        <w:tc>
          <w:tcPr>
            <w:tcW w:w="1769" w:type="dxa"/>
            <w:vMerge w:val="restart"/>
            <w:tcBorders>
              <w:top w:val="single" w:color="auto" w:sz="8" w:space="0"/>
              <w:left w:val="single" w:color="auto" w:sz="4" w:space="0"/>
              <w:bottom w:val="single" w:color="auto" w:sz="4" w:space="0"/>
              <w:right w:val="single" w:color="auto" w:sz="4" w:space="0"/>
            </w:tcBorders>
            <w:vAlign w:val="center"/>
          </w:tcPr>
          <w:p>
            <w:pPr>
              <w:widowControl/>
              <w:jc w:val="center"/>
              <w:rPr>
                <w:b/>
                <w:bCs/>
                <w:color w:val="auto"/>
                <w:kern w:val="0"/>
                <w:sz w:val="20"/>
                <w:szCs w:val="20"/>
                <w:highlight w:val="none"/>
              </w:rPr>
            </w:pPr>
            <w:r>
              <w:rPr>
                <w:rFonts w:hAnsi="宋体"/>
                <w:b/>
                <w:bCs/>
                <w:color w:val="auto"/>
                <w:kern w:val="0"/>
                <w:sz w:val="20"/>
                <w:szCs w:val="20"/>
                <w:highlight w:val="none"/>
              </w:rPr>
              <w:t>项目名称</w:t>
            </w:r>
          </w:p>
        </w:tc>
        <w:tc>
          <w:tcPr>
            <w:tcW w:w="933" w:type="dxa"/>
            <w:vMerge w:val="restart"/>
            <w:tcBorders>
              <w:top w:val="single" w:color="auto" w:sz="8" w:space="0"/>
              <w:left w:val="single" w:color="auto" w:sz="4" w:space="0"/>
              <w:bottom w:val="single" w:color="auto" w:sz="4" w:space="0"/>
              <w:right w:val="single" w:color="auto" w:sz="4" w:space="0"/>
            </w:tcBorders>
            <w:vAlign w:val="center"/>
          </w:tcPr>
          <w:p>
            <w:pPr>
              <w:widowControl/>
              <w:jc w:val="center"/>
              <w:rPr>
                <w:b/>
                <w:bCs/>
                <w:color w:val="auto"/>
                <w:kern w:val="0"/>
                <w:sz w:val="20"/>
                <w:szCs w:val="20"/>
                <w:highlight w:val="none"/>
              </w:rPr>
            </w:pPr>
            <w:r>
              <w:rPr>
                <w:rFonts w:hAnsi="宋体"/>
                <w:b/>
                <w:bCs/>
                <w:color w:val="auto"/>
                <w:kern w:val="0"/>
                <w:sz w:val="20"/>
                <w:szCs w:val="20"/>
                <w:highlight w:val="none"/>
              </w:rPr>
              <w:t>计算基础</w:t>
            </w:r>
          </w:p>
        </w:tc>
        <w:tc>
          <w:tcPr>
            <w:tcW w:w="937" w:type="dxa"/>
            <w:vMerge w:val="restart"/>
            <w:tcBorders>
              <w:top w:val="single" w:color="auto" w:sz="8" w:space="0"/>
              <w:left w:val="single" w:color="auto" w:sz="4" w:space="0"/>
              <w:bottom w:val="single" w:color="auto" w:sz="4" w:space="0"/>
              <w:right w:val="single" w:color="auto" w:sz="4" w:space="0"/>
            </w:tcBorders>
            <w:vAlign w:val="center"/>
          </w:tcPr>
          <w:p>
            <w:pPr>
              <w:widowControl/>
              <w:jc w:val="center"/>
              <w:rPr>
                <w:rFonts w:hAnsi="宋体"/>
                <w:b/>
                <w:bCs/>
                <w:color w:val="auto"/>
                <w:kern w:val="0"/>
                <w:sz w:val="20"/>
                <w:szCs w:val="20"/>
                <w:highlight w:val="none"/>
              </w:rPr>
            </w:pPr>
            <w:r>
              <w:rPr>
                <w:rFonts w:hAnsi="宋体"/>
                <w:b/>
                <w:bCs/>
                <w:color w:val="auto"/>
                <w:kern w:val="0"/>
                <w:sz w:val="20"/>
                <w:szCs w:val="20"/>
                <w:highlight w:val="none"/>
              </w:rPr>
              <w:t>费率</w:t>
            </w:r>
          </w:p>
          <w:p>
            <w:pPr>
              <w:widowControl/>
              <w:jc w:val="center"/>
              <w:rPr>
                <w:b/>
                <w:bCs/>
                <w:color w:val="auto"/>
                <w:kern w:val="0"/>
                <w:sz w:val="20"/>
                <w:szCs w:val="20"/>
                <w:highlight w:val="none"/>
              </w:rPr>
            </w:pPr>
            <w:r>
              <w:rPr>
                <w:rFonts w:hAnsi="宋体"/>
                <w:b/>
                <w:bCs/>
                <w:color w:val="auto"/>
                <w:kern w:val="0"/>
                <w:sz w:val="20"/>
                <w:szCs w:val="20"/>
                <w:highlight w:val="none"/>
              </w:rPr>
              <w:t>（</w:t>
            </w:r>
            <w:r>
              <w:rPr>
                <w:b/>
                <w:bCs/>
                <w:color w:val="auto"/>
                <w:kern w:val="0"/>
                <w:sz w:val="20"/>
                <w:szCs w:val="20"/>
                <w:highlight w:val="none"/>
              </w:rPr>
              <w:t>%</w:t>
            </w:r>
            <w:r>
              <w:rPr>
                <w:rFonts w:hAnsi="宋体"/>
                <w:b/>
                <w:bCs/>
                <w:color w:val="auto"/>
                <w:kern w:val="0"/>
                <w:sz w:val="20"/>
                <w:szCs w:val="20"/>
                <w:highlight w:val="none"/>
              </w:rPr>
              <w:t>）</w:t>
            </w:r>
          </w:p>
        </w:tc>
        <w:tc>
          <w:tcPr>
            <w:tcW w:w="994" w:type="dxa"/>
            <w:vMerge w:val="restart"/>
            <w:tcBorders>
              <w:top w:val="single" w:color="auto" w:sz="8" w:space="0"/>
              <w:left w:val="single" w:color="auto" w:sz="4" w:space="0"/>
              <w:bottom w:val="single" w:color="auto" w:sz="4" w:space="0"/>
              <w:right w:val="single" w:color="auto" w:sz="4" w:space="0"/>
            </w:tcBorders>
            <w:vAlign w:val="center"/>
          </w:tcPr>
          <w:p>
            <w:pPr>
              <w:widowControl/>
              <w:jc w:val="center"/>
              <w:rPr>
                <w:rFonts w:hAnsi="宋体"/>
                <w:b/>
                <w:bCs/>
                <w:color w:val="auto"/>
                <w:kern w:val="0"/>
                <w:sz w:val="20"/>
                <w:szCs w:val="20"/>
                <w:highlight w:val="none"/>
              </w:rPr>
            </w:pPr>
            <w:r>
              <w:rPr>
                <w:rFonts w:hAnsi="宋体"/>
                <w:b/>
                <w:bCs/>
                <w:color w:val="auto"/>
                <w:kern w:val="0"/>
                <w:sz w:val="20"/>
                <w:szCs w:val="20"/>
                <w:highlight w:val="none"/>
              </w:rPr>
              <w:t>金额</w:t>
            </w:r>
          </w:p>
          <w:p>
            <w:pPr>
              <w:widowControl/>
              <w:jc w:val="center"/>
              <w:rPr>
                <w:b/>
                <w:bCs/>
                <w:color w:val="auto"/>
                <w:kern w:val="0"/>
                <w:sz w:val="20"/>
                <w:szCs w:val="20"/>
                <w:highlight w:val="none"/>
              </w:rPr>
            </w:pPr>
            <w:r>
              <w:rPr>
                <w:rFonts w:hAnsi="宋体"/>
                <w:b/>
                <w:bCs/>
                <w:color w:val="auto"/>
                <w:kern w:val="0"/>
                <w:sz w:val="20"/>
                <w:szCs w:val="20"/>
                <w:highlight w:val="none"/>
              </w:rPr>
              <w:t>（元）</w:t>
            </w:r>
          </w:p>
        </w:tc>
        <w:tc>
          <w:tcPr>
            <w:tcW w:w="844" w:type="dxa"/>
            <w:vMerge w:val="restart"/>
            <w:tcBorders>
              <w:top w:val="single" w:color="auto" w:sz="8" w:space="0"/>
              <w:left w:val="single" w:color="auto" w:sz="4" w:space="0"/>
              <w:bottom w:val="single" w:color="auto" w:sz="4" w:space="0"/>
              <w:right w:val="single" w:color="auto" w:sz="4" w:space="0"/>
            </w:tcBorders>
            <w:vAlign w:val="center"/>
          </w:tcPr>
          <w:p>
            <w:pPr>
              <w:widowControl/>
              <w:jc w:val="center"/>
              <w:rPr>
                <w:rFonts w:hAnsi="宋体"/>
                <w:b/>
                <w:bCs/>
                <w:color w:val="auto"/>
                <w:kern w:val="0"/>
                <w:sz w:val="20"/>
                <w:szCs w:val="20"/>
                <w:highlight w:val="none"/>
              </w:rPr>
            </w:pPr>
            <w:r>
              <w:rPr>
                <w:rFonts w:hAnsi="宋体"/>
                <w:b/>
                <w:bCs/>
                <w:color w:val="auto"/>
                <w:kern w:val="0"/>
                <w:sz w:val="20"/>
                <w:szCs w:val="20"/>
                <w:highlight w:val="none"/>
              </w:rPr>
              <w:t>调整</w:t>
            </w:r>
          </w:p>
          <w:p>
            <w:pPr>
              <w:widowControl/>
              <w:jc w:val="center"/>
              <w:rPr>
                <w:rFonts w:hAnsi="宋体"/>
                <w:b/>
                <w:bCs/>
                <w:color w:val="auto"/>
                <w:kern w:val="0"/>
                <w:sz w:val="20"/>
                <w:szCs w:val="20"/>
                <w:highlight w:val="none"/>
              </w:rPr>
            </w:pPr>
            <w:r>
              <w:rPr>
                <w:rFonts w:hAnsi="宋体"/>
                <w:b/>
                <w:bCs/>
                <w:color w:val="auto"/>
                <w:kern w:val="0"/>
                <w:sz w:val="20"/>
                <w:szCs w:val="20"/>
                <w:highlight w:val="none"/>
              </w:rPr>
              <w:t>费率</w:t>
            </w:r>
          </w:p>
          <w:p>
            <w:pPr>
              <w:widowControl/>
              <w:jc w:val="center"/>
              <w:rPr>
                <w:b/>
                <w:bCs/>
                <w:color w:val="auto"/>
                <w:kern w:val="0"/>
                <w:sz w:val="20"/>
                <w:szCs w:val="20"/>
                <w:highlight w:val="none"/>
              </w:rPr>
            </w:pPr>
            <w:r>
              <w:rPr>
                <w:rFonts w:hAnsi="宋体"/>
                <w:b/>
                <w:bCs/>
                <w:color w:val="auto"/>
                <w:kern w:val="0"/>
                <w:sz w:val="20"/>
                <w:szCs w:val="20"/>
                <w:highlight w:val="none"/>
              </w:rPr>
              <w:t>（</w:t>
            </w:r>
            <w:r>
              <w:rPr>
                <w:b/>
                <w:bCs/>
                <w:color w:val="auto"/>
                <w:kern w:val="0"/>
                <w:sz w:val="20"/>
                <w:szCs w:val="20"/>
                <w:highlight w:val="none"/>
              </w:rPr>
              <w:t>%</w:t>
            </w:r>
            <w:r>
              <w:rPr>
                <w:rFonts w:hAnsi="宋体"/>
                <w:b/>
                <w:bCs/>
                <w:color w:val="auto"/>
                <w:kern w:val="0"/>
                <w:sz w:val="20"/>
                <w:szCs w:val="20"/>
                <w:highlight w:val="none"/>
              </w:rPr>
              <w:t>）</w:t>
            </w:r>
          </w:p>
        </w:tc>
        <w:tc>
          <w:tcPr>
            <w:tcW w:w="1161" w:type="dxa"/>
            <w:vMerge w:val="restart"/>
            <w:tcBorders>
              <w:top w:val="single" w:color="auto" w:sz="8" w:space="0"/>
              <w:left w:val="single" w:color="auto" w:sz="4" w:space="0"/>
              <w:bottom w:val="single" w:color="auto" w:sz="4" w:space="0"/>
              <w:right w:val="single" w:color="auto" w:sz="4" w:space="0"/>
            </w:tcBorders>
            <w:vAlign w:val="center"/>
          </w:tcPr>
          <w:p>
            <w:pPr>
              <w:widowControl/>
              <w:jc w:val="center"/>
              <w:rPr>
                <w:b/>
                <w:bCs/>
                <w:color w:val="auto"/>
                <w:kern w:val="0"/>
                <w:sz w:val="20"/>
                <w:szCs w:val="20"/>
                <w:highlight w:val="none"/>
              </w:rPr>
            </w:pPr>
            <w:r>
              <w:rPr>
                <w:rFonts w:hAnsi="宋体"/>
                <w:b/>
                <w:bCs/>
                <w:color w:val="auto"/>
                <w:kern w:val="0"/>
                <w:sz w:val="20"/>
                <w:szCs w:val="20"/>
                <w:highlight w:val="none"/>
              </w:rPr>
              <w:t>调整后金额（元）</w:t>
            </w:r>
          </w:p>
        </w:tc>
        <w:tc>
          <w:tcPr>
            <w:tcW w:w="988" w:type="dxa"/>
            <w:vMerge w:val="restart"/>
            <w:tcBorders>
              <w:top w:val="single" w:color="auto" w:sz="8" w:space="0"/>
              <w:left w:val="single" w:color="auto" w:sz="4" w:space="0"/>
              <w:bottom w:val="single" w:color="auto" w:sz="4" w:space="0"/>
              <w:right w:val="single" w:color="auto" w:sz="8" w:space="0"/>
            </w:tcBorders>
            <w:vAlign w:val="center"/>
          </w:tcPr>
          <w:p>
            <w:pPr>
              <w:widowControl/>
              <w:jc w:val="center"/>
              <w:rPr>
                <w:b/>
                <w:bCs/>
                <w:color w:val="auto"/>
                <w:kern w:val="0"/>
                <w:sz w:val="20"/>
                <w:szCs w:val="20"/>
                <w:highlight w:val="none"/>
              </w:rPr>
            </w:pPr>
            <w:r>
              <w:rPr>
                <w:rFonts w:hAnsi="宋体"/>
                <w:b/>
                <w:bCs/>
                <w:color w:val="auto"/>
                <w:kern w:val="0"/>
                <w:sz w:val="20"/>
                <w:szCs w:val="20"/>
                <w:highlight w:val="none"/>
              </w:rPr>
              <w:t>备注</w:t>
            </w:r>
          </w:p>
        </w:tc>
      </w:tr>
      <w:tr>
        <w:tblPrEx>
          <w:tblCellMar>
            <w:top w:w="0" w:type="dxa"/>
            <w:left w:w="108" w:type="dxa"/>
            <w:bottom w:w="0" w:type="dxa"/>
            <w:right w:w="108" w:type="dxa"/>
          </w:tblCellMar>
        </w:tblPrEx>
        <w:trPr>
          <w:trHeight w:val="309" w:hRule="atLeast"/>
        </w:trPr>
        <w:tc>
          <w:tcPr>
            <w:tcW w:w="546" w:type="dxa"/>
            <w:vMerge w:val="continue"/>
            <w:tcBorders>
              <w:top w:val="single" w:color="auto" w:sz="8" w:space="0"/>
              <w:left w:val="single" w:color="auto" w:sz="8"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1220" w:type="dxa"/>
            <w:vMerge w:val="continue"/>
            <w:tcBorders>
              <w:top w:val="single" w:color="auto" w:sz="8" w:space="0"/>
              <w:left w:val="nil"/>
              <w:bottom w:val="single" w:color="auto" w:sz="4" w:space="0"/>
              <w:right w:val="single" w:color="auto" w:sz="4" w:space="0"/>
            </w:tcBorders>
            <w:vAlign w:val="center"/>
          </w:tcPr>
          <w:p>
            <w:pPr>
              <w:widowControl/>
              <w:jc w:val="left"/>
              <w:rPr>
                <w:b/>
                <w:bCs/>
                <w:color w:val="auto"/>
                <w:kern w:val="0"/>
                <w:sz w:val="20"/>
                <w:szCs w:val="20"/>
                <w:highlight w:val="none"/>
              </w:rPr>
            </w:pPr>
          </w:p>
        </w:tc>
        <w:tc>
          <w:tcPr>
            <w:tcW w:w="1769" w:type="dxa"/>
            <w:vMerge w:val="continue"/>
            <w:tcBorders>
              <w:top w:val="single" w:color="auto" w:sz="8" w:space="0"/>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933" w:type="dxa"/>
            <w:vMerge w:val="continue"/>
            <w:tcBorders>
              <w:top w:val="single" w:color="auto" w:sz="8" w:space="0"/>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937" w:type="dxa"/>
            <w:vMerge w:val="continue"/>
            <w:tcBorders>
              <w:top w:val="single" w:color="auto" w:sz="8" w:space="0"/>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994" w:type="dxa"/>
            <w:vMerge w:val="continue"/>
            <w:tcBorders>
              <w:top w:val="single" w:color="auto" w:sz="8" w:space="0"/>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844" w:type="dxa"/>
            <w:vMerge w:val="continue"/>
            <w:tcBorders>
              <w:top w:val="single" w:color="auto" w:sz="8" w:space="0"/>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1161" w:type="dxa"/>
            <w:vMerge w:val="continue"/>
            <w:tcBorders>
              <w:top w:val="single" w:color="auto" w:sz="8" w:space="0"/>
              <w:left w:val="single" w:color="auto" w:sz="4" w:space="0"/>
              <w:bottom w:val="single" w:color="auto" w:sz="4" w:space="0"/>
              <w:right w:val="single" w:color="auto" w:sz="4" w:space="0"/>
            </w:tcBorders>
            <w:vAlign w:val="center"/>
          </w:tcPr>
          <w:p>
            <w:pPr>
              <w:widowControl/>
              <w:jc w:val="left"/>
              <w:rPr>
                <w:b/>
                <w:bCs/>
                <w:color w:val="auto"/>
                <w:kern w:val="0"/>
                <w:sz w:val="20"/>
                <w:szCs w:val="20"/>
                <w:highlight w:val="none"/>
              </w:rPr>
            </w:pPr>
          </w:p>
        </w:tc>
        <w:tc>
          <w:tcPr>
            <w:tcW w:w="988" w:type="dxa"/>
            <w:vMerge w:val="continue"/>
            <w:tcBorders>
              <w:top w:val="single" w:color="auto" w:sz="8" w:space="0"/>
              <w:left w:val="single" w:color="auto" w:sz="4" w:space="0"/>
              <w:bottom w:val="single" w:color="auto" w:sz="4" w:space="0"/>
              <w:right w:val="single" w:color="auto" w:sz="8" w:space="0"/>
            </w:tcBorders>
            <w:vAlign w:val="center"/>
          </w:tcPr>
          <w:p>
            <w:pPr>
              <w:widowControl/>
              <w:jc w:val="left"/>
              <w:rPr>
                <w:b/>
                <w:bCs/>
                <w:color w:val="auto"/>
                <w:kern w:val="0"/>
                <w:sz w:val="20"/>
                <w:szCs w:val="20"/>
                <w:highlight w:val="none"/>
              </w:rPr>
            </w:pPr>
          </w:p>
        </w:tc>
      </w:tr>
      <w:tr>
        <w:tblPrEx>
          <w:tblCellMar>
            <w:top w:w="0" w:type="dxa"/>
            <w:left w:w="108" w:type="dxa"/>
            <w:bottom w:w="0" w:type="dxa"/>
            <w:right w:w="108" w:type="dxa"/>
          </w:tblCellMar>
        </w:tblPrEx>
        <w:trPr>
          <w:trHeight w:val="814"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color w:val="auto"/>
                <w:kern w:val="0"/>
                <w:sz w:val="18"/>
                <w:szCs w:val="18"/>
                <w:highlight w:val="none"/>
              </w:rPr>
              <w:t>1.1</w:t>
            </w:r>
          </w:p>
        </w:tc>
        <w:tc>
          <w:tcPr>
            <w:tcW w:w="1220"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769"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r>
              <w:rPr>
                <w:rFonts w:hAnsi="宋体"/>
                <w:color w:val="auto"/>
                <w:kern w:val="0"/>
                <w:sz w:val="18"/>
                <w:szCs w:val="18"/>
                <w:highlight w:val="none"/>
              </w:rPr>
              <w:t>安全文明施工费</w:t>
            </w:r>
          </w:p>
        </w:tc>
        <w:tc>
          <w:tcPr>
            <w:tcW w:w="933"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37"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94"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844"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6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88" w:type="dxa"/>
            <w:tcBorders>
              <w:top w:val="nil"/>
              <w:left w:val="nil"/>
              <w:bottom w:val="single" w:color="auto" w:sz="4" w:space="0"/>
              <w:right w:val="single" w:color="auto" w:sz="8"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814"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color w:val="auto"/>
                <w:kern w:val="0"/>
                <w:sz w:val="18"/>
                <w:szCs w:val="18"/>
                <w:highlight w:val="none"/>
              </w:rPr>
              <w:t>1.2</w:t>
            </w:r>
          </w:p>
        </w:tc>
        <w:tc>
          <w:tcPr>
            <w:tcW w:w="1220"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769"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r>
              <w:rPr>
                <w:rFonts w:hAnsi="宋体"/>
                <w:color w:val="auto"/>
                <w:kern w:val="0"/>
                <w:sz w:val="18"/>
                <w:szCs w:val="18"/>
                <w:highlight w:val="none"/>
              </w:rPr>
              <w:t>夜间施工增加费</w:t>
            </w:r>
          </w:p>
        </w:tc>
        <w:tc>
          <w:tcPr>
            <w:tcW w:w="933"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37"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94"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844"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6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88" w:type="dxa"/>
            <w:tcBorders>
              <w:top w:val="nil"/>
              <w:left w:val="nil"/>
              <w:bottom w:val="single" w:color="auto" w:sz="4" w:space="0"/>
              <w:right w:val="single" w:color="auto" w:sz="8"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814"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color w:val="auto"/>
                <w:kern w:val="0"/>
                <w:sz w:val="18"/>
                <w:szCs w:val="18"/>
                <w:highlight w:val="none"/>
              </w:rPr>
              <w:t>2</w:t>
            </w:r>
          </w:p>
        </w:tc>
        <w:tc>
          <w:tcPr>
            <w:tcW w:w="1220"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769"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r>
              <w:rPr>
                <w:rFonts w:hAnsi="宋体"/>
                <w:color w:val="auto"/>
                <w:kern w:val="0"/>
                <w:sz w:val="18"/>
                <w:szCs w:val="18"/>
                <w:highlight w:val="none"/>
              </w:rPr>
              <w:t>二次搬运费</w:t>
            </w:r>
          </w:p>
        </w:tc>
        <w:tc>
          <w:tcPr>
            <w:tcW w:w="933"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37"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94"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844"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6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88" w:type="dxa"/>
            <w:tcBorders>
              <w:top w:val="nil"/>
              <w:left w:val="nil"/>
              <w:bottom w:val="single" w:color="auto" w:sz="4" w:space="0"/>
              <w:right w:val="single" w:color="auto" w:sz="8"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814"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color w:val="auto"/>
                <w:kern w:val="0"/>
                <w:sz w:val="18"/>
                <w:szCs w:val="18"/>
                <w:highlight w:val="none"/>
              </w:rPr>
              <w:t>3</w:t>
            </w:r>
          </w:p>
        </w:tc>
        <w:tc>
          <w:tcPr>
            <w:tcW w:w="1220"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769"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r>
              <w:rPr>
                <w:rFonts w:hAnsi="宋体"/>
                <w:color w:val="auto"/>
                <w:kern w:val="0"/>
                <w:sz w:val="18"/>
                <w:szCs w:val="18"/>
                <w:highlight w:val="none"/>
              </w:rPr>
              <w:t>冬雨季施工增加费</w:t>
            </w:r>
          </w:p>
        </w:tc>
        <w:tc>
          <w:tcPr>
            <w:tcW w:w="933"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37"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94"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844"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6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88" w:type="dxa"/>
            <w:tcBorders>
              <w:top w:val="nil"/>
              <w:left w:val="nil"/>
              <w:bottom w:val="single" w:color="auto" w:sz="4" w:space="0"/>
              <w:right w:val="single" w:color="auto" w:sz="8"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814"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color w:val="auto"/>
                <w:kern w:val="0"/>
                <w:sz w:val="18"/>
                <w:szCs w:val="18"/>
                <w:highlight w:val="none"/>
              </w:rPr>
              <w:t>4</w:t>
            </w:r>
          </w:p>
        </w:tc>
        <w:tc>
          <w:tcPr>
            <w:tcW w:w="1220"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769"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r>
              <w:rPr>
                <w:rFonts w:hAnsi="宋体"/>
                <w:color w:val="auto"/>
                <w:kern w:val="0"/>
                <w:sz w:val="18"/>
                <w:szCs w:val="18"/>
                <w:highlight w:val="none"/>
              </w:rPr>
              <w:t>已完工程及设备保护费</w:t>
            </w:r>
          </w:p>
        </w:tc>
        <w:tc>
          <w:tcPr>
            <w:tcW w:w="933"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37"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94"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844"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6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88" w:type="dxa"/>
            <w:tcBorders>
              <w:top w:val="nil"/>
              <w:left w:val="nil"/>
              <w:bottom w:val="single" w:color="auto" w:sz="4" w:space="0"/>
              <w:right w:val="single" w:color="auto" w:sz="8"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r>
      <w:tr>
        <w:tblPrEx>
          <w:tblCellMar>
            <w:top w:w="0" w:type="dxa"/>
            <w:left w:w="108" w:type="dxa"/>
            <w:bottom w:w="0" w:type="dxa"/>
            <w:right w:w="108" w:type="dxa"/>
          </w:tblCellMar>
        </w:tblPrEx>
        <w:trPr>
          <w:trHeight w:val="814"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p>
        </w:tc>
        <w:tc>
          <w:tcPr>
            <w:tcW w:w="1220"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769"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p>
        </w:tc>
        <w:tc>
          <w:tcPr>
            <w:tcW w:w="933"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37"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94"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844"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16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988" w:type="dxa"/>
            <w:tcBorders>
              <w:top w:val="nil"/>
              <w:left w:val="nil"/>
              <w:bottom w:val="single" w:color="auto" w:sz="4" w:space="0"/>
              <w:right w:val="single" w:color="auto" w:sz="8" w:space="0"/>
            </w:tcBorders>
            <w:vAlign w:val="center"/>
          </w:tcPr>
          <w:p>
            <w:pPr>
              <w:widowControl/>
              <w:jc w:val="center"/>
              <w:rPr>
                <w:color w:val="auto"/>
                <w:kern w:val="0"/>
                <w:sz w:val="18"/>
                <w:szCs w:val="18"/>
                <w:highlight w:val="none"/>
              </w:rPr>
            </w:pPr>
          </w:p>
        </w:tc>
      </w:tr>
      <w:tr>
        <w:tblPrEx>
          <w:tblCellMar>
            <w:top w:w="0" w:type="dxa"/>
            <w:left w:w="108" w:type="dxa"/>
            <w:bottom w:w="0" w:type="dxa"/>
            <w:right w:w="108" w:type="dxa"/>
          </w:tblCellMar>
        </w:tblPrEx>
        <w:trPr>
          <w:trHeight w:val="814"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p>
        </w:tc>
        <w:tc>
          <w:tcPr>
            <w:tcW w:w="1220"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769"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p>
        </w:tc>
        <w:tc>
          <w:tcPr>
            <w:tcW w:w="933"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37"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94"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844"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16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988" w:type="dxa"/>
            <w:tcBorders>
              <w:top w:val="nil"/>
              <w:left w:val="nil"/>
              <w:bottom w:val="single" w:color="auto" w:sz="4" w:space="0"/>
              <w:right w:val="single" w:color="auto" w:sz="8" w:space="0"/>
            </w:tcBorders>
            <w:vAlign w:val="center"/>
          </w:tcPr>
          <w:p>
            <w:pPr>
              <w:widowControl/>
              <w:jc w:val="center"/>
              <w:rPr>
                <w:color w:val="auto"/>
                <w:kern w:val="0"/>
                <w:sz w:val="18"/>
                <w:szCs w:val="18"/>
                <w:highlight w:val="none"/>
              </w:rPr>
            </w:pPr>
          </w:p>
        </w:tc>
      </w:tr>
      <w:tr>
        <w:tblPrEx>
          <w:tblCellMar>
            <w:top w:w="0" w:type="dxa"/>
            <w:left w:w="108" w:type="dxa"/>
            <w:bottom w:w="0" w:type="dxa"/>
            <w:right w:w="108" w:type="dxa"/>
          </w:tblCellMar>
        </w:tblPrEx>
        <w:trPr>
          <w:trHeight w:val="814"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p>
        </w:tc>
        <w:tc>
          <w:tcPr>
            <w:tcW w:w="1220"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769"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p>
        </w:tc>
        <w:tc>
          <w:tcPr>
            <w:tcW w:w="933"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37"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94"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844"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16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988" w:type="dxa"/>
            <w:tcBorders>
              <w:top w:val="nil"/>
              <w:left w:val="nil"/>
              <w:bottom w:val="single" w:color="auto" w:sz="4" w:space="0"/>
              <w:right w:val="single" w:color="auto" w:sz="8" w:space="0"/>
            </w:tcBorders>
            <w:vAlign w:val="center"/>
          </w:tcPr>
          <w:p>
            <w:pPr>
              <w:widowControl/>
              <w:jc w:val="center"/>
              <w:rPr>
                <w:color w:val="auto"/>
                <w:kern w:val="0"/>
                <w:sz w:val="18"/>
                <w:szCs w:val="18"/>
                <w:highlight w:val="none"/>
              </w:rPr>
            </w:pPr>
          </w:p>
        </w:tc>
      </w:tr>
      <w:tr>
        <w:tblPrEx>
          <w:tblCellMar>
            <w:top w:w="0" w:type="dxa"/>
            <w:left w:w="108" w:type="dxa"/>
            <w:bottom w:w="0" w:type="dxa"/>
            <w:right w:w="108" w:type="dxa"/>
          </w:tblCellMar>
        </w:tblPrEx>
        <w:trPr>
          <w:trHeight w:val="814"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p>
        </w:tc>
        <w:tc>
          <w:tcPr>
            <w:tcW w:w="1220"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769"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p>
        </w:tc>
        <w:tc>
          <w:tcPr>
            <w:tcW w:w="933"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37"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94"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844"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16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988" w:type="dxa"/>
            <w:tcBorders>
              <w:top w:val="nil"/>
              <w:left w:val="nil"/>
              <w:bottom w:val="single" w:color="auto" w:sz="4" w:space="0"/>
              <w:right w:val="single" w:color="auto" w:sz="8" w:space="0"/>
            </w:tcBorders>
            <w:vAlign w:val="center"/>
          </w:tcPr>
          <w:p>
            <w:pPr>
              <w:widowControl/>
              <w:jc w:val="center"/>
              <w:rPr>
                <w:color w:val="auto"/>
                <w:kern w:val="0"/>
                <w:sz w:val="18"/>
                <w:szCs w:val="18"/>
                <w:highlight w:val="none"/>
              </w:rPr>
            </w:pPr>
          </w:p>
        </w:tc>
      </w:tr>
      <w:tr>
        <w:tblPrEx>
          <w:tblCellMar>
            <w:top w:w="0" w:type="dxa"/>
            <w:left w:w="108" w:type="dxa"/>
            <w:bottom w:w="0" w:type="dxa"/>
            <w:right w:w="108" w:type="dxa"/>
          </w:tblCellMar>
        </w:tblPrEx>
        <w:trPr>
          <w:trHeight w:val="814"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p>
        </w:tc>
        <w:tc>
          <w:tcPr>
            <w:tcW w:w="1220"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769"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p>
        </w:tc>
        <w:tc>
          <w:tcPr>
            <w:tcW w:w="933"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37"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94"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844"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16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988" w:type="dxa"/>
            <w:tcBorders>
              <w:top w:val="nil"/>
              <w:left w:val="nil"/>
              <w:bottom w:val="single" w:color="auto" w:sz="4" w:space="0"/>
              <w:right w:val="single" w:color="auto" w:sz="8" w:space="0"/>
            </w:tcBorders>
            <w:vAlign w:val="center"/>
          </w:tcPr>
          <w:p>
            <w:pPr>
              <w:widowControl/>
              <w:jc w:val="center"/>
              <w:rPr>
                <w:color w:val="auto"/>
                <w:kern w:val="0"/>
                <w:sz w:val="18"/>
                <w:szCs w:val="18"/>
                <w:highlight w:val="none"/>
              </w:rPr>
            </w:pPr>
          </w:p>
        </w:tc>
      </w:tr>
      <w:tr>
        <w:tblPrEx>
          <w:tblCellMar>
            <w:top w:w="0" w:type="dxa"/>
            <w:left w:w="108" w:type="dxa"/>
            <w:bottom w:w="0" w:type="dxa"/>
            <w:right w:w="108" w:type="dxa"/>
          </w:tblCellMar>
        </w:tblPrEx>
        <w:trPr>
          <w:trHeight w:val="814" w:hRule="atLeast"/>
        </w:trPr>
        <w:tc>
          <w:tcPr>
            <w:tcW w:w="546" w:type="dxa"/>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p>
        </w:tc>
        <w:tc>
          <w:tcPr>
            <w:tcW w:w="1220"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769" w:type="dxa"/>
            <w:tcBorders>
              <w:top w:val="nil"/>
              <w:left w:val="nil"/>
              <w:bottom w:val="single" w:color="auto" w:sz="4" w:space="0"/>
              <w:right w:val="single" w:color="auto" w:sz="4" w:space="0"/>
            </w:tcBorders>
            <w:vAlign w:val="center"/>
          </w:tcPr>
          <w:p>
            <w:pPr>
              <w:widowControl/>
              <w:jc w:val="left"/>
              <w:rPr>
                <w:color w:val="auto"/>
                <w:kern w:val="0"/>
                <w:sz w:val="18"/>
                <w:szCs w:val="18"/>
                <w:highlight w:val="none"/>
              </w:rPr>
            </w:pPr>
          </w:p>
        </w:tc>
        <w:tc>
          <w:tcPr>
            <w:tcW w:w="933"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37"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994"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844"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p>
        </w:tc>
        <w:tc>
          <w:tcPr>
            <w:tcW w:w="116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p>
        </w:tc>
        <w:tc>
          <w:tcPr>
            <w:tcW w:w="988" w:type="dxa"/>
            <w:tcBorders>
              <w:top w:val="nil"/>
              <w:left w:val="nil"/>
              <w:bottom w:val="single" w:color="auto" w:sz="4" w:space="0"/>
              <w:right w:val="single" w:color="auto" w:sz="8" w:space="0"/>
            </w:tcBorders>
            <w:vAlign w:val="center"/>
          </w:tcPr>
          <w:p>
            <w:pPr>
              <w:widowControl/>
              <w:jc w:val="center"/>
              <w:rPr>
                <w:color w:val="auto"/>
                <w:kern w:val="0"/>
                <w:sz w:val="18"/>
                <w:szCs w:val="18"/>
                <w:highlight w:val="none"/>
              </w:rPr>
            </w:pPr>
          </w:p>
        </w:tc>
      </w:tr>
      <w:tr>
        <w:tblPrEx>
          <w:tblCellMar>
            <w:top w:w="0" w:type="dxa"/>
            <w:left w:w="108" w:type="dxa"/>
            <w:bottom w:w="0" w:type="dxa"/>
            <w:right w:w="108" w:type="dxa"/>
          </w:tblCellMar>
        </w:tblPrEx>
        <w:trPr>
          <w:trHeight w:val="814" w:hRule="atLeast"/>
        </w:trPr>
        <w:tc>
          <w:tcPr>
            <w:tcW w:w="5405" w:type="dxa"/>
            <w:gridSpan w:val="5"/>
            <w:tcBorders>
              <w:top w:val="nil"/>
              <w:left w:val="single" w:color="auto" w:sz="8" w:space="0"/>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合计</w:t>
            </w:r>
          </w:p>
        </w:tc>
        <w:tc>
          <w:tcPr>
            <w:tcW w:w="994"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844" w:type="dxa"/>
            <w:tcBorders>
              <w:top w:val="nil"/>
              <w:left w:val="nil"/>
              <w:bottom w:val="single" w:color="auto" w:sz="4" w:space="0"/>
              <w:right w:val="single" w:color="auto" w:sz="4"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c>
          <w:tcPr>
            <w:tcW w:w="1161" w:type="dxa"/>
            <w:tcBorders>
              <w:top w:val="nil"/>
              <w:left w:val="nil"/>
              <w:bottom w:val="single" w:color="auto" w:sz="4" w:space="0"/>
              <w:right w:val="single" w:color="auto" w:sz="4" w:space="0"/>
            </w:tcBorders>
            <w:vAlign w:val="center"/>
          </w:tcPr>
          <w:p>
            <w:pPr>
              <w:widowControl/>
              <w:jc w:val="right"/>
              <w:rPr>
                <w:color w:val="auto"/>
                <w:kern w:val="0"/>
                <w:sz w:val="18"/>
                <w:szCs w:val="18"/>
                <w:highlight w:val="none"/>
              </w:rPr>
            </w:pPr>
            <w:r>
              <w:rPr>
                <w:rFonts w:hAnsi="宋体"/>
                <w:color w:val="auto"/>
                <w:kern w:val="0"/>
                <w:sz w:val="18"/>
                <w:szCs w:val="18"/>
                <w:highlight w:val="none"/>
              </w:rPr>
              <w:t>　</w:t>
            </w:r>
          </w:p>
        </w:tc>
        <w:tc>
          <w:tcPr>
            <w:tcW w:w="988" w:type="dxa"/>
            <w:tcBorders>
              <w:top w:val="nil"/>
              <w:left w:val="nil"/>
              <w:bottom w:val="single" w:color="auto" w:sz="4" w:space="0"/>
              <w:right w:val="single" w:color="auto" w:sz="8" w:space="0"/>
            </w:tcBorders>
            <w:vAlign w:val="center"/>
          </w:tcPr>
          <w:p>
            <w:pPr>
              <w:widowControl/>
              <w:jc w:val="center"/>
              <w:rPr>
                <w:color w:val="auto"/>
                <w:kern w:val="0"/>
                <w:sz w:val="18"/>
                <w:szCs w:val="18"/>
                <w:highlight w:val="none"/>
              </w:rPr>
            </w:pPr>
            <w:r>
              <w:rPr>
                <w:rFonts w:hAnsi="宋体"/>
                <w:color w:val="auto"/>
                <w:kern w:val="0"/>
                <w:sz w:val="18"/>
                <w:szCs w:val="18"/>
                <w:highlight w:val="none"/>
              </w:rPr>
              <w:t>　</w:t>
            </w:r>
          </w:p>
        </w:tc>
      </w:tr>
    </w:tbl>
    <w:p>
      <w:pPr>
        <w:pStyle w:val="2"/>
        <w:tabs>
          <w:tab w:val="left" w:pos="4529"/>
          <w:tab w:val="left" w:pos="7890"/>
          <w:tab w:val="left" w:pos="8416"/>
          <w:tab w:val="left" w:pos="9047"/>
        </w:tabs>
        <w:ind w:firstLine="224" w:firstLineChars="100"/>
        <w:rPr>
          <w:rFonts w:eastAsia="宋体"/>
          <w:color w:val="auto"/>
          <w:spacing w:val="-3"/>
          <w:highlight w:val="none"/>
        </w:rPr>
      </w:pPr>
    </w:p>
    <w:p>
      <w:pPr>
        <w:pStyle w:val="2"/>
        <w:tabs>
          <w:tab w:val="left" w:pos="4529"/>
          <w:tab w:val="left" w:pos="7890"/>
          <w:tab w:val="left" w:pos="8416"/>
          <w:tab w:val="left" w:pos="9047"/>
        </w:tabs>
        <w:ind w:firstLine="224" w:firstLineChars="100"/>
        <w:rPr>
          <w:rFonts w:eastAsia="宋体"/>
          <w:color w:val="auto"/>
          <w:spacing w:val="-3"/>
          <w:highlight w:val="none"/>
        </w:rPr>
      </w:pPr>
      <w:r>
        <w:rPr>
          <w:rFonts w:hAnsi="宋体" w:eastAsia="宋体"/>
          <w:color w:val="auto"/>
          <w:spacing w:val="-3"/>
          <w:highlight w:val="none"/>
        </w:rPr>
        <w:t>注：按施工方案计算的措施费，若无</w:t>
      </w:r>
      <w:r>
        <w:rPr>
          <w:rFonts w:eastAsia="宋体"/>
          <w:color w:val="auto"/>
          <w:spacing w:val="-3"/>
          <w:highlight w:val="none"/>
        </w:rPr>
        <w:t>“</w:t>
      </w:r>
      <w:r>
        <w:rPr>
          <w:rFonts w:hAnsi="宋体" w:eastAsia="宋体"/>
          <w:color w:val="auto"/>
          <w:spacing w:val="-3"/>
          <w:highlight w:val="none"/>
        </w:rPr>
        <w:t>计算基础</w:t>
      </w:r>
      <w:r>
        <w:rPr>
          <w:rFonts w:eastAsia="宋体"/>
          <w:color w:val="auto"/>
          <w:spacing w:val="-3"/>
          <w:highlight w:val="none"/>
        </w:rPr>
        <w:t>”</w:t>
      </w:r>
      <w:r>
        <w:rPr>
          <w:rFonts w:hAnsi="宋体" w:eastAsia="宋体"/>
          <w:color w:val="auto"/>
          <w:spacing w:val="-3"/>
          <w:highlight w:val="none"/>
        </w:rPr>
        <w:t>和</w:t>
      </w:r>
      <w:r>
        <w:rPr>
          <w:rFonts w:eastAsia="宋体"/>
          <w:color w:val="auto"/>
          <w:spacing w:val="-3"/>
          <w:highlight w:val="none"/>
        </w:rPr>
        <w:t>“</w:t>
      </w:r>
      <w:r>
        <w:rPr>
          <w:rFonts w:hAnsi="宋体" w:eastAsia="宋体"/>
          <w:color w:val="auto"/>
          <w:spacing w:val="-3"/>
          <w:highlight w:val="none"/>
        </w:rPr>
        <w:t>费率</w:t>
      </w:r>
      <w:r>
        <w:rPr>
          <w:rFonts w:eastAsia="宋体"/>
          <w:color w:val="auto"/>
          <w:spacing w:val="-3"/>
          <w:highlight w:val="none"/>
        </w:rPr>
        <w:t>”</w:t>
      </w:r>
      <w:r>
        <w:rPr>
          <w:rFonts w:hAnsi="宋体" w:eastAsia="宋体"/>
          <w:color w:val="auto"/>
          <w:spacing w:val="-3"/>
          <w:highlight w:val="none"/>
        </w:rPr>
        <w:t>的数值，也可只填</w:t>
      </w:r>
      <w:r>
        <w:rPr>
          <w:rFonts w:eastAsia="宋体"/>
          <w:color w:val="auto"/>
          <w:spacing w:val="-3"/>
          <w:highlight w:val="none"/>
        </w:rPr>
        <w:t>“</w:t>
      </w:r>
      <w:r>
        <w:rPr>
          <w:rFonts w:hAnsi="宋体" w:eastAsia="宋体"/>
          <w:color w:val="auto"/>
          <w:spacing w:val="-3"/>
          <w:highlight w:val="none"/>
        </w:rPr>
        <w:t>金额</w:t>
      </w:r>
      <w:r>
        <w:rPr>
          <w:rFonts w:eastAsia="宋体"/>
          <w:color w:val="auto"/>
          <w:spacing w:val="-3"/>
          <w:highlight w:val="none"/>
        </w:rPr>
        <w:t>”</w:t>
      </w:r>
      <w:r>
        <w:rPr>
          <w:rFonts w:hAnsi="宋体" w:eastAsia="宋体"/>
          <w:color w:val="auto"/>
          <w:spacing w:val="-3"/>
          <w:highlight w:val="none"/>
        </w:rPr>
        <w:t>数值，但应在备注栏说明施工方案出处或计算方法。</w:t>
      </w:r>
    </w:p>
    <w:p>
      <w:pPr>
        <w:spacing w:line="243" w:lineRule="exact"/>
        <w:jc w:val="right"/>
        <w:rPr>
          <w:color w:val="auto"/>
          <w:sz w:val="18"/>
          <w:szCs w:val="18"/>
          <w:highlight w:val="none"/>
        </w:rPr>
      </w:pPr>
    </w:p>
    <w:p>
      <w:pPr>
        <w:spacing w:line="243" w:lineRule="exact"/>
        <w:jc w:val="right"/>
        <w:rPr>
          <w:color w:val="auto"/>
          <w:sz w:val="18"/>
          <w:szCs w:val="18"/>
          <w:highlight w:val="none"/>
        </w:rPr>
      </w:pPr>
      <w:r>
        <w:rPr>
          <w:rFonts w:hAnsi="宋体"/>
          <w:color w:val="auto"/>
          <w:sz w:val="18"/>
          <w:szCs w:val="18"/>
          <w:highlight w:val="none"/>
        </w:rPr>
        <w:t>表</w:t>
      </w:r>
      <w:r>
        <w:rPr>
          <w:color w:val="auto"/>
          <w:sz w:val="18"/>
          <w:szCs w:val="18"/>
          <w:highlight w:val="none"/>
        </w:rPr>
        <w:t>-11</w:t>
      </w:r>
    </w:p>
    <w:p>
      <w:pPr>
        <w:spacing w:line="480" w:lineRule="auto"/>
        <w:jc w:val="center"/>
        <w:rPr>
          <w:b/>
          <w:color w:val="auto"/>
          <w:sz w:val="36"/>
          <w:szCs w:val="36"/>
          <w:highlight w:val="none"/>
        </w:rPr>
      </w:pPr>
      <w:r>
        <w:rPr>
          <w:rFonts w:hAnsi="宋体"/>
          <w:b/>
          <w:color w:val="auto"/>
          <w:sz w:val="36"/>
          <w:szCs w:val="36"/>
          <w:highlight w:val="none"/>
        </w:rPr>
        <w:t>其他项目清单与计价汇总表</w:t>
      </w:r>
    </w:p>
    <w:p>
      <w:pPr>
        <w:pStyle w:val="2"/>
        <w:tabs>
          <w:tab w:val="left" w:pos="4529"/>
          <w:tab w:val="left" w:pos="7890"/>
          <w:tab w:val="left" w:pos="8416"/>
          <w:tab w:val="left" w:pos="9047"/>
        </w:tabs>
        <w:ind w:firstLine="224" w:firstLineChars="100"/>
        <w:rPr>
          <w:rFonts w:eastAsia="宋体"/>
          <w:color w:val="auto"/>
          <w:spacing w:val="-3"/>
          <w:highlight w:val="none"/>
        </w:rPr>
      </w:pPr>
      <w:r>
        <w:rPr>
          <w:rFonts w:hAnsi="宋体" w:eastAsia="宋体"/>
          <w:color w:val="auto"/>
          <w:spacing w:val="-3"/>
          <w:highlight w:val="none"/>
        </w:rPr>
        <w:t>工程名称：</w:t>
      </w:r>
      <w:r>
        <w:rPr>
          <w:rFonts w:hint="eastAsia" w:hAnsi="宋体" w:eastAsia="宋体"/>
          <w:color w:val="auto"/>
          <w:spacing w:val="-3"/>
          <w:highlight w:val="none"/>
        </w:rPr>
        <w:t xml:space="preserve">       </w:t>
      </w:r>
      <w:r>
        <w:rPr>
          <w:rFonts w:hAnsi="宋体" w:eastAsia="宋体"/>
          <w:color w:val="auto"/>
          <w:spacing w:val="-3"/>
          <w:highlight w:val="none"/>
        </w:rPr>
        <w:t>标段：</w:t>
      </w:r>
      <w:r>
        <w:rPr>
          <w:rFonts w:hint="eastAsia" w:hAnsi="宋体" w:eastAsia="宋体"/>
          <w:color w:val="auto"/>
          <w:spacing w:val="-3"/>
          <w:highlight w:val="none"/>
        </w:rPr>
        <w:t xml:space="preserve">        </w:t>
      </w:r>
      <w:r>
        <w:rPr>
          <w:rFonts w:hAnsi="宋体" w:eastAsia="宋体"/>
          <w:color w:val="auto"/>
          <w:spacing w:val="-3"/>
          <w:highlight w:val="none"/>
        </w:rPr>
        <w:t>第</w:t>
      </w:r>
      <w:r>
        <w:rPr>
          <w:rFonts w:hint="eastAsia" w:hAnsi="宋体" w:eastAsia="宋体"/>
          <w:color w:val="auto"/>
          <w:spacing w:val="-3"/>
          <w:highlight w:val="none"/>
        </w:rPr>
        <w:t xml:space="preserve">    </w:t>
      </w:r>
      <w:r>
        <w:rPr>
          <w:rFonts w:hAnsi="宋体" w:eastAsia="宋体"/>
          <w:color w:val="auto"/>
          <w:spacing w:val="-3"/>
          <w:highlight w:val="none"/>
        </w:rPr>
        <w:t>页</w:t>
      </w:r>
      <w:r>
        <w:rPr>
          <w:rFonts w:hint="eastAsia" w:hAnsi="宋体" w:eastAsia="宋体"/>
          <w:color w:val="auto"/>
          <w:spacing w:val="-3"/>
          <w:highlight w:val="none"/>
        </w:rPr>
        <w:t xml:space="preserve">             </w:t>
      </w:r>
      <w:r>
        <w:rPr>
          <w:rFonts w:hAnsi="宋体" w:eastAsia="宋体"/>
          <w:color w:val="auto"/>
          <w:spacing w:val="-3"/>
          <w:highlight w:val="none"/>
        </w:rPr>
        <w:t>共</w:t>
      </w:r>
      <w:r>
        <w:rPr>
          <w:rFonts w:hint="eastAsia" w:hAnsi="宋体" w:eastAsia="宋体"/>
          <w:color w:val="auto"/>
          <w:spacing w:val="-3"/>
          <w:highlight w:val="none"/>
        </w:rPr>
        <w:t xml:space="preserve">     </w:t>
      </w:r>
      <w:r>
        <w:rPr>
          <w:rFonts w:hAnsi="宋体" w:eastAsia="宋体"/>
          <w:color w:val="auto"/>
          <w:spacing w:val="-3"/>
          <w:highlight w:val="none"/>
        </w:rPr>
        <w:t>页</w:t>
      </w:r>
    </w:p>
    <w:tbl>
      <w:tblPr>
        <w:tblStyle w:val="57"/>
        <w:tblW w:w="860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0"/>
        <w:gridCol w:w="2760"/>
        <w:gridCol w:w="1400"/>
        <w:gridCol w:w="1300"/>
        <w:gridCol w:w="2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0" w:type="dxa"/>
            <w:vMerge w:val="restart"/>
            <w:vAlign w:val="center"/>
          </w:tcPr>
          <w:p>
            <w:pPr>
              <w:jc w:val="center"/>
              <w:rPr>
                <w:color w:val="auto"/>
                <w:szCs w:val="21"/>
                <w:highlight w:val="none"/>
              </w:rPr>
            </w:pPr>
            <w:r>
              <w:rPr>
                <w:rFonts w:hAnsi="宋体"/>
                <w:color w:val="auto"/>
                <w:szCs w:val="21"/>
                <w:highlight w:val="none"/>
              </w:rPr>
              <w:t>序号</w:t>
            </w:r>
          </w:p>
        </w:tc>
        <w:tc>
          <w:tcPr>
            <w:tcW w:w="2760" w:type="dxa"/>
            <w:vMerge w:val="restart"/>
            <w:vAlign w:val="center"/>
          </w:tcPr>
          <w:p>
            <w:pPr>
              <w:jc w:val="center"/>
              <w:rPr>
                <w:color w:val="auto"/>
                <w:szCs w:val="21"/>
                <w:highlight w:val="none"/>
              </w:rPr>
            </w:pPr>
            <w:r>
              <w:rPr>
                <w:rFonts w:hAnsi="宋体"/>
                <w:color w:val="auto"/>
                <w:szCs w:val="21"/>
                <w:highlight w:val="none"/>
              </w:rPr>
              <w:t>项目名称</w:t>
            </w:r>
          </w:p>
        </w:tc>
        <w:tc>
          <w:tcPr>
            <w:tcW w:w="1400" w:type="dxa"/>
            <w:vMerge w:val="restart"/>
            <w:vAlign w:val="center"/>
          </w:tcPr>
          <w:p>
            <w:pPr>
              <w:jc w:val="center"/>
              <w:rPr>
                <w:color w:val="auto"/>
                <w:szCs w:val="21"/>
                <w:highlight w:val="none"/>
              </w:rPr>
            </w:pPr>
            <w:r>
              <w:rPr>
                <w:rFonts w:hAnsi="宋体"/>
                <w:color w:val="auto"/>
                <w:szCs w:val="21"/>
                <w:highlight w:val="none"/>
              </w:rPr>
              <w:t>计量单位</w:t>
            </w:r>
          </w:p>
        </w:tc>
        <w:tc>
          <w:tcPr>
            <w:tcW w:w="1300" w:type="dxa"/>
            <w:vMerge w:val="restart"/>
            <w:vAlign w:val="center"/>
          </w:tcPr>
          <w:p>
            <w:pPr>
              <w:jc w:val="center"/>
              <w:rPr>
                <w:color w:val="auto"/>
                <w:szCs w:val="21"/>
                <w:highlight w:val="none"/>
              </w:rPr>
            </w:pPr>
            <w:r>
              <w:rPr>
                <w:rFonts w:hAnsi="宋体"/>
                <w:color w:val="auto"/>
                <w:szCs w:val="21"/>
                <w:highlight w:val="none"/>
              </w:rPr>
              <w:t>金额（元）</w:t>
            </w:r>
          </w:p>
        </w:tc>
        <w:tc>
          <w:tcPr>
            <w:tcW w:w="2300" w:type="dxa"/>
            <w:vMerge w:val="restart"/>
            <w:vAlign w:val="center"/>
          </w:tcPr>
          <w:p>
            <w:pPr>
              <w:jc w:val="center"/>
              <w:rPr>
                <w:color w:val="auto"/>
                <w:szCs w:val="21"/>
                <w:highlight w:val="none"/>
              </w:rPr>
            </w:pPr>
            <w:r>
              <w:rPr>
                <w:rFonts w:hAnsi="宋体"/>
                <w:color w:val="auto"/>
                <w:szCs w:val="21"/>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840" w:type="dxa"/>
            <w:vMerge w:val="continue"/>
            <w:vAlign w:val="center"/>
          </w:tcPr>
          <w:p>
            <w:pPr>
              <w:jc w:val="center"/>
              <w:rPr>
                <w:color w:val="auto"/>
                <w:szCs w:val="21"/>
                <w:highlight w:val="none"/>
              </w:rPr>
            </w:pPr>
          </w:p>
        </w:tc>
        <w:tc>
          <w:tcPr>
            <w:tcW w:w="2760" w:type="dxa"/>
            <w:vMerge w:val="continue"/>
            <w:vAlign w:val="center"/>
          </w:tcPr>
          <w:p>
            <w:pPr>
              <w:rPr>
                <w:color w:val="auto"/>
                <w:szCs w:val="21"/>
                <w:highlight w:val="none"/>
              </w:rPr>
            </w:pPr>
          </w:p>
        </w:tc>
        <w:tc>
          <w:tcPr>
            <w:tcW w:w="1400" w:type="dxa"/>
            <w:vMerge w:val="continue"/>
            <w:vAlign w:val="center"/>
          </w:tcPr>
          <w:p>
            <w:pPr>
              <w:rPr>
                <w:color w:val="auto"/>
                <w:szCs w:val="21"/>
                <w:highlight w:val="none"/>
              </w:rPr>
            </w:pPr>
          </w:p>
        </w:tc>
        <w:tc>
          <w:tcPr>
            <w:tcW w:w="1300" w:type="dxa"/>
            <w:vMerge w:val="continue"/>
            <w:vAlign w:val="center"/>
          </w:tcPr>
          <w:p>
            <w:pPr>
              <w:rPr>
                <w:color w:val="auto"/>
                <w:szCs w:val="21"/>
                <w:highlight w:val="none"/>
              </w:rPr>
            </w:pPr>
          </w:p>
        </w:tc>
        <w:tc>
          <w:tcPr>
            <w:tcW w:w="2300" w:type="dxa"/>
            <w:vMerge w:val="continue"/>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840" w:type="dxa"/>
            <w:vAlign w:val="center"/>
          </w:tcPr>
          <w:p>
            <w:pPr>
              <w:jc w:val="center"/>
              <w:rPr>
                <w:color w:val="auto"/>
                <w:szCs w:val="21"/>
                <w:highlight w:val="none"/>
              </w:rPr>
            </w:pPr>
            <w:r>
              <w:rPr>
                <w:color w:val="auto"/>
                <w:szCs w:val="21"/>
                <w:highlight w:val="none"/>
              </w:rPr>
              <w:t>1</w:t>
            </w:r>
          </w:p>
        </w:tc>
        <w:tc>
          <w:tcPr>
            <w:tcW w:w="2760" w:type="dxa"/>
            <w:vAlign w:val="center"/>
          </w:tcPr>
          <w:p>
            <w:pPr>
              <w:rPr>
                <w:color w:val="auto"/>
                <w:szCs w:val="21"/>
                <w:highlight w:val="none"/>
              </w:rPr>
            </w:pPr>
            <w:r>
              <w:rPr>
                <w:rFonts w:hAnsi="宋体"/>
                <w:color w:val="auto"/>
                <w:szCs w:val="21"/>
                <w:highlight w:val="none"/>
              </w:rPr>
              <w:t>暂列金额</w:t>
            </w:r>
          </w:p>
        </w:tc>
        <w:tc>
          <w:tcPr>
            <w:tcW w:w="1400" w:type="dxa"/>
            <w:vAlign w:val="center"/>
          </w:tcPr>
          <w:p>
            <w:pPr>
              <w:rPr>
                <w:color w:val="auto"/>
                <w:szCs w:val="21"/>
                <w:highlight w:val="none"/>
              </w:rPr>
            </w:pPr>
          </w:p>
        </w:tc>
        <w:tc>
          <w:tcPr>
            <w:tcW w:w="1300" w:type="dxa"/>
            <w:vAlign w:val="center"/>
          </w:tcPr>
          <w:p>
            <w:pPr>
              <w:rPr>
                <w:color w:val="auto"/>
                <w:szCs w:val="21"/>
                <w:highlight w:val="none"/>
              </w:rPr>
            </w:pPr>
          </w:p>
        </w:tc>
        <w:tc>
          <w:tcPr>
            <w:tcW w:w="2300" w:type="dxa"/>
            <w:vAlign w:val="center"/>
          </w:tcPr>
          <w:p>
            <w:pPr>
              <w:jc w:val="center"/>
              <w:rPr>
                <w:color w:val="auto"/>
                <w:szCs w:val="21"/>
                <w:highlight w:val="none"/>
              </w:rPr>
            </w:pPr>
            <w:r>
              <w:rPr>
                <w:rFonts w:hAnsi="宋体"/>
                <w:color w:val="auto"/>
                <w:szCs w:val="21"/>
                <w:highlight w:val="none"/>
              </w:rPr>
              <w:t>明细详见</w:t>
            </w:r>
          </w:p>
          <w:p>
            <w:pPr>
              <w:jc w:val="center"/>
              <w:rPr>
                <w:color w:val="auto"/>
                <w:szCs w:val="21"/>
                <w:highlight w:val="none"/>
              </w:rPr>
            </w:pPr>
            <w:r>
              <w:rPr>
                <w:rFonts w:hAnsi="宋体"/>
                <w:color w:val="auto"/>
                <w:szCs w:val="21"/>
                <w:highlight w:val="none"/>
              </w:rPr>
              <w:t>表</w:t>
            </w:r>
            <w:r>
              <w:rPr>
                <w:color w:val="auto"/>
                <w:szCs w:val="21"/>
                <w:highlight w:val="none"/>
              </w:rPr>
              <w:t>—12—1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840" w:type="dxa"/>
            <w:vAlign w:val="center"/>
          </w:tcPr>
          <w:p>
            <w:pPr>
              <w:jc w:val="center"/>
              <w:rPr>
                <w:color w:val="auto"/>
                <w:szCs w:val="21"/>
                <w:highlight w:val="none"/>
              </w:rPr>
            </w:pPr>
            <w:r>
              <w:rPr>
                <w:color w:val="auto"/>
                <w:szCs w:val="21"/>
                <w:highlight w:val="none"/>
              </w:rPr>
              <w:t>2</w:t>
            </w:r>
          </w:p>
        </w:tc>
        <w:tc>
          <w:tcPr>
            <w:tcW w:w="2760" w:type="dxa"/>
            <w:vAlign w:val="center"/>
          </w:tcPr>
          <w:p>
            <w:pPr>
              <w:rPr>
                <w:color w:val="auto"/>
                <w:szCs w:val="21"/>
                <w:highlight w:val="none"/>
              </w:rPr>
            </w:pPr>
            <w:r>
              <w:rPr>
                <w:rFonts w:hAnsi="宋体"/>
                <w:color w:val="auto"/>
                <w:szCs w:val="21"/>
                <w:highlight w:val="none"/>
              </w:rPr>
              <w:t>暂估价</w:t>
            </w:r>
          </w:p>
        </w:tc>
        <w:tc>
          <w:tcPr>
            <w:tcW w:w="1400" w:type="dxa"/>
            <w:vAlign w:val="center"/>
          </w:tcPr>
          <w:p>
            <w:pPr>
              <w:rPr>
                <w:color w:val="auto"/>
                <w:szCs w:val="21"/>
                <w:highlight w:val="none"/>
              </w:rPr>
            </w:pPr>
          </w:p>
        </w:tc>
        <w:tc>
          <w:tcPr>
            <w:tcW w:w="1300" w:type="dxa"/>
            <w:vAlign w:val="center"/>
          </w:tcPr>
          <w:p>
            <w:pPr>
              <w:rPr>
                <w:color w:val="auto"/>
                <w:szCs w:val="21"/>
                <w:highlight w:val="none"/>
              </w:rPr>
            </w:pPr>
          </w:p>
        </w:tc>
        <w:tc>
          <w:tcPr>
            <w:tcW w:w="2300"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840" w:type="dxa"/>
            <w:vAlign w:val="center"/>
          </w:tcPr>
          <w:p>
            <w:pPr>
              <w:jc w:val="center"/>
              <w:rPr>
                <w:color w:val="auto"/>
                <w:szCs w:val="21"/>
                <w:highlight w:val="none"/>
              </w:rPr>
            </w:pPr>
            <w:r>
              <w:rPr>
                <w:color w:val="auto"/>
                <w:szCs w:val="21"/>
                <w:highlight w:val="none"/>
              </w:rPr>
              <w:t>2.1</w:t>
            </w:r>
          </w:p>
        </w:tc>
        <w:tc>
          <w:tcPr>
            <w:tcW w:w="2760" w:type="dxa"/>
            <w:vAlign w:val="center"/>
          </w:tcPr>
          <w:p>
            <w:pPr>
              <w:rPr>
                <w:color w:val="auto"/>
                <w:szCs w:val="21"/>
                <w:highlight w:val="none"/>
              </w:rPr>
            </w:pPr>
            <w:r>
              <w:rPr>
                <w:rFonts w:hAnsi="宋体"/>
                <w:color w:val="auto"/>
                <w:szCs w:val="21"/>
                <w:highlight w:val="none"/>
              </w:rPr>
              <w:t>材料（工程设备）暂估价</w:t>
            </w:r>
          </w:p>
        </w:tc>
        <w:tc>
          <w:tcPr>
            <w:tcW w:w="1400" w:type="dxa"/>
            <w:vAlign w:val="center"/>
          </w:tcPr>
          <w:p>
            <w:pPr>
              <w:rPr>
                <w:color w:val="auto"/>
                <w:szCs w:val="21"/>
                <w:highlight w:val="none"/>
              </w:rPr>
            </w:pPr>
          </w:p>
        </w:tc>
        <w:tc>
          <w:tcPr>
            <w:tcW w:w="1300" w:type="dxa"/>
            <w:vAlign w:val="center"/>
          </w:tcPr>
          <w:p>
            <w:pPr>
              <w:jc w:val="center"/>
              <w:rPr>
                <w:color w:val="auto"/>
                <w:szCs w:val="21"/>
                <w:highlight w:val="none"/>
              </w:rPr>
            </w:pPr>
            <w:r>
              <w:rPr>
                <w:color w:val="auto"/>
                <w:szCs w:val="21"/>
                <w:highlight w:val="none"/>
              </w:rPr>
              <w:t>—</w:t>
            </w:r>
          </w:p>
        </w:tc>
        <w:tc>
          <w:tcPr>
            <w:tcW w:w="2300" w:type="dxa"/>
            <w:vAlign w:val="center"/>
          </w:tcPr>
          <w:p>
            <w:pPr>
              <w:jc w:val="center"/>
              <w:rPr>
                <w:color w:val="auto"/>
                <w:szCs w:val="21"/>
                <w:highlight w:val="none"/>
              </w:rPr>
            </w:pPr>
            <w:r>
              <w:rPr>
                <w:rFonts w:hAnsi="宋体"/>
                <w:color w:val="auto"/>
                <w:szCs w:val="21"/>
                <w:highlight w:val="none"/>
              </w:rPr>
              <w:t>明细详见</w:t>
            </w:r>
          </w:p>
          <w:p>
            <w:pPr>
              <w:jc w:val="center"/>
              <w:rPr>
                <w:color w:val="auto"/>
                <w:szCs w:val="21"/>
                <w:highlight w:val="none"/>
              </w:rPr>
            </w:pPr>
            <w:r>
              <w:rPr>
                <w:rFonts w:hAnsi="宋体"/>
                <w:color w:val="auto"/>
                <w:szCs w:val="21"/>
                <w:highlight w:val="none"/>
              </w:rPr>
              <w:t>表</w:t>
            </w:r>
            <w:r>
              <w:rPr>
                <w:color w:val="auto"/>
                <w:szCs w:val="21"/>
                <w:highlight w:val="none"/>
              </w:rPr>
              <w:t>—12—2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840" w:type="dxa"/>
            <w:vAlign w:val="center"/>
          </w:tcPr>
          <w:p>
            <w:pPr>
              <w:jc w:val="center"/>
              <w:rPr>
                <w:color w:val="auto"/>
                <w:szCs w:val="21"/>
                <w:highlight w:val="none"/>
              </w:rPr>
            </w:pPr>
            <w:r>
              <w:rPr>
                <w:color w:val="auto"/>
                <w:szCs w:val="21"/>
                <w:highlight w:val="none"/>
              </w:rPr>
              <w:t>2.2</w:t>
            </w:r>
          </w:p>
        </w:tc>
        <w:tc>
          <w:tcPr>
            <w:tcW w:w="2760" w:type="dxa"/>
            <w:vAlign w:val="center"/>
          </w:tcPr>
          <w:p>
            <w:pPr>
              <w:rPr>
                <w:color w:val="auto"/>
                <w:szCs w:val="21"/>
                <w:highlight w:val="none"/>
              </w:rPr>
            </w:pPr>
            <w:r>
              <w:rPr>
                <w:rFonts w:hAnsi="宋体"/>
                <w:color w:val="auto"/>
                <w:szCs w:val="21"/>
                <w:highlight w:val="none"/>
              </w:rPr>
              <w:t>专业工程暂估价</w:t>
            </w:r>
          </w:p>
        </w:tc>
        <w:tc>
          <w:tcPr>
            <w:tcW w:w="1400" w:type="dxa"/>
            <w:vAlign w:val="center"/>
          </w:tcPr>
          <w:p>
            <w:pPr>
              <w:rPr>
                <w:color w:val="auto"/>
                <w:szCs w:val="21"/>
                <w:highlight w:val="none"/>
              </w:rPr>
            </w:pPr>
          </w:p>
        </w:tc>
        <w:tc>
          <w:tcPr>
            <w:tcW w:w="1300" w:type="dxa"/>
            <w:vAlign w:val="center"/>
          </w:tcPr>
          <w:p>
            <w:pPr>
              <w:rPr>
                <w:color w:val="auto"/>
                <w:szCs w:val="21"/>
                <w:highlight w:val="none"/>
              </w:rPr>
            </w:pPr>
          </w:p>
        </w:tc>
        <w:tc>
          <w:tcPr>
            <w:tcW w:w="2300" w:type="dxa"/>
            <w:vAlign w:val="center"/>
          </w:tcPr>
          <w:p>
            <w:pPr>
              <w:jc w:val="center"/>
              <w:rPr>
                <w:color w:val="auto"/>
                <w:szCs w:val="21"/>
                <w:highlight w:val="none"/>
              </w:rPr>
            </w:pPr>
            <w:r>
              <w:rPr>
                <w:rFonts w:hAnsi="宋体"/>
                <w:color w:val="auto"/>
                <w:szCs w:val="21"/>
                <w:highlight w:val="none"/>
              </w:rPr>
              <w:t>明细详见</w:t>
            </w:r>
          </w:p>
          <w:p>
            <w:pPr>
              <w:jc w:val="center"/>
              <w:rPr>
                <w:color w:val="auto"/>
                <w:szCs w:val="21"/>
                <w:highlight w:val="none"/>
              </w:rPr>
            </w:pPr>
            <w:r>
              <w:rPr>
                <w:rFonts w:hAnsi="宋体"/>
                <w:color w:val="auto"/>
                <w:szCs w:val="21"/>
                <w:highlight w:val="none"/>
              </w:rPr>
              <w:t>表</w:t>
            </w:r>
            <w:r>
              <w:rPr>
                <w:color w:val="auto"/>
                <w:szCs w:val="21"/>
                <w:highlight w:val="none"/>
              </w:rPr>
              <w:t>—12—3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840" w:type="dxa"/>
            <w:vAlign w:val="center"/>
          </w:tcPr>
          <w:p>
            <w:pPr>
              <w:jc w:val="center"/>
              <w:rPr>
                <w:color w:val="auto"/>
                <w:szCs w:val="21"/>
                <w:highlight w:val="none"/>
              </w:rPr>
            </w:pPr>
            <w:r>
              <w:rPr>
                <w:color w:val="auto"/>
                <w:szCs w:val="21"/>
                <w:highlight w:val="none"/>
              </w:rPr>
              <w:t>3</w:t>
            </w:r>
          </w:p>
        </w:tc>
        <w:tc>
          <w:tcPr>
            <w:tcW w:w="2760" w:type="dxa"/>
            <w:vAlign w:val="center"/>
          </w:tcPr>
          <w:p>
            <w:pPr>
              <w:rPr>
                <w:color w:val="auto"/>
                <w:szCs w:val="21"/>
                <w:highlight w:val="none"/>
              </w:rPr>
            </w:pPr>
            <w:r>
              <w:rPr>
                <w:rFonts w:hAnsi="宋体"/>
                <w:color w:val="auto"/>
                <w:szCs w:val="21"/>
                <w:highlight w:val="none"/>
              </w:rPr>
              <w:t>计日工</w:t>
            </w:r>
          </w:p>
        </w:tc>
        <w:tc>
          <w:tcPr>
            <w:tcW w:w="1400" w:type="dxa"/>
            <w:vAlign w:val="center"/>
          </w:tcPr>
          <w:p>
            <w:pPr>
              <w:rPr>
                <w:color w:val="auto"/>
                <w:szCs w:val="21"/>
                <w:highlight w:val="none"/>
              </w:rPr>
            </w:pPr>
          </w:p>
        </w:tc>
        <w:tc>
          <w:tcPr>
            <w:tcW w:w="1300" w:type="dxa"/>
            <w:vAlign w:val="center"/>
          </w:tcPr>
          <w:p>
            <w:pPr>
              <w:rPr>
                <w:color w:val="auto"/>
                <w:szCs w:val="21"/>
                <w:highlight w:val="none"/>
              </w:rPr>
            </w:pPr>
          </w:p>
        </w:tc>
        <w:tc>
          <w:tcPr>
            <w:tcW w:w="2300" w:type="dxa"/>
            <w:vAlign w:val="center"/>
          </w:tcPr>
          <w:p>
            <w:pPr>
              <w:jc w:val="center"/>
              <w:rPr>
                <w:color w:val="auto"/>
                <w:szCs w:val="21"/>
                <w:highlight w:val="none"/>
              </w:rPr>
            </w:pPr>
            <w:r>
              <w:rPr>
                <w:rFonts w:hAnsi="宋体"/>
                <w:color w:val="auto"/>
                <w:szCs w:val="21"/>
                <w:highlight w:val="none"/>
              </w:rPr>
              <w:t>明细详见</w:t>
            </w:r>
          </w:p>
          <w:p>
            <w:pPr>
              <w:jc w:val="center"/>
              <w:rPr>
                <w:color w:val="auto"/>
                <w:szCs w:val="21"/>
                <w:highlight w:val="none"/>
              </w:rPr>
            </w:pPr>
            <w:r>
              <w:rPr>
                <w:rFonts w:hAnsi="宋体"/>
                <w:color w:val="auto"/>
                <w:szCs w:val="21"/>
                <w:highlight w:val="none"/>
              </w:rPr>
              <w:t>表</w:t>
            </w:r>
            <w:r>
              <w:rPr>
                <w:color w:val="auto"/>
                <w:szCs w:val="21"/>
                <w:highlight w:val="none"/>
              </w:rPr>
              <w:t>—12—4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840" w:type="dxa"/>
            <w:vAlign w:val="center"/>
          </w:tcPr>
          <w:p>
            <w:pPr>
              <w:jc w:val="center"/>
              <w:rPr>
                <w:color w:val="auto"/>
                <w:szCs w:val="21"/>
                <w:highlight w:val="none"/>
              </w:rPr>
            </w:pPr>
            <w:r>
              <w:rPr>
                <w:color w:val="auto"/>
                <w:szCs w:val="21"/>
                <w:highlight w:val="none"/>
              </w:rPr>
              <w:t>4</w:t>
            </w:r>
          </w:p>
        </w:tc>
        <w:tc>
          <w:tcPr>
            <w:tcW w:w="2760" w:type="dxa"/>
            <w:vAlign w:val="center"/>
          </w:tcPr>
          <w:p>
            <w:pPr>
              <w:rPr>
                <w:color w:val="auto"/>
                <w:szCs w:val="21"/>
                <w:highlight w:val="none"/>
              </w:rPr>
            </w:pPr>
            <w:r>
              <w:rPr>
                <w:rFonts w:hAnsi="宋体"/>
                <w:color w:val="auto"/>
                <w:szCs w:val="21"/>
                <w:highlight w:val="none"/>
              </w:rPr>
              <w:t>总承包服务费</w:t>
            </w:r>
          </w:p>
        </w:tc>
        <w:tc>
          <w:tcPr>
            <w:tcW w:w="1400" w:type="dxa"/>
            <w:vAlign w:val="center"/>
          </w:tcPr>
          <w:p>
            <w:pPr>
              <w:rPr>
                <w:color w:val="auto"/>
                <w:szCs w:val="21"/>
                <w:highlight w:val="none"/>
              </w:rPr>
            </w:pPr>
          </w:p>
        </w:tc>
        <w:tc>
          <w:tcPr>
            <w:tcW w:w="1300" w:type="dxa"/>
            <w:vAlign w:val="center"/>
          </w:tcPr>
          <w:p>
            <w:pPr>
              <w:rPr>
                <w:color w:val="auto"/>
                <w:szCs w:val="21"/>
                <w:highlight w:val="none"/>
              </w:rPr>
            </w:pPr>
          </w:p>
        </w:tc>
        <w:tc>
          <w:tcPr>
            <w:tcW w:w="2300" w:type="dxa"/>
            <w:vAlign w:val="center"/>
          </w:tcPr>
          <w:p>
            <w:pPr>
              <w:jc w:val="center"/>
              <w:rPr>
                <w:color w:val="auto"/>
                <w:szCs w:val="21"/>
                <w:highlight w:val="none"/>
              </w:rPr>
            </w:pPr>
            <w:r>
              <w:rPr>
                <w:rFonts w:hAnsi="宋体"/>
                <w:color w:val="auto"/>
                <w:szCs w:val="21"/>
                <w:highlight w:val="none"/>
              </w:rPr>
              <w:t>明细详见</w:t>
            </w:r>
          </w:p>
          <w:p>
            <w:pPr>
              <w:jc w:val="center"/>
              <w:rPr>
                <w:color w:val="auto"/>
                <w:szCs w:val="21"/>
                <w:highlight w:val="none"/>
              </w:rPr>
            </w:pPr>
            <w:r>
              <w:rPr>
                <w:rFonts w:hAnsi="宋体"/>
                <w:color w:val="auto"/>
                <w:szCs w:val="21"/>
                <w:highlight w:val="none"/>
              </w:rPr>
              <w:t>表</w:t>
            </w:r>
            <w:r>
              <w:rPr>
                <w:color w:val="auto"/>
                <w:szCs w:val="21"/>
                <w:highlight w:val="none"/>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840" w:type="dxa"/>
            <w:vAlign w:val="center"/>
          </w:tcPr>
          <w:p>
            <w:pPr>
              <w:jc w:val="center"/>
              <w:rPr>
                <w:color w:val="auto"/>
                <w:szCs w:val="21"/>
                <w:highlight w:val="none"/>
              </w:rPr>
            </w:pPr>
            <w:r>
              <w:rPr>
                <w:color w:val="auto"/>
                <w:szCs w:val="21"/>
                <w:highlight w:val="none"/>
              </w:rPr>
              <w:t>5</w:t>
            </w:r>
          </w:p>
        </w:tc>
        <w:tc>
          <w:tcPr>
            <w:tcW w:w="2760" w:type="dxa"/>
            <w:vAlign w:val="center"/>
          </w:tcPr>
          <w:p>
            <w:pPr>
              <w:jc w:val="center"/>
              <w:rPr>
                <w:color w:val="auto"/>
                <w:szCs w:val="21"/>
                <w:highlight w:val="none"/>
              </w:rPr>
            </w:pPr>
          </w:p>
        </w:tc>
        <w:tc>
          <w:tcPr>
            <w:tcW w:w="1400" w:type="dxa"/>
            <w:vAlign w:val="center"/>
          </w:tcPr>
          <w:p>
            <w:pPr>
              <w:rPr>
                <w:color w:val="auto"/>
                <w:szCs w:val="21"/>
                <w:highlight w:val="none"/>
              </w:rPr>
            </w:pPr>
          </w:p>
        </w:tc>
        <w:tc>
          <w:tcPr>
            <w:tcW w:w="1300" w:type="dxa"/>
            <w:vAlign w:val="center"/>
          </w:tcPr>
          <w:p>
            <w:pPr>
              <w:rPr>
                <w:color w:val="auto"/>
                <w:szCs w:val="21"/>
                <w:highlight w:val="none"/>
              </w:rPr>
            </w:pPr>
          </w:p>
        </w:tc>
        <w:tc>
          <w:tcPr>
            <w:tcW w:w="2300"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840" w:type="dxa"/>
            <w:vAlign w:val="center"/>
          </w:tcPr>
          <w:p>
            <w:pPr>
              <w:jc w:val="center"/>
              <w:rPr>
                <w:color w:val="auto"/>
                <w:szCs w:val="21"/>
                <w:highlight w:val="none"/>
              </w:rPr>
            </w:pPr>
          </w:p>
        </w:tc>
        <w:tc>
          <w:tcPr>
            <w:tcW w:w="2760" w:type="dxa"/>
            <w:vAlign w:val="center"/>
          </w:tcPr>
          <w:p>
            <w:pPr>
              <w:jc w:val="center"/>
              <w:rPr>
                <w:color w:val="auto"/>
                <w:szCs w:val="21"/>
                <w:highlight w:val="none"/>
              </w:rPr>
            </w:pPr>
          </w:p>
        </w:tc>
        <w:tc>
          <w:tcPr>
            <w:tcW w:w="1400" w:type="dxa"/>
            <w:vAlign w:val="center"/>
          </w:tcPr>
          <w:p>
            <w:pPr>
              <w:rPr>
                <w:color w:val="auto"/>
                <w:szCs w:val="21"/>
                <w:highlight w:val="none"/>
              </w:rPr>
            </w:pPr>
          </w:p>
        </w:tc>
        <w:tc>
          <w:tcPr>
            <w:tcW w:w="1300" w:type="dxa"/>
            <w:vAlign w:val="center"/>
          </w:tcPr>
          <w:p>
            <w:pPr>
              <w:rPr>
                <w:color w:val="auto"/>
                <w:szCs w:val="21"/>
                <w:highlight w:val="none"/>
              </w:rPr>
            </w:pPr>
          </w:p>
        </w:tc>
        <w:tc>
          <w:tcPr>
            <w:tcW w:w="2300"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840" w:type="dxa"/>
            <w:vAlign w:val="center"/>
          </w:tcPr>
          <w:p>
            <w:pPr>
              <w:jc w:val="center"/>
              <w:rPr>
                <w:color w:val="auto"/>
                <w:szCs w:val="21"/>
                <w:highlight w:val="none"/>
              </w:rPr>
            </w:pPr>
          </w:p>
        </w:tc>
        <w:tc>
          <w:tcPr>
            <w:tcW w:w="2760" w:type="dxa"/>
            <w:vAlign w:val="center"/>
          </w:tcPr>
          <w:p>
            <w:pPr>
              <w:jc w:val="center"/>
              <w:rPr>
                <w:color w:val="auto"/>
                <w:szCs w:val="21"/>
                <w:highlight w:val="none"/>
              </w:rPr>
            </w:pPr>
          </w:p>
        </w:tc>
        <w:tc>
          <w:tcPr>
            <w:tcW w:w="1400" w:type="dxa"/>
            <w:vAlign w:val="center"/>
          </w:tcPr>
          <w:p>
            <w:pPr>
              <w:rPr>
                <w:color w:val="auto"/>
                <w:szCs w:val="21"/>
                <w:highlight w:val="none"/>
              </w:rPr>
            </w:pPr>
          </w:p>
        </w:tc>
        <w:tc>
          <w:tcPr>
            <w:tcW w:w="1300" w:type="dxa"/>
            <w:vAlign w:val="center"/>
          </w:tcPr>
          <w:p>
            <w:pPr>
              <w:rPr>
                <w:color w:val="auto"/>
                <w:szCs w:val="21"/>
                <w:highlight w:val="none"/>
              </w:rPr>
            </w:pPr>
          </w:p>
        </w:tc>
        <w:tc>
          <w:tcPr>
            <w:tcW w:w="2300"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840" w:type="dxa"/>
            <w:vAlign w:val="center"/>
          </w:tcPr>
          <w:p>
            <w:pPr>
              <w:jc w:val="center"/>
              <w:rPr>
                <w:color w:val="auto"/>
                <w:szCs w:val="21"/>
                <w:highlight w:val="none"/>
              </w:rPr>
            </w:pPr>
          </w:p>
        </w:tc>
        <w:tc>
          <w:tcPr>
            <w:tcW w:w="2760" w:type="dxa"/>
            <w:vAlign w:val="center"/>
          </w:tcPr>
          <w:p>
            <w:pPr>
              <w:jc w:val="center"/>
              <w:rPr>
                <w:color w:val="auto"/>
                <w:szCs w:val="21"/>
                <w:highlight w:val="none"/>
              </w:rPr>
            </w:pPr>
          </w:p>
        </w:tc>
        <w:tc>
          <w:tcPr>
            <w:tcW w:w="1400" w:type="dxa"/>
            <w:vAlign w:val="center"/>
          </w:tcPr>
          <w:p>
            <w:pPr>
              <w:rPr>
                <w:color w:val="auto"/>
                <w:szCs w:val="21"/>
                <w:highlight w:val="none"/>
              </w:rPr>
            </w:pPr>
          </w:p>
        </w:tc>
        <w:tc>
          <w:tcPr>
            <w:tcW w:w="1300" w:type="dxa"/>
            <w:vAlign w:val="center"/>
          </w:tcPr>
          <w:p>
            <w:pPr>
              <w:rPr>
                <w:color w:val="auto"/>
                <w:szCs w:val="21"/>
                <w:highlight w:val="none"/>
              </w:rPr>
            </w:pPr>
          </w:p>
        </w:tc>
        <w:tc>
          <w:tcPr>
            <w:tcW w:w="2300"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840" w:type="dxa"/>
            <w:vAlign w:val="center"/>
          </w:tcPr>
          <w:p>
            <w:pPr>
              <w:jc w:val="center"/>
              <w:rPr>
                <w:color w:val="auto"/>
                <w:szCs w:val="21"/>
                <w:highlight w:val="none"/>
              </w:rPr>
            </w:pPr>
          </w:p>
        </w:tc>
        <w:tc>
          <w:tcPr>
            <w:tcW w:w="2760" w:type="dxa"/>
            <w:vAlign w:val="center"/>
          </w:tcPr>
          <w:p>
            <w:pPr>
              <w:jc w:val="center"/>
              <w:rPr>
                <w:color w:val="auto"/>
                <w:szCs w:val="21"/>
                <w:highlight w:val="none"/>
              </w:rPr>
            </w:pPr>
          </w:p>
        </w:tc>
        <w:tc>
          <w:tcPr>
            <w:tcW w:w="1400" w:type="dxa"/>
            <w:vAlign w:val="center"/>
          </w:tcPr>
          <w:p>
            <w:pPr>
              <w:rPr>
                <w:color w:val="auto"/>
                <w:szCs w:val="21"/>
                <w:highlight w:val="none"/>
              </w:rPr>
            </w:pPr>
          </w:p>
        </w:tc>
        <w:tc>
          <w:tcPr>
            <w:tcW w:w="1300" w:type="dxa"/>
            <w:vAlign w:val="center"/>
          </w:tcPr>
          <w:p>
            <w:pPr>
              <w:rPr>
                <w:color w:val="auto"/>
                <w:szCs w:val="21"/>
                <w:highlight w:val="none"/>
              </w:rPr>
            </w:pPr>
          </w:p>
        </w:tc>
        <w:tc>
          <w:tcPr>
            <w:tcW w:w="2300"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840" w:type="dxa"/>
            <w:vAlign w:val="center"/>
          </w:tcPr>
          <w:p>
            <w:pPr>
              <w:jc w:val="center"/>
              <w:rPr>
                <w:color w:val="auto"/>
                <w:szCs w:val="21"/>
                <w:highlight w:val="none"/>
              </w:rPr>
            </w:pPr>
          </w:p>
        </w:tc>
        <w:tc>
          <w:tcPr>
            <w:tcW w:w="2760" w:type="dxa"/>
            <w:vAlign w:val="center"/>
          </w:tcPr>
          <w:p>
            <w:pPr>
              <w:jc w:val="center"/>
              <w:rPr>
                <w:color w:val="auto"/>
                <w:szCs w:val="21"/>
                <w:highlight w:val="none"/>
              </w:rPr>
            </w:pPr>
          </w:p>
        </w:tc>
        <w:tc>
          <w:tcPr>
            <w:tcW w:w="1400" w:type="dxa"/>
            <w:vAlign w:val="center"/>
          </w:tcPr>
          <w:p>
            <w:pPr>
              <w:rPr>
                <w:color w:val="auto"/>
                <w:szCs w:val="21"/>
                <w:highlight w:val="none"/>
              </w:rPr>
            </w:pPr>
          </w:p>
        </w:tc>
        <w:tc>
          <w:tcPr>
            <w:tcW w:w="1300" w:type="dxa"/>
            <w:vAlign w:val="center"/>
          </w:tcPr>
          <w:p>
            <w:pPr>
              <w:rPr>
                <w:color w:val="auto"/>
                <w:szCs w:val="21"/>
                <w:highlight w:val="none"/>
              </w:rPr>
            </w:pPr>
          </w:p>
        </w:tc>
        <w:tc>
          <w:tcPr>
            <w:tcW w:w="2300"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840" w:type="dxa"/>
            <w:vAlign w:val="center"/>
          </w:tcPr>
          <w:p>
            <w:pPr>
              <w:jc w:val="center"/>
              <w:rPr>
                <w:color w:val="auto"/>
                <w:szCs w:val="21"/>
                <w:highlight w:val="none"/>
              </w:rPr>
            </w:pPr>
          </w:p>
        </w:tc>
        <w:tc>
          <w:tcPr>
            <w:tcW w:w="2760" w:type="dxa"/>
            <w:vAlign w:val="center"/>
          </w:tcPr>
          <w:p>
            <w:pPr>
              <w:ind w:firstLine="310" w:firstLineChars="148"/>
              <w:jc w:val="center"/>
              <w:rPr>
                <w:color w:val="auto"/>
                <w:szCs w:val="21"/>
                <w:highlight w:val="none"/>
              </w:rPr>
            </w:pPr>
          </w:p>
        </w:tc>
        <w:tc>
          <w:tcPr>
            <w:tcW w:w="1400" w:type="dxa"/>
            <w:vAlign w:val="center"/>
          </w:tcPr>
          <w:p>
            <w:pPr>
              <w:ind w:firstLine="310" w:firstLineChars="148"/>
              <w:rPr>
                <w:color w:val="auto"/>
                <w:szCs w:val="21"/>
                <w:highlight w:val="none"/>
              </w:rPr>
            </w:pPr>
          </w:p>
        </w:tc>
        <w:tc>
          <w:tcPr>
            <w:tcW w:w="1300" w:type="dxa"/>
            <w:vAlign w:val="center"/>
          </w:tcPr>
          <w:p>
            <w:pPr>
              <w:ind w:firstLine="310" w:firstLineChars="148"/>
              <w:rPr>
                <w:color w:val="auto"/>
                <w:szCs w:val="21"/>
                <w:highlight w:val="none"/>
              </w:rPr>
            </w:pPr>
          </w:p>
        </w:tc>
        <w:tc>
          <w:tcPr>
            <w:tcW w:w="2300" w:type="dxa"/>
            <w:vAlign w:val="center"/>
          </w:tcPr>
          <w:p>
            <w:pPr>
              <w:ind w:firstLine="310" w:firstLineChars="148"/>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6300" w:type="dxa"/>
            <w:gridSpan w:val="4"/>
            <w:vAlign w:val="center"/>
          </w:tcPr>
          <w:p>
            <w:pPr>
              <w:jc w:val="center"/>
              <w:rPr>
                <w:color w:val="auto"/>
                <w:szCs w:val="21"/>
                <w:highlight w:val="none"/>
              </w:rPr>
            </w:pPr>
            <w:r>
              <w:rPr>
                <w:rFonts w:hAnsi="宋体"/>
                <w:color w:val="auto"/>
                <w:szCs w:val="21"/>
                <w:highlight w:val="none"/>
              </w:rPr>
              <w:t>合计</w:t>
            </w:r>
          </w:p>
        </w:tc>
        <w:tc>
          <w:tcPr>
            <w:tcW w:w="2300" w:type="dxa"/>
            <w:vAlign w:val="center"/>
          </w:tcPr>
          <w:p>
            <w:pPr>
              <w:rPr>
                <w:color w:val="auto"/>
                <w:szCs w:val="21"/>
                <w:highlight w:val="none"/>
              </w:rPr>
            </w:pPr>
          </w:p>
        </w:tc>
      </w:tr>
    </w:tbl>
    <w:p>
      <w:pPr>
        <w:rPr>
          <w:color w:val="auto"/>
          <w:sz w:val="18"/>
          <w:szCs w:val="18"/>
          <w:highlight w:val="none"/>
        </w:rPr>
      </w:pPr>
      <w:r>
        <w:rPr>
          <w:rFonts w:hAnsi="宋体"/>
          <w:color w:val="auto"/>
          <w:sz w:val="18"/>
          <w:szCs w:val="18"/>
          <w:highlight w:val="none"/>
        </w:rPr>
        <w:t>注：材料（工程设备）暂估单价进入清单项目综合单价，此处不汇总。</w:t>
      </w:r>
    </w:p>
    <w:p>
      <w:pPr>
        <w:jc w:val="right"/>
        <w:rPr>
          <w:color w:val="auto"/>
          <w:sz w:val="18"/>
          <w:szCs w:val="18"/>
          <w:highlight w:val="none"/>
        </w:rPr>
      </w:pPr>
    </w:p>
    <w:p>
      <w:pPr>
        <w:jc w:val="right"/>
        <w:rPr>
          <w:color w:val="auto"/>
          <w:sz w:val="18"/>
          <w:szCs w:val="18"/>
          <w:highlight w:val="none"/>
        </w:rPr>
      </w:pPr>
    </w:p>
    <w:p>
      <w:pPr>
        <w:jc w:val="right"/>
        <w:rPr>
          <w:color w:val="auto"/>
          <w:sz w:val="18"/>
          <w:szCs w:val="18"/>
          <w:highlight w:val="none"/>
        </w:rPr>
      </w:pPr>
      <w:r>
        <w:rPr>
          <w:rFonts w:hAnsi="宋体"/>
          <w:color w:val="auto"/>
          <w:sz w:val="18"/>
          <w:szCs w:val="18"/>
          <w:highlight w:val="none"/>
        </w:rPr>
        <w:t>表</w:t>
      </w:r>
      <w:r>
        <w:rPr>
          <w:color w:val="auto"/>
          <w:sz w:val="18"/>
          <w:szCs w:val="18"/>
          <w:highlight w:val="none"/>
        </w:rPr>
        <w:t>—12</w:t>
      </w:r>
    </w:p>
    <w:p>
      <w:pPr>
        <w:rPr>
          <w:color w:val="auto"/>
          <w:sz w:val="24"/>
          <w:highlight w:val="none"/>
        </w:rPr>
      </w:pPr>
    </w:p>
    <w:p>
      <w:pPr>
        <w:spacing w:line="480" w:lineRule="auto"/>
        <w:jc w:val="center"/>
        <w:rPr>
          <w:b/>
          <w:color w:val="auto"/>
          <w:sz w:val="36"/>
          <w:szCs w:val="36"/>
          <w:highlight w:val="none"/>
        </w:rPr>
      </w:pPr>
      <w:r>
        <w:rPr>
          <w:rFonts w:hAnsi="宋体"/>
          <w:b/>
          <w:color w:val="auto"/>
          <w:sz w:val="36"/>
          <w:szCs w:val="36"/>
          <w:highlight w:val="none"/>
        </w:rPr>
        <w:t>暂列金额明细表</w:t>
      </w:r>
    </w:p>
    <w:p>
      <w:pPr>
        <w:pStyle w:val="2"/>
        <w:tabs>
          <w:tab w:val="left" w:pos="4529"/>
          <w:tab w:val="left" w:pos="7890"/>
          <w:tab w:val="left" w:pos="8416"/>
          <w:tab w:val="left" w:pos="9047"/>
        </w:tabs>
        <w:ind w:firstLine="224" w:firstLineChars="100"/>
        <w:rPr>
          <w:rFonts w:eastAsia="宋体"/>
          <w:color w:val="auto"/>
          <w:spacing w:val="-3"/>
          <w:highlight w:val="none"/>
        </w:rPr>
      </w:pPr>
      <w:r>
        <w:rPr>
          <w:rFonts w:hAnsi="宋体" w:eastAsia="宋体"/>
          <w:color w:val="auto"/>
          <w:spacing w:val="-3"/>
          <w:highlight w:val="none"/>
        </w:rPr>
        <w:t>工程名称：</w:t>
      </w:r>
      <w:r>
        <w:rPr>
          <w:rFonts w:hint="eastAsia" w:hAnsi="宋体" w:eastAsia="宋体"/>
          <w:color w:val="auto"/>
          <w:spacing w:val="-3"/>
          <w:highlight w:val="none"/>
        </w:rPr>
        <w:t xml:space="preserve">          </w:t>
      </w:r>
      <w:r>
        <w:rPr>
          <w:rFonts w:hAnsi="宋体" w:eastAsia="宋体"/>
          <w:color w:val="auto"/>
          <w:spacing w:val="-3"/>
          <w:highlight w:val="none"/>
        </w:rPr>
        <w:t>标段：</w:t>
      </w:r>
      <w:r>
        <w:rPr>
          <w:rFonts w:hint="eastAsia" w:hAnsi="宋体" w:eastAsia="宋体"/>
          <w:color w:val="auto"/>
          <w:spacing w:val="-3"/>
          <w:highlight w:val="none"/>
        </w:rPr>
        <w:t xml:space="preserve">          </w:t>
      </w:r>
      <w:r>
        <w:rPr>
          <w:rFonts w:hAnsi="宋体" w:eastAsia="宋体"/>
          <w:color w:val="auto"/>
          <w:spacing w:val="-3"/>
          <w:highlight w:val="none"/>
        </w:rPr>
        <w:t>第页</w:t>
      </w:r>
      <w:r>
        <w:rPr>
          <w:rFonts w:hint="eastAsia" w:hAnsi="宋体" w:eastAsia="宋体"/>
          <w:color w:val="auto"/>
          <w:spacing w:val="-3"/>
          <w:highlight w:val="none"/>
        </w:rPr>
        <w:t xml:space="preserve">           </w:t>
      </w:r>
      <w:r>
        <w:rPr>
          <w:rFonts w:hAnsi="宋体" w:eastAsia="宋体"/>
          <w:color w:val="auto"/>
          <w:spacing w:val="-3"/>
          <w:highlight w:val="none"/>
        </w:rPr>
        <w:t>共页</w:t>
      </w:r>
    </w:p>
    <w:tbl>
      <w:tblPr>
        <w:tblStyle w:val="57"/>
        <w:tblW w:w="8843"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4"/>
        <w:gridCol w:w="3376"/>
        <w:gridCol w:w="1508"/>
        <w:gridCol w:w="1608"/>
        <w:gridCol w:w="15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844" w:type="dxa"/>
            <w:vMerge w:val="restart"/>
            <w:vAlign w:val="center"/>
          </w:tcPr>
          <w:p>
            <w:pPr>
              <w:jc w:val="center"/>
              <w:rPr>
                <w:color w:val="auto"/>
                <w:szCs w:val="21"/>
                <w:highlight w:val="none"/>
              </w:rPr>
            </w:pPr>
            <w:r>
              <w:rPr>
                <w:rFonts w:hAnsi="宋体"/>
                <w:color w:val="auto"/>
                <w:szCs w:val="21"/>
                <w:highlight w:val="none"/>
              </w:rPr>
              <w:t>序号</w:t>
            </w:r>
          </w:p>
        </w:tc>
        <w:tc>
          <w:tcPr>
            <w:tcW w:w="3376" w:type="dxa"/>
            <w:vMerge w:val="restart"/>
            <w:vAlign w:val="center"/>
          </w:tcPr>
          <w:p>
            <w:pPr>
              <w:jc w:val="center"/>
              <w:rPr>
                <w:color w:val="auto"/>
                <w:szCs w:val="21"/>
                <w:highlight w:val="none"/>
              </w:rPr>
            </w:pPr>
            <w:r>
              <w:rPr>
                <w:rFonts w:hAnsi="宋体"/>
                <w:color w:val="auto"/>
                <w:szCs w:val="21"/>
                <w:highlight w:val="none"/>
              </w:rPr>
              <w:t>项目名称</w:t>
            </w:r>
          </w:p>
        </w:tc>
        <w:tc>
          <w:tcPr>
            <w:tcW w:w="1508" w:type="dxa"/>
            <w:vMerge w:val="restart"/>
            <w:vAlign w:val="center"/>
          </w:tcPr>
          <w:p>
            <w:pPr>
              <w:jc w:val="center"/>
              <w:rPr>
                <w:color w:val="auto"/>
                <w:szCs w:val="21"/>
                <w:highlight w:val="none"/>
              </w:rPr>
            </w:pPr>
            <w:r>
              <w:rPr>
                <w:rFonts w:hAnsi="宋体"/>
                <w:color w:val="auto"/>
                <w:szCs w:val="21"/>
                <w:highlight w:val="none"/>
              </w:rPr>
              <w:t>计量单位</w:t>
            </w:r>
          </w:p>
        </w:tc>
        <w:tc>
          <w:tcPr>
            <w:tcW w:w="1608" w:type="dxa"/>
            <w:vMerge w:val="restart"/>
            <w:vAlign w:val="center"/>
          </w:tcPr>
          <w:p>
            <w:pPr>
              <w:jc w:val="center"/>
              <w:rPr>
                <w:color w:val="auto"/>
                <w:szCs w:val="21"/>
                <w:highlight w:val="none"/>
              </w:rPr>
            </w:pPr>
            <w:r>
              <w:rPr>
                <w:rFonts w:hAnsi="宋体"/>
                <w:color w:val="auto"/>
                <w:szCs w:val="21"/>
                <w:highlight w:val="none"/>
              </w:rPr>
              <w:t>暂定金额（元）</w:t>
            </w:r>
          </w:p>
        </w:tc>
        <w:tc>
          <w:tcPr>
            <w:tcW w:w="1507" w:type="dxa"/>
            <w:vMerge w:val="restart"/>
            <w:vAlign w:val="center"/>
          </w:tcPr>
          <w:p>
            <w:pPr>
              <w:jc w:val="center"/>
              <w:rPr>
                <w:color w:val="auto"/>
                <w:szCs w:val="21"/>
                <w:highlight w:val="none"/>
              </w:rPr>
            </w:pPr>
            <w:r>
              <w:rPr>
                <w:rFonts w:hAnsi="宋体"/>
                <w:color w:val="auto"/>
                <w:szCs w:val="21"/>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844" w:type="dxa"/>
            <w:vMerge w:val="continue"/>
            <w:vAlign w:val="center"/>
          </w:tcPr>
          <w:p>
            <w:pPr>
              <w:jc w:val="center"/>
              <w:rPr>
                <w:color w:val="auto"/>
                <w:szCs w:val="21"/>
                <w:highlight w:val="none"/>
              </w:rPr>
            </w:pPr>
          </w:p>
        </w:tc>
        <w:tc>
          <w:tcPr>
            <w:tcW w:w="3376" w:type="dxa"/>
            <w:vMerge w:val="continue"/>
            <w:vAlign w:val="center"/>
          </w:tcPr>
          <w:p>
            <w:pPr>
              <w:rPr>
                <w:color w:val="auto"/>
                <w:szCs w:val="21"/>
                <w:highlight w:val="none"/>
              </w:rPr>
            </w:pPr>
          </w:p>
        </w:tc>
        <w:tc>
          <w:tcPr>
            <w:tcW w:w="1508" w:type="dxa"/>
            <w:vMerge w:val="continue"/>
            <w:vAlign w:val="center"/>
          </w:tcPr>
          <w:p>
            <w:pPr>
              <w:rPr>
                <w:color w:val="auto"/>
                <w:szCs w:val="21"/>
                <w:highlight w:val="none"/>
              </w:rPr>
            </w:pPr>
          </w:p>
        </w:tc>
        <w:tc>
          <w:tcPr>
            <w:tcW w:w="1608" w:type="dxa"/>
            <w:vMerge w:val="continue"/>
            <w:vAlign w:val="center"/>
          </w:tcPr>
          <w:p>
            <w:pPr>
              <w:rPr>
                <w:color w:val="auto"/>
                <w:szCs w:val="21"/>
                <w:highlight w:val="none"/>
              </w:rPr>
            </w:pPr>
          </w:p>
        </w:tc>
        <w:tc>
          <w:tcPr>
            <w:tcW w:w="1507" w:type="dxa"/>
            <w:vMerge w:val="continue"/>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trPr>
        <w:tc>
          <w:tcPr>
            <w:tcW w:w="844" w:type="dxa"/>
            <w:vAlign w:val="center"/>
          </w:tcPr>
          <w:p>
            <w:pPr>
              <w:jc w:val="center"/>
              <w:rPr>
                <w:color w:val="auto"/>
                <w:szCs w:val="21"/>
                <w:highlight w:val="none"/>
              </w:rPr>
            </w:pPr>
            <w:r>
              <w:rPr>
                <w:color w:val="auto"/>
                <w:szCs w:val="21"/>
                <w:highlight w:val="none"/>
              </w:rPr>
              <w:t>1</w:t>
            </w:r>
          </w:p>
        </w:tc>
        <w:tc>
          <w:tcPr>
            <w:tcW w:w="3376" w:type="dxa"/>
            <w:vAlign w:val="center"/>
          </w:tcPr>
          <w:p>
            <w:pPr>
              <w:rPr>
                <w:color w:val="auto"/>
                <w:szCs w:val="21"/>
                <w:highlight w:val="none"/>
              </w:rPr>
            </w:pPr>
          </w:p>
        </w:tc>
        <w:tc>
          <w:tcPr>
            <w:tcW w:w="1508" w:type="dxa"/>
            <w:vAlign w:val="center"/>
          </w:tcPr>
          <w:p>
            <w:pPr>
              <w:rPr>
                <w:color w:val="auto"/>
                <w:szCs w:val="21"/>
                <w:highlight w:val="none"/>
              </w:rPr>
            </w:pPr>
          </w:p>
        </w:tc>
        <w:tc>
          <w:tcPr>
            <w:tcW w:w="1608" w:type="dxa"/>
            <w:vAlign w:val="center"/>
          </w:tcPr>
          <w:p>
            <w:pPr>
              <w:rPr>
                <w:color w:val="auto"/>
                <w:szCs w:val="21"/>
                <w:highlight w:val="none"/>
              </w:rPr>
            </w:pPr>
          </w:p>
        </w:tc>
        <w:tc>
          <w:tcPr>
            <w:tcW w:w="1507"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trPr>
        <w:tc>
          <w:tcPr>
            <w:tcW w:w="844" w:type="dxa"/>
            <w:vAlign w:val="center"/>
          </w:tcPr>
          <w:p>
            <w:pPr>
              <w:jc w:val="center"/>
              <w:rPr>
                <w:color w:val="auto"/>
                <w:szCs w:val="21"/>
                <w:highlight w:val="none"/>
              </w:rPr>
            </w:pPr>
            <w:r>
              <w:rPr>
                <w:color w:val="auto"/>
                <w:szCs w:val="21"/>
                <w:highlight w:val="none"/>
              </w:rPr>
              <w:t>2</w:t>
            </w:r>
          </w:p>
        </w:tc>
        <w:tc>
          <w:tcPr>
            <w:tcW w:w="3376" w:type="dxa"/>
            <w:vAlign w:val="center"/>
          </w:tcPr>
          <w:p>
            <w:pPr>
              <w:rPr>
                <w:color w:val="auto"/>
                <w:szCs w:val="21"/>
                <w:highlight w:val="none"/>
              </w:rPr>
            </w:pPr>
          </w:p>
        </w:tc>
        <w:tc>
          <w:tcPr>
            <w:tcW w:w="1508" w:type="dxa"/>
            <w:vAlign w:val="center"/>
          </w:tcPr>
          <w:p>
            <w:pPr>
              <w:rPr>
                <w:color w:val="auto"/>
                <w:szCs w:val="21"/>
                <w:highlight w:val="none"/>
              </w:rPr>
            </w:pPr>
          </w:p>
        </w:tc>
        <w:tc>
          <w:tcPr>
            <w:tcW w:w="1608" w:type="dxa"/>
            <w:vAlign w:val="center"/>
          </w:tcPr>
          <w:p>
            <w:pPr>
              <w:rPr>
                <w:color w:val="auto"/>
                <w:szCs w:val="21"/>
                <w:highlight w:val="none"/>
              </w:rPr>
            </w:pPr>
          </w:p>
        </w:tc>
        <w:tc>
          <w:tcPr>
            <w:tcW w:w="1507"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trPr>
        <w:tc>
          <w:tcPr>
            <w:tcW w:w="844" w:type="dxa"/>
            <w:vAlign w:val="center"/>
          </w:tcPr>
          <w:p>
            <w:pPr>
              <w:jc w:val="center"/>
              <w:rPr>
                <w:color w:val="auto"/>
                <w:szCs w:val="21"/>
                <w:highlight w:val="none"/>
              </w:rPr>
            </w:pPr>
            <w:r>
              <w:rPr>
                <w:color w:val="auto"/>
                <w:szCs w:val="21"/>
                <w:highlight w:val="none"/>
              </w:rPr>
              <w:t>3</w:t>
            </w:r>
          </w:p>
        </w:tc>
        <w:tc>
          <w:tcPr>
            <w:tcW w:w="3376" w:type="dxa"/>
            <w:vAlign w:val="center"/>
          </w:tcPr>
          <w:p>
            <w:pPr>
              <w:ind w:firstLine="415" w:firstLineChars="198"/>
              <w:rPr>
                <w:color w:val="auto"/>
                <w:szCs w:val="21"/>
                <w:highlight w:val="none"/>
              </w:rPr>
            </w:pPr>
          </w:p>
        </w:tc>
        <w:tc>
          <w:tcPr>
            <w:tcW w:w="1508" w:type="dxa"/>
            <w:vAlign w:val="center"/>
          </w:tcPr>
          <w:p>
            <w:pPr>
              <w:rPr>
                <w:color w:val="auto"/>
                <w:szCs w:val="21"/>
                <w:highlight w:val="none"/>
              </w:rPr>
            </w:pPr>
          </w:p>
        </w:tc>
        <w:tc>
          <w:tcPr>
            <w:tcW w:w="1608" w:type="dxa"/>
            <w:vAlign w:val="center"/>
          </w:tcPr>
          <w:p>
            <w:pPr>
              <w:rPr>
                <w:color w:val="auto"/>
                <w:szCs w:val="21"/>
                <w:highlight w:val="none"/>
              </w:rPr>
            </w:pPr>
          </w:p>
        </w:tc>
        <w:tc>
          <w:tcPr>
            <w:tcW w:w="1507"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trPr>
        <w:tc>
          <w:tcPr>
            <w:tcW w:w="844" w:type="dxa"/>
            <w:vAlign w:val="center"/>
          </w:tcPr>
          <w:p>
            <w:pPr>
              <w:jc w:val="center"/>
              <w:rPr>
                <w:color w:val="auto"/>
                <w:szCs w:val="21"/>
                <w:highlight w:val="none"/>
              </w:rPr>
            </w:pPr>
            <w:r>
              <w:rPr>
                <w:color w:val="auto"/>
                <w:szCs w:val="21"/>
                <w:highlight w:val="none"/>
              </w:rPr>
              <w:t>4</w:t>
            </w:r>
          </w:p>
        </w:tc>
        <w:tc>
          <w:tcPr>
            <w:tcW w:w="3376" w:type="dxa"/>
            <w:vAlign w:val="center"/>
          </w:tcPr>
          <w:p>
            <w:pPr>
              <w:ind w:firstLine="415" w:firstLineChars="198"/>
              <w:rPr>
                <w:color w:val="auto"/>
                <w:szCs w:val="21"/>
                <w:highlight w:val="none"/>
              </w:rPr>
            </w:pPr>
          </w:p>
        </w:tc>
        <w:tc>
          <w:tcPr>
            <w:tcW w:w="1508" w:type="dxa"/>
            <w:vAlign w:val="center"/>
          </w:tcPr>
          <w:p>
            <w:pPr>
              <w:rPr>
                <w:color w:val="auto"/>
                <w:szCs w:val="21"/>
                <w:highlight w:val="none"/>
              </w:rPr>
            </w:pPr>
          </w:p>
        </w:tc>
        <w:tc>
          <w:tcPr>
            <w:tcW w:w="1608" w:type="dxa"/>
            <w:vAlign w:val="center"/>
          </w:tcPr>
          <w:p>
            <w:pPr>
              <w:rPr>
                <w:color w:val="auto"/>
                <w:szCs w:val="21"/>
                <w:highlight w:val="none"/>
              </w:rPr>
            </w:pPr>
          </w:p>
        </w:tc>
        <w:tc>
          <w:tcPr>
            <w:tcW w:w="1507"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trPr>
        <w:tc>
          <w:tcPr>
            <w:tcW w:w="844" w:type="dxa"/>
            <w:vAlign w:val="center"/>
          </w:tcPr>
          <w:p>
            <w:pPr>
              <w:jc w:val="center"/>
              <w:rPr>
                <w:color w:val="auto"/>
                <w:szCs w:val="21"/>
                <w:highlight w:val="none"/>
              </w:rPr>
            </w:pPr>
            <w:r>
              <w:rPr>
                <w:color w:val="auto"/>
                <w:szCs w:val="21"/>
                <w:highlight w:val="none"/>
              </w:rPr>
              <w:t>5</w:t>
            </w:r>
          </w:p>
        </w:tc>
        <w:tc>
          <w:tcPr>
            <w:tcW w:w="3376" w:type="dxa"/>
            <w:vAlign w:val="center"/>
          </w:tcPr>
          <w:p>
            <w:pPr>
              <w:rPr>
                <w:color w:val="auto"/>
                <w:szCs w:val="21"/>
                <w:highlight w:val="none"/>
              </w:rPr>
            </w:pPr>
          </w:p>
        </w:tc>
        <w:tc>
          <w:tcPr>
            <w:tcW w:w="1508" w:type="dxa"/>
            <w:vAlign w:val="center"/>
          </w:tcPr>
          <w:p>
            <w:pPr>
              <w:rPr>
                <w:color w:val="auto"/>
                <w:szCs w:val="21"/>
                <w:highlight w:val="none"/>
              </w:rPr>
            </w:pPr>
          </w:p>
        </w:tc>
        <w:tc>
          <w:tcPr>
            <w:tcW w:w="1608" w:type="dxa"/>
            <w:vAlign w:val="center"/>
          </w:tcPr>
          <w:p>
            <w:pPr>
              <w:rPr>
                <w:color w:val="auto"/>
                <w:szCs w:val="21"/>
                <w:highlight w:val="none"/>
              </w:rPr>
            </w:pPr>
          </w:p>
        </w:tc>
        <w:tc>
          <w:tcPr>
            <w:tcW w:w="1507"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trPr>
        <w:tc>
          <w:tcPr>
            <w:tcW w:w="844" w:type="dxa"/>
            <w:vAlign w:val="center"/>
          </w:tcPr>
          <w:p>
            <w:pPr>
              <w:jc w:val="center"/>
              <w:rPr>
                <w:color w:val="auto"/>
                <w:szCs w:val="21"/>
                <w:highlight w:val="none"/>
              </w:rPr>
            </w:pPr>
            <w:r>
              <w:rPr>
                <w:color w:val="auto"/>
                <w:szCs w:val="21"/>
                <w:highlight w:val="none"/>
              </w:rPr>
              <w:t>6</w:t>
            </w:r>
          </w:p>
        </w:tc>
        <w:tc>
          <w:tcPr>
            <w:tcW w:w="3376" w:type="dxa"/>
            <w:vAlign w:val="center"/>
          </w:tcPr>
          <w:p>
            <w:pPr>
              <w:rPr>
                <w:color w:val="auto"/>
                <w:szCs w:val="21"/>
                <w:highlight w:val="none"/>
              </w:rPr>
            </w:pPr>
          </w:p>
        </w:tc>
        <w:tc>
          <w:tcPr>
            <w:tcW w:w="1508" w:type="dxa"/>
            <w:vAlign w:val="center"/>
          </w:tcPr>
          <w:p>
            <w:pPr>
              <w:rPr>
                <w:color w:val="auto"/>
                <w:szCs w:val="21"/>
                <w:highlight w:val="none"/>
              </w:rPr>
            </w:pPr>
          </w:p>
        </w:tc>
        <w:tc>
          <w:tcPr>
            <w:tcW w:w="1608" w:type="dxa"/>
            <w:vAlign w:val="center"/>
          </w:tcPr>
          <w:p>
            <w:pPr>
              <w:rPr>
                <w:color w:val="auto"/>
                <w:szCs w:val="21"/>
                <w:highlight w:val="none"/>
              </w:rPr>
            </w:pPr>
          </w:p>
        </w:tc>
        <w:tc>
          <w:tcPr>
            <w:tcW w:w="1507"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trPr>
        <w:tc>
          <w:tcPr>
            <w:tcW w:w="844" w:type="dxa"/>
            <w:vAlign w:val="center"/>
          </w:tcPr>
          <w:p>
            <w:pPr>
              <w:jc w:val="center"/>
              <w:rPr>
                <w:color w:val="auto"/>
                <w:szCs w:val="21"/>
                <w:highlight w:val="none"/>
              </w:rPr>
            </w:pPr>
            <w:r>
              <w:rPr>
                <w:color w:val="auto"/>
                <w:szCs w:val="21"/>
                <w:highlight w:val="none"/>
              </w:rPr>
              <w:t>7</w:t>
            </w:r>
          </w:p>
        </w:tc>
        <w:tc>
          <w:tcPr>
            <w:tcW w:w="3376" w:type="dxa"/>
            <w:vAlign w:val="center"/>
          </w:tcPr>
          <w:p>
            <w:pPr>
              <w:jc w:val="center"/>
              <w:rPr>
                <w:color w:val="auto"/>
                <w:szCs w:val="21"/>
                <w:highlight w:val="none"/>
              </w:rPr>
            </w:pPr>
          </w:p>
        </w:tc>
        <w:tc>
          <w:tcPr>
            <w:tcW w:w="1508" w:type="dxa"/>
            <w:vAlign w:val="center"/>
          </w:tcPr>
          <w:p>
            <w:pPr>
              <w:rPr>
                <w:color w:val="auto"/>
                <w:szCs w:val="21"/>
                <w:highlight w:val="none"/>
              </w:rPr>
            </w:pPr>
          </w:p>
        </w:tc>
        <w:tc>
          <w:tcPr>
            <w:tcW w:w="1608" w:type="dxa"/>
            <w:vAlign w:val="center"/>
          </w:tcPr>
          <w:p>
            <w:pPr>
              <w:rPr>
                <w:color w:val="auto"/>
                <w:szCs w:val="21"/>
                <w:highlight w:val="none"/>
              </w:rPr>
            </w:pPr>
          </w:p>
        </w:tc>
        <w:tc>
          <w:tcPr>
            <w:tcW w:w="1507"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trPr>
        <w:tc>
          <w:tcPr>
            <w:tcW w:w="844" w:type="dxa"/>
            <w:vAlign w:val="center"/>
          </w:tcPr>
          <w:p>
            <w:pPr>
              <w:jc w:val="center"/>
              <w:rPr>
                <w:color w:val="auto"/>
                <w:szCs w:val="21"/>
                <w:highlight w:val="none"/>
              </w:rPr>
            </w:pPr>
            <w:r>
              <w:rPr>
                <w:color w:val="auto"/>
                <w:szCs w:val="21"/>
                <w:highlight w:val="none"/>
              </w:rPr>
              <w:t>8</w:t>
            </w:r>
          </w:p>
        </w:tc>
        <w:tc>
          <w:tcPr>
            <w:tcW w:w="3376" w:type="dxa"/>
            <w:vAlign w:val="center"/>
          </w:tcPr>
          <w:p>
            <w:pPr>
              <w:jc w:val="center"/>
              <w:rPr>
                <w:color w:val="auto"/>
                <w:szCs w:val="21"/>
                <w:highlight w:val="none"/>
              </w:rPr>
            </w:pPr>
          </w:p>
        </w:tc>
        <w:tc>
          <w:tcPr>
            <w:tcW w:w="1508" w:type="dxa"/>
            <w:vAlign w:val="center"/>
          </w:tcPr>
          <w:p>
            <w:pPr>
              <w:rPr>
                <w:color w:val="auto"/>
                <w:szCs w:val="21"/>
                <w:highlight w:val="none"/>
              </w:rPr>
            </w:pPr>
          </w:p>
        </w:tc>
        <w:tc>
          <w:tcPr>
            <w:tcW w:w="1608" w:type="dxa"/>
            <w:vAlign w:val="center"/>
          </w:tcPr>
          <w:p>
            <w:pPr>
              <w:rPr>
                <w:color w:val="auto"/>
                <w:szCs w:val="21"/>
                <w:highlight w:val="none"/>
              </w:rPr>
            </w:pPr>
          </w:p>
        </w:tc>
        <w:tc>
          <w:tcPr>
            <w:tcW w:w="1507"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trPr>
        <w:tc>
          <w:tcPr>
            <w:tcW w:w="844" w:type="dxa"/>
            <w:vAlign w:val="center"/>
          </w:tcPr>
          <w:p>
            <w:pPr>
              <w:jc w:val="center"/>
              <w:rPr>
                <w:color w:val="auto"/>
                <w:szCs w:val="21"/>
                <w:highlight w:val="none"/>
              </w:rPr>
            </w:pPr>
            <w:r>
              <w:rPr>
                <w:color w:val="auto"/>
                <w:szCs w:val="21"/>
                <w:highlight w:val="none"/>
              </w:rPr>
              <w:t>9</w:t>
            </w:r>
          </w:p>
        </w:tc>
        <w:tc>
          <w:tcPr>
            <w:tcW w:w="3376" w:type="dxa"/>
            <w:vAlign w:val="center"/>
          </w:tcPr>
          <w:p>
            <w:pPr>
              <w:jc w:val="center"/>
              <w:rPr>
                <w:color w:val="auto"/>
                <w:szCs w:val="21"/>
                <w:highlight w:val="none"/>
              </w:rPr>
            </w:pPr>
          </w:p>
        </w:tc>
        <w:tc>
          <w:tcPr>
            <w:tcW w:w="1508" w:type="dxa"/>
            <w:vAlign w:val="center"/>
          </w:tcPr>
          <w:p>
            <w:pPr>
              <w:rPr>
                <w:color w:val="auto"/>
                <w:szCs w:val="21"/>
                <w:highlight w:val="none"/>
              </w:rPr>
            </w:pPr>
          </w:p>
        </w:tc>
        <w:tc>
          <w:tcPr>
            <w:tcW w:w="1608" w:type="dxa"/>
            <w:vAlign w:val="center"/>
          </w:tcPr>
          <w:p>
            <w:pPr>
              <w:rPr>
                <w:color w:val="auto"/>
                <w:szCs w:val="21"/>
                <w:highlight w:val="none"/>
              </w:rPr>
            </w:pPr>
          </w:p>
        </w:tc>
        <w:tc>
          <w:tcPr>
            <w:tcW w:w="1507"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trPr>
        <w:tc>
          <w:tcPr>
            <w:tcW w:w="844" w:type="dxa"/>
            <w:vAlign w:val="center"/>
          </w:tcPr>
          <w:p>
            <w:pPr>
              <w:jc w:val="center"/>
              <w:rPr>
                <w:color w:val="auto"/>
                <w:szCs w:val="21"/>
                <w:highlight w:val="none"/>
              </w:rPr>
            </w:pPr>
            <w:r>
              <w:rPr>
                <w:color w:val="auto"/>
                <w:szCs w:val="21"/>
                <w:highlight w:val="none"/>
              </w:rPr>
              <w:t>10</w:t>
            </w:r>
          </w:p>
        </w:tc>
        <w:tc>
          <w:tcPr>
            <w:tcW w:w="3376" w:type="dxa"/>
            <w:vAlign w:val="center"/>
          </w:tcPr>
          <w:p>
            <w:pPr>
              <w:jc w:val="center"/>
              <w:rPr>
                <w:color w:val="auto"/>
                <w:szCs w:val="21"/>
                <w:highlight w:val="none"/>
              </w:rPr>
            </w:pPr>
          </w:p>
        </w:tc>
        <w:tc>
          <w:tcPr>
            <w:tcW w:w="1508" w:type="dxa"/>
            <w:vAlign w:val="center"/>
          </w:tcPr>
          <w:p>
            <w:pPr>
              <w:rPr>
                <w:color w:val="auto"/>
                <w:szCs w:val="21"/>
                <w:highlight w:val="none"/>
              </w:rPr>
            </w:pPr>
          </w:p>
        </w:tc>
        <w:tc>
          <w:tcPr>
            <w:tcW w:w="1608" w:type="dxa"/>
            <w:vAlign w:val="center"/>
          </w:tcPr>
          <w:p>
            <w:pPr>
              <w:rPr>
                <w:color w:val="auto"/>
                <w:szCs w:val="21"/>
                <w:highlight w:val="none"/>
              </w:rPr>
            </w:pPr>
          </w:p>
        </w:tc>
        <w:tc>
          <w:tcPr>
            <w:tcW w:w="1507"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trPr>
        <w:tc>
          <w:tcPr>
            <w:tcW w:w="844" w:type="dxa"/>
            <w:vAlign w:val="center"/>
          </w:tcPr>
          <w:p>
            <w:pPr>
              <w:jc w:val="center"/>
              <w:rPr>
                <w:color w:val="auto"/>
                <w:szCs w:val="21"/>
                <w:highlight w:val="none"/>
              </w:rPr>
            </w:pPr>
            <w:r>
              <w:rPr>
                <w:color w:val="auto"/>
                <w:szCs w:val="21"/>
                <w:highlight w:val="none"/>
              </w:rPr>
              <w:t>11</w:t>
            </w:r>
          </w:p>
        </w:tc>
        <w:tc>
          <w:tcPr>
            <w:tcW w:w="3376" w:type="dxa"/>
            <w:vAlign w:val="center"/>
          </w:tcPr>
          <w:p>
            <w:pPr>
              <w:jc w:val="center"/>
              <w:rPr>
                <w:color w:val="auto"/>
                <w:szCs w:val="21"/>
                <w:highlight w:val="none"/>
              </w:rPr>
            </w:pPr>
          </w:p>
        </w:tc>
        <w:tc>
          <w:tcPr>
            <w:tcW w:w="1508" w:type="dxa"/>
            <w:vAlign w:val="center"/>
          </w:tcPr>
          <w:p>
            <w:pPr>
              <w:rPr>
                <w:color w:val="auto"/>
                <w:szCs w:val="21"/>
                <w:highlight w:val="none"/>
              </w:rPr>
            </w:pPr>
          </w:p>
        </w:tc>
        <w:tc>
          <w:tcPr>
            <w:tcW w:w="1608" w:type="dxa"/>
            <w:vAlign w:val="center"/>
          </w:tcPr>
          <w:p>
            <w:pPr>
              <w:rPr>
                <w:color w:val="auto"/>
                <w:szCs w:val="21"/>
                <w:highlight w:val="none"/>
              </w:rPr>
            </w:pPr>
          </w:p>
        </w:tc>
        <w:tc>
          <w:tcPr>
            <w:tcW w:w="1507"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trPr>
        <w:tc>
          <w:tcPr>
            <w:tcW w:w="5728" w:type="dxa"/>
            <w:gridSpan w:val="3"/>
            <w:vAlign w:val="center"/>
          </w:tcPr>
          <w:p>
            <w:pPr>
              <w:jc w:val="center"/>
              <w:rPr>
                <w:color w:val="auto"/>
                <w:szCs w:val="21"/>
                <w:highlight w:val="none"/>
              </w:rPr>
            </w:pPr>
            <w:r>
              <w:rPr>
                <w:rFonts w:hAnsi="宋体"/>
                <w:color w:val="auto"/>
                <w:szCs w:val="21"/>
                <w:highlight w:val="none"/>
              </w:rPr>
              <w:t>合计</w:t>
            </w:r>
          </w:p>
        </w:tc>
        <w:tc>
          <w:tcPr>
            <w:tcW w:w="1608" w:type="dxa"/>
            <w:vAlign w:val="center"/>
          </w:tcPr>
          <w:p>
            <w:pPr>
              <w:jc w:val="center"/>
              <w:rPr>
                <w:color w:val="auto"/>
                <w:szCs w:val="21"/>
                <w:highlight w:val="none"/>
              </w:rPr>
            </w:pPr>
          </w:p>
        </w:tc>
        <w:tc>
          <w:tcPr>
            <w:tcW w:w="1507" w:type="dxa"/>
            <w:vAlign w:val="center"/>
          </w:tcPr>
          <w:p>
            <w:pPr>
              <w:jc w:val="center"/>
              <w:rPr>
                <w:color w:val="auto"/>
                <w:szCs w:val="21"/>
                <w:highlight w:val="none"/>
              </w:rPr>
            </w:pPr>
            <w:r>
              <w:rPr>
                <w:color w:val="auto"/>
                <w:szCs w:val="21"/>
                <w:highlight w:val="none"/>
              </w:rPr>
              <w:t>—</w:t>
            </w:r>
          </w:p>
        </w:tc>
      </w:tr>
    </w:tbl>
    <w:p>
      <w:pPr>
        <w:rPr>
          <w:color w:val="auto"/>
          <w:sz w:val="18"/>
          <w:szCs w:val="18"/>
          <w:highlight w:val="none"/>
        </w:rPr>
      </w:pPr>
      <w:r>
        <w:rPr>
          <w:rFonts w:hAnsi="宋体"/>
          <w:color w:val="auto"/>
          <w:sz w:val="18"/>
          <w:szCs w:val="18"/>
          <w:highlight w:val="none"/>
        </w:rPr>
        <w:t>注：此表由招标人填写，如不能详列，也可只列暂定金额总额，投标人应将上述暂列金额计入投标总价中。</w:t>
      </w:r>
    </w:p>
    <w:p>
      <w:pPr>
        <w:jc w:val="right"/>
        <w:rPr>
          <w:color w:val="auto"/>
          <w:sz w:val="18"/>
          <w:szCs w:val="18"/>
          <w:highlight w:val="none"/>
        </w:rPr>
      </w:pPr>
    </w:p>
    <w:p>
      <w:pPr>
        <w:jc w:val="right"/>
        <w:rPr>
          <w:color w:val="auto"/>
          <w:sz w:val="18"/>
          <w:szCs w:val="18"/>
          <w:highlight w:val="none"/>
        </w:rPr>
      </w:pPr>
    </w:p>
    <w:p>
      <w:pPr>
        <w:jc w:val="right"/>
        <w:rPr>
          <w:color w:val="auto"/>
          <w:sz w:val="18"/>
          <w:szCs w:val="18"/>
          <w:highlight w:val="none"/>
        </w:rPr>
      </w:pPr>
    </w:p>
    <w:p>
      <w:pPr>
        <w:jc w:val="right"/>
        <w:rPr>
          <w:color w:val="auto"/>
          <w:sz w:val="18"/>
          <w:szCs w:val="18"/>
          <w:highlight w:val="none"/>
        </w:rPr>
      </w:pPr>
    </w:p>
    <w:p>
      <w:pPr>
        <w:jc w:val="right"/>
        <w:rPr>
          <w:color w:val="auto"/>
          <w:sz w:val="18"/>
          <w:szCs w:val="18"/>
          <w:highlight w:val="none"/>
        </w:rPr>
      </w:pPr>
    </w:p>
    <w:p>
      <w:pPr>
        <w:jc w:val="right"/>
        <w:rPr>
          <w:color w:val="auto"/>
          <w:sz w:val="18"/>
          <w:szCs w:val="18"/>
          <w:highlight w:val="none"/>
        </w:rPr>
      </w:pPr>
    </w:p>
    <w:p>
      <w:pPr>
        <w:jc w:val="right"/>
        <w:rPr>
          <w:color w:val="auto"/>
          <w:sz w:val="18"/>
          <w:szCs w:val="18"/>
          <w:highlight w:val="none"/>
        </w:rPr>
      </w:pPr>
    </w:p>
    <w:p>
      <w:pPr>
        <w:jc w:val="right"/>
        <w:rPr>
          <w:color w:val="auto"/>
          <w:sz w:val="18"/>
          <w:szCs w:val="18"/>
          <w:highlight w:val="none"/>
        </w:rPr>
      </w:pPr>
      <w:r>
        <w:rPr>
          <w:rFonts w:hAnsi="宋体"/>
          <w:color w:val="auto"/>
          <w:sz w:val="18"/>
          <w:szCs w:val="18"/>
          <w:highlight w:val="none"/>
        </w:rPr>
        <w:t>表</w:t>
      </w:r>
      <w:r>
        <w:rPr>
          <w:color w:val="auto"/>
          <w:sz w:val="18"/>
          <w:szCs w:val="18"/>
          <w:highlight w:val="none"/>
        </w:rPr>
        <w:t>—12—1</w:t>
      </w:r>
    </w:p>
    <w:p>
      <w:pPr>
        <w:pStyle w:val="78"/>
        <w:tabs>
          <w:tab w:val="left" w:pos="707"/>
        </w:tabs>
        <w:jc w:val="center"/>
        <w:outlineLvl w:val="2"/>
        <w:rPr>
          <w:rFonts w:ascii="Times New Roman" w:hAnsi="Times New Roman" w:cs="Times New Roman"/>
          <w:b/>
          <w:color w:val="auto"/>
          <w:spacing w:val="1"/>
          <w:highlight w:val="none"/>
          <w:lang w:eastAsia="zh-CN"/>
        </w:rPr>
      </w:pPr>
    </w:p>
    <w:p>
      <w:pPr>
        <w:pStyle w:val="78"/>
        <w:tabs>
          <w:tab w:val="left" w:pos="707"/>
        </w:tabs>
        <w:jc w:val="center"/>
        <w:outlineLvl w:val="2"/>
        <w:rPr>
          <w:rFonts w:ascii="Times New Roman" w:hAnsi="Times New Roman" w:cs="Times New Roman"/>
          <w:b/>
          <w:color w:val="auto"/>
          <w:spacing w:val="1"/>
          <w:highlight w:val="none"/>
          <w:lang w:eastAsia="zh-CN"/>
        </w:rPr>
      </w:pPr>
      <w:r>
        <w:rPr>
          <w:rFonts w:ascii="Times New Roman" w:cs="Times New Roman"/>
          <w:b/>
          <w:color w:val="auto"/>
          <w:spacing w:val="1"/>
          <w:highlight w:val="none"/>
          <w:lang w:eastAsia="zh-CN"/>
        </w:rPr>
        <w:t>材料（工程设备）暂估单价及调整表</w:t>
      </w:r>
      <w:bookmarkEnd w:id="575"/>
      <w:bookmarkEnd w:id="576"/>
      <w:bookmarkEnd w:id="577"/>
    </w:p>
    <w:p>
      <w:pPr>
        <w:spacing w:before="19" w:line="200" w:lineRule="exact"/>
        <w:rPr>
          <w:color w:val="auto"/>
          <w:sz w:val="20"/>
          <w:szCs w:val="20"/>
          <w:highlight w:val="none"/>
        </w:rPr>
      </w:pPr>
    </w:p>
    <w:p>
      <w:pPr>
        <w:pStyle w:val="2"/>
        <w:tabs>
          <w:tab w:val="left" w:pos="4529"/>
          <w:tab w:val="left" w:pos="7890"/>
          <w:tab w:val="left" w:pos="8416"/>
          <w:tab w:val="left" w:pos="9047"/>
        </w:tabs>
        <w:ind w:firstLine="230" w:firstLineChars="100"/>
        <w:rPr>
          <w:rFonts w:eastAsia="宋体"/>
          <w:color w:val="auto"/>
          <w:highlight w:val="none"/>
        </w:rPr>
      </w:pPr>
      <w:r>
        <w:rPr>
          <w:rFonts w:hAnsi="宋体" w:eastAsia="宋体"/>
          <w:color w:val="auto"/>
          <w:highlight w:val="none"/>
        </w:rPr>
        <w:t>工程</w:t>
      </w:r>
      <w:r>
        <w:rPr>
          <w:rFonts w:hAnsi="宋体" w:eastAsia="宋体"/>
          <w:color w:val="auto"/>
          <w:spacing w:val="-3"/>
          <w:highlight w:val="none"/>
        </w:rPr>
        <w:t>名</w:t>
      </w:r>
      <w:r>
        <w:rPr>
          <w:rFonts w:hAnsi="宋体" w:eastAsia="宋体"/>
          <w:color w:val="auto"/>
          <w:highlight w:val="none"/>
        </w:rPr>
        <w:t>称：</w:t>
      </w:r>
      <w:r>
        <w:rPr>
          <w:rFonts w:eastAsia="宋体"/>
          <w:color w:val="auto"/>
          <w:highlight w:val="none"/>
        </w:rPr>
        <w:tab/>
      </w:r>
      <w:r>
        <w:rPr>
          <w:rFonts w:hAnsi="宋体" w:eastAsia="宋体"/>
          <w:color w:val="auto"/>
          <w:highlight w:val="none"/>
        </w:rPr>
        <w:t>标</w:t>
      </w:r>
      <w:r>
        <w:rPr>
          <w:rFonts w:hAnsi="宋体" w:eastAsia="宋体"/>
          <w:color w:val="auto"/>
          <w:spacing w:val="-3"/>
          <w:highlight w:val="none"/>
        </w:rPr>
        <w:t>段：</w:t>
      </w:r>
      <w:r>
        <w:rPr>
          <w:rFonts w:hint="eastAsia" w:hAnsi="宋体" w:eastAsia="宋体"/>
          <w:color w:val="auto"/>
          <w:spacing w:val="-3"/>
          <w:highlight w:val="none"/>
        </w:rPr>
        <w:t xml:space="preserve">           </w:t>
      </w:r>
      <w:r>
        <w:rPr>
          <w:rFonts w:hAnsi="宋体" w:eastAsia="宋体"/>
          <w:color w:val="auto"/>
          <w:highlight w:val="none"/>
        </w:rPr>
        <w:t>第</w:t>
      </w:r>
      <w:r>
        <w:rPr>
          <w:rFonts w:hint="eastAsia" w:hAnsi="宋体" w:eastAsia="宋体"/>
          <w:color w:val="auto"/>
          <w:highlight w:val="none"/>
        </w:rPr>
        <w:t xml:space="preserve">  </w:t>
      </w:r>
      <w:r>
        <w:rPr>
          <w:rFonts w:hAnsi="宋体" w:eastAsia="宋体"/>
          <w:color w:val="auto"/>
          <w:highlight w:val="none"/>
        </w:rPr>
        <w:t>页</w:t>
      </w:r>
      <w:r>
        <w:rPr>
          <w:rFonts w:hint="eastAsia" w:hAnsi="宋体" w:eastAsia="宋体"/>
          <w:color w:val="auto"/>
          <w:highlight w:val="none"/>
        </w:rPr>
        <w:t xml:space="preserve">        </w:t>
      </w:r>
      <w:r>
        <w:rPr>
          <w:rFonts w:hAnsi="宋体" w:eastAsia="宋体"/>
          <w:color w:val="auto"/>
          <w:highlight w:val="none"/>
        </w:rPr>
        <w:t>共</w:t>
      </w:r>
      <w:r>
        <w:rPr>
          <w:rFonts w:hint="eastAsia" w:hAnsi="宋体" w:eastAsia="宋体"/>
          <w:color w:val="auto"/>
          <w:highlight w:val="none"/>
        </w:rPr>
        <w:t xml:space="preserve">  </w:t>
      </w:r>
      <w:r>
        <w:rPr>
          <w:rFonts w:hAnsi="宋体" w:eastAsia="宋体"/>
          <w:color w:val="auto"/>
          <w:highlight w:val="none"/>
        </w:rPr>
        <w:t>页</w:t>
      </w:r>
    </w:p>
    <w:p>
      <w:pPr>
        <w:spacing w:before="9" w:line="40" w:lineRule="exact"/>
        <w:rPr>
          <w:color w:val="auto"/>
          <w:sz w:val="4"/>
          <w:szCs w:val="4"/>
          <w:highlight w:val="none"/>
        </w:rPr>
      </w:pPr>
    </w:p>
    <w:tbl>
      <w:tblPr>
        <w:tblStyle w:val="57"/>
        <w:tblW w:w="9229" w:type="dxa"/>
        <w:jc w:val="center"/>
        <w:tblLayout w:type="fixed"/>
        <w:tblCellMar>
          <w:top w:w="0" w:type="dxa"/>
          <w:left w:w="0" w:type="dxa"/>
          <w:bottom w:w="0" w:type="dxa"/>
          <w:right w:w="0" w:type="dxa"/>
        </w:tblCellMar>
      </w:tblPr>
      <w:tblGrid>
        <w:gridCol w:w="648"/>
        <w:gridCol w:w="1060"/>
        <w:gridCol w:w="1787"/>
        <w:gridCol w:w="566"/>
        <w:gridCol w:w="659"/>
        <w:gridCol w:w="630"/>
        <w:gridCol w:w="574"/>
        <w:gridCol w:w="525"/>
        <w:gridCol w:w="549"/>
        <w:gridCol w:w="485"/>
        <w:gridCol w:w="525"/>
        <w:gridCol w:w="525"/>
        <w:gridCol w:w="696"/>
      </w:tblGrid>
      <w:tr>
        <w:tblPrEx>
          <w:tblCellMar>
            <w:top w:w="0" w:type="dxa"/>
            <w:left w:w="0" w:type="dxa"/>
            <w:bottom w:w="0" w:type="dxa"/>
            <w:right w:w="0" w:type="dxa"/>
          </w:tblCellMar>
        </w:tblPrEx>
        <w:trPr>
          <w:trHeight w:val="605" w:hRule="exact"/>
          <w:jc w:val="center"/>
        </w:trPr>
        <w:tc>
          <w:tcPr>
            <w:tcW w:w="648" w:type="dxa"/>
            <w:vMerge w:val="restart"/>
            <w:tcBorders>
              <w:top w:val="single" w:color="000000" w:sz="4" w:space="0"/>
              <w:left w:val="single" w:color="000000" w:sz="4" w:space="0"/>
              <w:right w:val="single" w:color="000000"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序号</w:t>
            </w:r>
          </w:p>
        </w:tc>
        <w:tc>
          <w:tcPr>
            <w:tcW w:w="1060" w:type="dxa"/>
            <w:vMerge w:val="restart"/>
            <w:tcBorders>
              <w:top w:val="single" w:color="000000" w:sz="4" w:space="0"/>
              <w:left w:val="single" w:color="000000" w:sz="4" w:space="0"/>
              <w:right w:val="single" w:color="000000"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材料编码</w:t>
            </w:r>
          </w:p>
        </w:tc>
        <w:tc>
          <w:tcPr>
            <w:tcW w:w="1787" w:type="dxa"/>
            <w:vMerge w:val="restart"/>
            <w:tcBorders>
              <w:top w:val="single" w:color="000000" w:sz="4" w:space="0"/>
              <w:left w:val="single" w:color="000000" w:sz="4" w:space="0"/>
              <w:right w:val="single" w:color="000000"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材料（工程设备）名称、规格、型号</w:t>
            </w:r>
          </w:p>
        </w:tc>
        <w:tc>
          <w:tcPr>
            <w:tcW w:w="566" w:type="dxa"/>
            <w:vMerge w:val="restart"/>
            <w:tcBorders>
              <w:top w:val="single" w:color="000000" w:sz="4" w:space="0"/>
              <w:left w:val="single" w:color="000000" w:sz="4" w:space="0"/>
              <w:right w:val="single" w:color="000000"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计量单位</w:t>
            </w:r>
          </w:p>
        </w:tc>
        <w:tc>
          <w:tcPr>
            <w:tcW w:w="1289" w:type="dxa"/>
            <w:gridSpan w:val="2"/>
            <w:tcBorders>
              <w:top w:val="single" w:color="000000" w:sz="4" w:space="0"/>
              <w:left w:val="single" w:color="000000" w:sz="4" w:space="0"/>
              <w:bottom w:val="single" w:color="auto" w:sz="4" w:space="0"/>
              <w:right w:val="single" w:color="auto"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数量</w:t>
            </w:r>
          </w:p>
        </w:tc>
        <w:tc>
          <w:tcPr>
            <w:tcW w:w="1099" w:type="dxa"/>
            <w:gridSpan w:val="2"/>
            <w:tcBorders>
              <w:top w:val="single" w:color="000000" w:sz="4" w:space="0"/>
              <w:left w:val="single" w:color="auto" w:sz="4" w:space="0"/>
              <w:bottom w:val="single" w:color="auto" w:sz="4" w:space="0"/>
              <w:right w:val="single" w:color="auto"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lang w:eastAsia="zh-CN"/>
              </w:rPr>
              <w:t>暂估</w:t>
            </w:r>
            <w:r>
              <w:rPr>
                <w:rFonts w:ascii="Times New Roman" w:hAnsi="宋体" w:cs="Times New Roman"/>
                <w:color w:val="auto"/>
                <w:sz w:val="18"/>
                <w:szCs w:val="18"/>
                <w:highlight w:val="none"/>
              </w:rPr>
              <w:t>（元）</w:t>
            </w:r>
          </w:p>
        </w:tc>
        <w:tc>
          <w:tcPr>
            <w:tcW w:w="1034" w:type="dxa"/>
            <w:gridSpan w:val="2"/>
            <w:tcBorders>
              <w:top w:val="single" w:color="000000" w:sz="4" w:space="0"/>
              <w:left w:val="single" w:color="auto" w:sz="4" w:space="0"/>
              <w:bottom w:val="single" w:color="auto" w:sz="4" w:space="0"/>
              <w:right w:val="single" w:color="000000"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lang w:eastAsia="zh-CN"/>
              </w:rPr>
              <w:t>确认</w:t>
            </w:r>
            <w:r>
              <w:rPr>
                <w:rFonts w:ascii="Times New Roman" w:hAnsi="宋体" w:cs="Times New Roman"/>
                <w:color w:val="auto"/>
                <w:sz w:val="18"/>
                <w:szCs w:val="18"/>
                <w:highlight w:val="none"/>
              </w:rPr>
              <w:t>（元）</w:t>
            </w:r>
          </w:p>
        </w:tc>
        <w:tc>
          <w:tcPr>
            <w:tcW w:w="1050" w:type="dxa"/>
            <w:gridSpan w:val="2"/>
            <w:tcBorders>
              <w:top w:val="single" w:color="000000" w:sz="4" w:space="0"/>
              <w:left w:val="single" w:color="000000" w:sz="4" w:space="0"/>
              <w:bottom w:val="single" w:color="auto" w:sz="4" w:space="0"/>
              <w:right w:val="single" w:color="auto"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lang w:eastAsia="zh-CN"/>
              </w:rPr>
              <w:t>差额</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rPr>
              <w:t>（元）</w:t>
            </w:r>
          </w:p>
        </w:tc>
        <w:tc>
          <w:tcPr>
            <w:tcW w:w="696" w:type="dxa"/>
            <w:vMerge w:val="restart"/>
            <w:tcBorders>
              <w:top w:val="single" w:color="000000" w:sz="4" w:space="0"/>
              <w:left w:val="single" w:color="auto" w:sz="4" w:space="0"/>
              <w:right w:val="single" w:color="000000"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备注</w:t>
            </w:r>
          </w:p>
        </w:tc>
      </w:tr>
      <w:tr>
        <w:tblPrEx>
          <w:tblCellMar>
            <w:top w:w="0" w:type="dxa"/>
            <w:left w:w="0" w:type="dxa"/>
            <w:bottom w:w="0" w:type="dxa"/>
            <w:right w:w="0" w:type="dxa"/>
          </w:tblCellMar>
        </w:tblPrEx>
        <w:trPr>
          <w:trHeight w:val="438" w:hRule="exact"/>
          <w:jc w:val="center"/>
        </w:trPr>
        <w:tc>
          <w:tcPr>
            <w:tcW w:w="648" w:type="dxa"/>
            <w:vMerge w:val="continue"/>
            <w:tcBorders>
              <w:left w:val="single" w:color="000000" w:sz="4" w:space="0"/>
              <w:bottom w:val="single" w:color="000000" w:sz="4" w:space="0"/>
              <w:right w:val="single" w:color="000000"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rPr>
            </w:pPr>
          </w:p>
        </w:tc>
        <w:tc>
          <w:tcPr>
            <w:tcW w:w="1060" w:type="dxa"/>
            <w:vMerge w:val="continue"/>
            <w:tcBorders>
              <w:left w:val="single" w:color="000000" w:sz="4" w:space="0"/>
              <w:bottom w:val="single" w:color="000000" w:sz="4" w:space="0"/>
              <w:right w:val="single" w:color="000000"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lang w:eastAsia="zh-CN"/>
              </w:rPr>
            </w:pPr>
          </w:p>
        </w:tc>
        <w:tc>
          <w:tcPr>
            <w:tcW w:w="1787" w:type="dxa"/>
            <w:vMerge w:val="continue"/>
            <w:tcBorders>
              <w:left w:val="single" w:color="000000" w:sz="4" w:space="0"/>
              <w:bottom w:val="single" w:color="000000" w:sz="4" w:space="0"/>
              <w:right w:val="single" w:color="000000"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lang w:eastAsia="zh-CN"/>
              </w:rPr>
            </w:pPr>
          </w:p>
        </w:tc>
        <w:tc>
          <w:tcPr>
            <w:tcW w:w="566" w:type="dxa"/>
            <w:vMerge w:val="continue"/>
            <w:tcBorders>
              <w:left w:val="single" w:color="000000" w:sz="4" w:space="0"/>
              <w:bottom w:val="single" w:color="000000" w:sz="4" w:space="0"/>
              <w:right w:val="single" w:color="000000"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rPr>
            </w:pPr>
          </w:p>
        </w:tc>
        <w:tc>
          <w:tcPr>
            <w:tcW w:w="659" w:type="dxa"/>
            <w:tcBorders>
              <w:top w:val="single" w:color="auto" w:sz="4" w:space="0"/>
              <w:left w:val="single" w:color="000000" w:sz="4" w:space="0"/>
              <w:bottom w:val="single" w:color="000000" w:sz="4" w:space="0"/>
              <w:right w:val="single" w:color="auto"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投标</w:t>
            </w:r>
          </w:p>
        </w:tc>
        <w:tc>
          <w:tcPr>
            <w:tcW w:w="630" w:type="dxa"/>
            <w:tcBorders>
              <w:top w:val="single" w:color="auto" w:sz="4" w:space="0"/>
              <w:left w:val="single" w:color="auto" w:sz="4" w:space="0"/>
              <w:bottom w:val="single" w:color="000000" w:sz="4" w:space="0"/>
              <w:right w:val="single" w:color="auto"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确认</w:t>
            </w:r>
          </w:p>
        </w:tc>
        <w:tc>
          <w:tcPr>
            <w:tcW w:w="574" w:type="dxa"/>
            <w:tcBorders>
              <w:top w:val="single" w:color="auto" w:sz="4" w:space="0"/>
              <w:left w:val="single" w:color="auto" w:sz="4" w:space="0"/>
              <w:bottom w:val="single" w:color="000000" w:sz="4" w:space="0"/>
              <w:right w:val="single" w:color="auto"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单价</w:t>
            </w:r>
          </w:p>
        </w:tc>
        <w:tc>
          <w:tcPr>
            <w:tcW w:w="525" w:type="dxa"/>
            <w:tcBorders>
              <w:top w:val="single" w:color="auto" w:sz="4" w:space="0"/>
              <w:left w:val="single" w:color="auto" w:sz="4" w:space="0"/>
              <w:bottom w:val="single" w:color="000000" w:sz="4" w:space="0"/>
              <w:right w:val="single" w:color="auto"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合价</w:t>
            </w:r>
          </w:p>
        </w:tc>
        <w:tc>
          <w:tcPr>
            <w:tcW w:w="549" w:type="dxa"/>
            <w:tcBorders>
              <w:top w:val="single" w:color="auto" w:sz="4" w:space="0"/>
              <w:left w:val="single" w:color="auto" w:sz="4" w:space="0"/>
              <w:bottom w:val="single" w:color="000000" w:sz="4" w:space="0"/>
              <w:right w:val="single" w:color="auto"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单价</w:t>
            </w:r>
          </w:p>
        </w:tc>
        <w:tc>
          <w:tcPr>
            <w:tcW w:w="485" w:type="dxa"/>
            <w:tcBorders>
              <w:top w:val="single" w:color="auto" w:sz="4" w:space="0"/>
              <w:left w:val="single" w:color="auto" w:sz="4" w:space="0"/>
              <w:bottom w:val="single" w:color="000000" w:sz="4" w:space="0"/>
              <w:right w:val="single" w:color="000000"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合价</w:t>
            </w:r>
          </w:p>
        </w:tc>
        <w:tc>
          <w:tcPr>
            <w:tcW w:w="525" w:type="dxa"/>
            <w:tcBorders>
              <w:top w:val="single" w:color="auto" w:sz="4" w:space="0"/>
              <w:left w:val="single" w:color="000000" w:sz="4" w:space="0"/>
              <w:bottom w:val="single" w:color="000000" w:sz="4" w:space="0"/>
              <w:right w:val="single" w:color="auto"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单价</w:t>
            </w:r>
          </w:p>
        </w:tc>
        <w:tc>
          <w:tcPr>
            <w:tcW w:w="525" w:type="dxa"/>
            <w:tcBorders>
              <w:top w:val="single" w:color="auto" w:sz="4" w:space="0"/>
              <w:left w:val="single" w:color="auto" w:sz="4" w:space="0"/>
              <w:bottom w:val="single" w:color="000000" w:sz="4" w:space="0"/>
              <w:right w:val="single" w:color="auto"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合价</w:t>
            </w:r>
          </w:p>
        </w:tc>
        <w:tc>
          <w:tcPr>
            <w:tcW w:w="696" w:type="dxa"/>
            <w:vMerge w:val="continue"/>
            <w:tcBorders>
              <w:left w:val="single" w:color="auto" w:sz="4" w:space="0"/>
              <w:bottom w:val="single" w:color="000000" w:sz="4" w:space="0"/>
              <w:right w:val="single" w:color="000000" w:sz="4" w:space="0"/>
            </w:tcBorders>
            <w:tcMar>
              <w:top w:w="28" w:type="dxa"/>
              <w:left w:w="28" w:type="dxa"/>
              <w:bottom w:w="28" w:type="dxa"/>
              <w:right w:w="28" w:type="dxa"/>
            </w:tcMar>
            <w:vAlign w:val="center"/>
          </w:tcPr>
          <w:p>
            <w:pPr>
              <w:pStyle w:val="79"/>
              <w:spacing w:line="300" w:lineRule="exact"/>
              <w:jc w:val="center"/>
              <w:rPr>
                <w:rFonts w:ascii="Times New Roman" w:hAnsi="Times New Roman" w:cs="Times New Roman"/>
                <w:color w:val="auto"/>
                <w:sz w:val="18"/>
                <w:szCs w:val="18"/>
                <w:highlight w:val="none"/>
              </w:rPr>
            </w:pPr>
          </w:p>
        </w:tc>
      </w:tr>
      <w:tr>
        <w:tblPrEx>
          <w:tblCellMar>
            <w:top w:w="0" w:type="dxa"/>
            <w:left w:w="0" w:type="dxa"/>
            <w:bottom w:w="0" w:type="dxa"/>
            <w:right w:w="0" w:type="dxa"/>
          </w:tblCellMar>
        </w:tblPrEx>
        <w:trPr>
          <w:trHeight w:val="775" w:hRule="exact"/>
          <w:jc w:val="center"/>
        </w:trPr>
        <w:tc>
          <w:tcPr>
            <w:tcW w:w="648" w:type="dxa"/>
            <w:tcBorders>
              <w:top w:val="single" w:color="000000" w:sz="4" w:space="0"/>
              <w:left w:val="single" w:color="000000" w:sz="4" w:space="0"/>
              <w:bottom w:val="single" w:color="000000" w:sz="4" w:space="0"/>
              <w:right w:val="single" w:color="000000" w:sz="4" w:space="0"/>
            </w:tcBorders>
            <w:tcMar>
              <w:top w:w="28" w:type="dxa"/>
              <w:left w:w="28" w:type="dxa"/>
              <w:bottom w:w="28" w:type="dxa"/>
              <w:right w:w="28" w:type="dxa"/>
            </w:tcMar>
            <w:vAlign w:val="center"/>
          </w:tcPr>
          <w:p>
            <w:pPr>
              <w:spacing w:line="300" w:lineRule="exact"/>
              <w:rPr>
                <w:color w:val="auto"/>
                <w:highlight w:val="none"/>
              </w:rPr>
            </w:pPr>
          </w:p>
        </w:tc>
        <w:tc>
          <w:tcPr>
            <w:tcW w:w="1060" w:type="dxa"/>
            <w:tcBorders>
              <w:top w:val="single" w:color="000000" w:sz="4" w:space="0"/>
              <w:left w:val="single" w:color="000000" w:sz="4" w:space="0"/>
              <w:bottom w:val="single" w:color="000000" w:sz="4" w:space="0"/>
              <w:right w:val="single" w:color="000000" w:sz="4" w:space="0"/>
            </w:tcBorders>
            <w:tcMar>
              <w:top w:w="28" w:type="dxa"/>
              <w:left w:w="28" w:type="dxa"/>
              <w:bottom w:w="28" w:type="dxa"/>
              <w:right w:w="28" w:type="dxa"/>
            </w:tcMar>
          </w:tcPr>
          <w:p>
            <w:pPr>
              <w:spacing w:line="300" w:lineRule="exact"/>
              <w:rPr>
                <w:color w:val="auto"/>
                <w:highlight w:val="none"/>
              </w:rPr>
            </w:pPr>
          </w:p>
        </w:tc>
        <w:tc>
          <w:tcPr>
            <w:tcW w:w="1787" w:type="dxa"/>
            <w:tcBorders>
              <w:top w:val="single" w:color="000000" w:sz="4" w:space="0"/>
              <w:left w:val="single" w:color="000000" w:sz="4" w:space="0"/>
              <w:bottom w:val="single" w:color="000000" w:sz="4" w:space="0"/>
              <w:right w:val="single" w:color="000000" w:sz="4" w:space="0"/>
            </w:tcBorders>
            <w:tcMar>
              <w:top w:w="28" w:type="dxa"/>
              <w:left w:w="28" w:type="dxa"/>
              <w:bottom w:w="28" w:type="dxa"/>
              <w:right w:w="28" w:type="dxa"/>
            </w:tcMar>
            <w:vAlign w:val="center"/>
          </w:tcPr>
          <w:p>
            <w:pPr>
              <w:spacing w:line="300" w:lineRule="exact"/>
              <w:rPr>
                <w:color w:val="auto"/>
                <w:highlight w:val="none"/>
              </w:rPr>
            </w:pPr>
          </w:p>
        </w:tc>
        <w:tc>
          <w:tcPr>
            <w:tcW w:w="566" w:type="dxa"/>
            <w:tcBorders>
              <w:top w:val="single" w:color="000000" w:sz="4" w:space="0"/>
              <w:left w:val="single" w:color="000000" w:sz="4" w:space="0"/>
              <w:bottom w:val="single" w:color="000000" w:sz="4" w:space="0"/>
              <w:right w:val="single" w:color="000000" w:sz="4" w:space="0"/>
            </w:tcBorders>
            <w:tcMar>
              <w:top w:w="28" w:type="dxa"/>
              <w:left w:w="28" w:type="dxa"/>
              <w:bottom w:w="28" w:type="dxa"/>
              <w:right w:w="28" w:type="dxa"/>
            </w:tcMar>
            <w:vAlign w:val="center"/>
          </w:tcPr>
          <w:p>
            <w:pPr>
              <w:spacing w:line="300" w:lineRule="exact"/>
              <w:rPr>
                <w:color w:val="auto"/>
                <w:highlight w:val="none"/>
              </w:rPr>
            </w:pPr>
          </w:p>
        </w:tc>
        <w:tc>
          <w:tcPr>
            <w:tcW w:w="659" w:type="dxa"/>
            <w:tcBorders>
              <w:top w:val="single" w:color="000000" w:sz="4" w:space="0"/>
              <w:left w:val="single" w:color="000000" w:sz="4" w:space="0"/>
              <w:bottom w:val="single" w:color="000000" w:sz="4" w:space="0"/>
              <w:right w:val="single" w:color="auto" w:sz="4" w:space="0"/>
            </w:tcBorders>
            <w:tcMar>
              <w:top w:w="28" w:type="dxa"/>
              <w:left w:w="28" w:type="dxa"/>
              <w:bottom w:w="28" w:type="dxa"/>
              <w:right w:w="28" w:type="dxa"/>
            </w:tcMar>
            <w:vAlign w:val="center"/>
          </w:tcPr>
          <w:p>
            <w:pPr>
              <w:spacing w:line="300" w:lineRule="exact"/>
              <w:rPr>
                <w:color w:val="auto"/>
                <w:highlight w:val="none"/>
              </w:rPr>
            </w:pPr>
          </w:p>
        </w:tc>
        <w:tc>
          <w:tcPr>
            <w:tcW w:w="630" w:type="dxa"/>
            <w:tcBorders>
              <w:top w:val="single" w:color="000000" w:sz="4" w:space="0"/>
              <w:left w:val="single" w:color="auto" w:sz="4" w:space="0"/>
              <w:bottom w:val="single" w:color="000000" w:sz="4" w:space="0"/>
              <w:right w:val="single" w:color="auto" w:sz="4" w:space="0"/>
            </w:tcBorders>
            <w:tcMar>
              <w:top w:w="28" w:type="dxa"/>
              <w:left w:w="28" w:type="dxa"/>
              <w:bottom w:w="28" w:type="dxa"/>
              <w:right w:w="28" w:type="dxa"/>
            </w:tcMar>
            <w:vAlign w:val="center"/>
          </w:tcPr>
          <w:p>
            <w:pPr>
              <w:spacing w:line="300" w:lineRule="exact"/>
              <w:rPr>
                <w:color w:val="auto"/>
                <w:highlight w:val="none"/>
              </w:rPr>
            </w:pPr>
          </w:p>
        </w:tc>
        <w:tc>
          <w:tcPr>
            <w:tcW w:w="574" w:type="dxa"/>
            <w:tcBorders>
              <w:top w:val="single" w:color="000000" w:sz="4" w:space="0"/>
              <w:left w:val="single" w:color="auto" w:sz="4" w:space="0"/>
              <w:bottom w:val="single" w:color="000000" w:sz="4" w:space="0"/>
              <w:right w:val="single" w:color="auto" w:sz="4" w:space="0"/>
            </w:tcBorders>
            <w:tcMar>
              <w:top w:w="28" w:type="dxa"/>
              <w:left w:w="28" w:type="dxa"/>
              <w:bottom w:w="28" w:type="dxa"/>
              <w:right w:w="28" w:type="dxa"/>
            </w:tcMar>
            <w:vAlign w:val="center"/>
          </w:tcPr>
          <w:p>
            <w:pPr>
              <w:spacing w:line="300" w:lineRule="exact"/>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tcMar>
              <w:top w:w="28" w:type="dxa"/>
              <w:left w:w="28" w:type="dxa"/>
              <w:bottom w:w="28" w:type="dxa"/>
              <w:right w:w="28" w:type="dxa"/>
            </w:tcMar>
            <w:vAlign w:val="center"/>
          </w:tcPr>
          <w:p>
            <w:pPr>
              <w:spacing w:line="300" w:lineRule="exact"/>
              <w:rPr>
                <w:color w:val="auto"/>
                <w:highlight w:val="none"/>
              </w:rPr>
            </w:pPr>
          </w:p>
        </w:tc>
        <w:tc>
          <w:tcPr>
            <w:tcW w:w="549" w:type="dxa"/>
            <w:tcBorders>
              <w:top w:val="single" w:color="000000" w:sz="4" w:space="0"/>
              <w:left w:val="single" w:color="auto" w:sz="4" w:space="0"/>
              <w:bottom w:val="single" w:color="000000" w:sz="4" w:space="0"/>
              <w:right w:val="single" w:color="auto" w:sz="4" w:space="0"/>
            </w:tcBorders>
            <w:tcMar>
              <w:top w:w="28" w:type="dxa"/>
              <w:left w:w="28" w:type="dxa"/>
              <w:bottom w:w="28" w:type="dxa"/>
              <w:right w:w="28" w:type="dxa"/>
            </w:tcMar>
            <w:vAlign w:val="center"/>
          </w:tcPr>
          <w:p>
            <w:pPr>
              <w:spacing w:line="300" w:lineRule="exact"/>
              <w:rPr>
                <w:color w:val="auto"/>
                <w:highlight w:val="none"/>
              </w:rPr>
            </w:pPr>
          </w:p>
        </w:tc>
        <w:tc>
          <w:tcPr>
            <w:tcW w:w="485" w:type="dxa"/>
            <w:tcBorders>
              <w:top w:val="single" w:color="000000" w:sz="4" w:space="0"/>
              <w:left w:val="single" w:color="auto" w:sz="4" w:space="0"/>
              <w:bottom w:val="single" w:color="000000" w:sz="4" w:space="0"/>
              <w:right w:val="single" w:color="000000" w:sz="4" w:space="0"/>
            </w:tcBorders>
            <w:tcMar>
              <w:top w:w="28" w:type="dxa"/>
              <w:left w:w="28" w:type="dxa"/>
              <w:bottom w:w="28" w:type="dxa"/>
              <w:right w:w="28" w:type="dxa"/>
            </w:tcMar>
            <w:vAlign w:val="center"/>
          </w:tcPr>
          <w:p>
            <w:pPr>
              <w:spacing w:line="300" w:lineRule="exact"/>
              <w:rPr>
                <w:color w:val="auto"/>
                <w:highlight w:val="none"/>
              </w:rPr>
            </w:pPr>
          </w:p>
        </w:tc>
        <w:tc>
          <w:tcPr>
            <w:tcW w:w="525" w:type="dxa"/>
            <w:tcBorders>
              <w:top w:val="single" w:color="000000" w:sz="4" w:space="0"/>
              <w:left w:val="single" w:color="000000" w:sz="4" w:space="0"/>
              <w:bottom w:val="single" w:color="000000" w:sz="4" w:space="0"/>
              <w:right w:val="single" w:color="auto" w:sz="4" w:space="0"/>
            </w:tcBorders>
            <w:tcMar>
              <w:top w:w="28" w:type="dxa"/>
              <w:left w:w="28" w:type="dxa"/>
              <w:bottom w:w="28" w:type="dxa"/>
              <w:right w:w="28" w:type="dxa"/>
            </w:tcMar>
            <w:vAlign w:val="center"/>
          </w:tcPr>
          <w:p>
            <w:pPr>
              <w:spacing w:line="300" w:lineRule="exact"/>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tcMar>
              <w:top w:w="28" w:type="dxa"/>
              <w:left w:w="28" w:type="dxa"/>
              <w:bottom w:w="28" w:type="dxa"/>
              <w:right w:w="28" w:type="dxa"/>
            </w:tcMar>
            <w:vAlign w:val="center"/>
          </w:tcPr>
          <w:p>
            <w:pPr>
              <w:spacing w:line="300" w:lineRule="exact"/>
              <w:rPr>
                <w:color w:val="auto"/>
                <w:highlight w:val="none"/>
              </w:rPr>
            </w:pPr>
          </w:p>
        </w:tc>
        <w:tc>
          <w:tcPr>
            <w:tcW w:w="696" w:type="dxa"/>
            <w:tcBorders>
              <w:top w:val="single" w:color="000000" w:sz="4" w:space="0"/>
              <w:left w:val="single" w:color="auto" w:sz="4" w:space="0"/>
              <w:bottom w:val="single" w:color="000000" w:sz="4" w:space="0"/>
              <w:right w:val="single" w:color="000000" w:sz="4" w:space="0"/>
            </w:tcBorders>
            <w:tcMar>
              <w:top w:w="28" w:type="dxa"/>
              <w:left w:w="28" w:type="dxa"/>
              <w:bottom w:w="28" w:type="dxa"/>
              <w:right w:w="28" w:type="dxa"/>
            </w:tcMar>
            <w:vAlign w:val="center"/>
          </w:tcPr>
          <w:p>
            <w:pPr>
              <w:spacing w:line="300" w:lineRule="exact"/>
              <w:rPr>
                <w:color w:val="auto"/>
                <w:highlight w:val="none"/>
              </w:rPr>
            </w:pPr>
          </w:p>
        </w:tc>
      </w:tr>
      <w:tr>
        <w:tblPrEx>
          <w:tblCellMar>
            <w:top w:w="0" w:type="dxa"/>
            <w:left w:w="0" w:type="dxa"/>
            <w:bottom w:w="0" w:type="dxa"/>
            <w:right w:w="0" w:type="dxa"/>
          </w:tblCellMar>
        </w:tblPrEx>
        <w:trPr>
          <w:trHeight w:val="775" w:hRule="exact"/>
          <w:jc w:val="center"/>
        </w:trPr>
        <w:tc>
          <w:tcPr>
            <w:tcW w:w="64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1060"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787"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566"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659"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630"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74"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49"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485"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c>
          <w:tcPr>
            <w:tcW w:w="525"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696"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776" w:hRule="exact"/>
          <w:jc w:val="center"/>
        </w:trPr>
        <w:tc>
          <w:tcPr>
            <w:tcW w:w="64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1060"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787"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566"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659"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630"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74"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49"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485"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c>
          <w:tcPr>
            <w:tcW w:w="525"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696"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775" w:hRule="exact"/>
          <w:jc w:val="center"/>
        </w:trPr>
        <w:tc>
          <w:tcPr>
            <w:tcW w:w="64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1060"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787"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566"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659"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630"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74"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49"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485"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c>
          <w:tcPr>
            <w:tcW w:w="525"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696"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775" w:hRule="exact"/>
          <w:jc w:val="center"/>
        </w:trPr>
        <w:tc>
          <w:tcPr>
            <w:tcW w:w="64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1060"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787"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566"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659"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630"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74"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49"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485"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c>
          <w:tcPr>
            <w:tcW w:w="525"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696"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773" w:hRule="exact"/>
          <w:jc w:val="center"/>
        </w:trPr>
        <w:tc>
          <w:tcPr>
            <w:tcW w:w="64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1060"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787"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566"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659"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630"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74"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49"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485"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c>
          <w:tcPr>
            <w:tcW w:w="525"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696"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775" w:hRule="exact"/>
          <w:jc w:val="center"/>
        </w:trPr>
        <w:tc>
          <w:tcPr>
            <w:tcW w:w="64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1060"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787"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566"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659"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630"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74"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49"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485"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c>
          <w:tcPr>
            <w:tcW w:w="525"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696"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776" w:hRule="exact"/>
          <w:jc w:val="center"/>
        </w:trPr>
        <w:tc>
          <w:tcPr>
            <w:tcW w:w="64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1060"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787"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566"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659"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630"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74"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49"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485"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c>
          <w:tcPr>
            <w:tcW w:w="525"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696"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775" w:hRule="exact"/>
          <w:jc w:val="center"/>
        </w:trPr>
        <w:tc>
          <w:tcPr>
            <w:tcW w:w="64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1060"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787"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566"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659"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630"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74"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49"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485"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c>
          <w:tcPr>
            <w:tcW w:w="525"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696"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775" w:hRule="exact"/>
          <w:jc w:val="center"/>
        </w:trPr>
        <w:tc>
          <w:tcPr>
            <w:tcW w:w="64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1060"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787"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566"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659"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630"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74"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49"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485"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c>
          <w:tcPr>
            <w:tcW w:w="525"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696"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775" w:hRule="exact"/>
          <w:jc w:val="center"/>
        </w:trPr>
        <w:tc>
          <w:tcPr>
            <w:tcW w:w="64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1060"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787"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566"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659"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630"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74"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549"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485"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c>
          <w:tcPr>
            <w:tcW w:w="525" w:type="dxa"/>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525" w:type="dxa"/>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696"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775" w:hRule="exact"/>
          <w:jc w:val="center"/>
        </w:trPr>
        <w:tc>
          <w:tcPr>
            <w:tcW w:w="5350" w:type="dxa"/>
            <w:gridSpan w:val="6"/>
            <w:tcBorders>
              <w:top w:val="single" w:color="000000" w:sz="4" w:space="0"/>
              <w:left w:val="single" w:color="000000" w:sz="4" w:space="0"/>
              <w:bottom w:val="single" w:color="000000" w:sz="4" w:space="0"/>
              <w:right w:val="single" w:color="auto" w:sz="4" w:space="0"/>
            </w:tcBorders>
            <w:vAlign w:val="center"/>
          </w:tcPr>
          <w:p>
            <w:pPr>
              <w:jc w:val="center"/>
              <w:rPr>
                <w:color w:val="auto"/>
                <w:highlight w:val="none"/>
              </w:rPr>
            </w:pPr>
            <w:r>
              <w:rPr>
                <w:rFonts w:hAnsi="宋体"/>
                <w:color w:val="auto"/>
                <w:highlight w:val="none"/>
              </w:rPr>
              <w:t>合计</w:t>
            </w:r>
          </w:p>
        </w:tc>
        <w:tc>
          <w:tcPr>
            <w:tcW w:w="1099" w:type="dxa"/>
            <w:gridSpan w:val="2"/>
            <w:tcBorders>
              <w:top w:val="single" w:color="000000" w:sz="4" w:space="0"/>
              <w:left w:val="single" w:color="auto" w:sz="4" w:space="0"/>
              <w:bottom w:val="single" w:color="000000" w:sz="4" w:space="0"/>
              <w:right w:val="single" w:color="auto" w:sz="4" w:space="0"/>
            </w:tcBorders>
            <w:vAlign w:val="center"/>
          </w:tcPr>
          <w:p>
            <w:pPr>
              <w:rPr>
                <w:color w:val="auto"/>
                <w:highlight w:val="none"/>
              </w:rPr>
            </w:pPr>
          </w:p>
        </w:tc>
        <w:tc>
          <w:tcPr>
            <w:tcW w:w="1034" w:type="dxa"/>
            <w:gridSpan w:val="2"/>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c>
          <w:tcPr>
            <w:tcW w:w="1050" w:type="dxa"/>
            <w:gridSpan w:val="2"/>
            <w:tcBorders>
              <w:top w:val="single" w:color="000000" w:sz="4" w:space="0"/>
              <w:left w:val="single" w:color="000000" w:sz="4" w:space="0"/>
              <w:bottom w:val="single" w:color="000000" w:sz="4" w:space="0"/>
              <w:right w:val="single" w:color="auto" w:sz="4" w:space="0"/>
            </w:tcBorders>
            <w:vAlign w:val="center"/>
          </w:tcPr>
          <w:p>
            <w:pPr>
              <w:rPr>
                <w:color w:val="auto"/>
                <w:highlight w:val="none"/>
              </w:rPr>
            </w:pPr>
          </w:p>
        </w:tc>
        <w:tc>
          <w:tcPr>
            <w:tcW w:w="696" w:type="dxa"/>
            <w:tcBorders>
              <w:top w:val="single" w:color="000000" w:sz="4" w:space="0"/>
              <w:left w:val="single" w:color="auto" w:sz="4" w:space="0"/>
              <w:bottom w:val="single" w:color="000000" w:sz="4" w:space="0"/>
              <w:right w:val="single" w:color="000000" w:sz="4" w:space="0"/>
            </w:tcBorders>
            <w:vAlign w:val="center"/>
          </w:tcPr>
          <w:p>
            <w:pPr>
              <w:rPr>
                <w:color w:val="auto"/>
                <w:highlight w:val="none"/>
              </w:rPr>
            </w:pPr>
          </w:p>
        </w:tc>
      </w:tr>
    </w:tbl>
    <w:p>
      <w:pPr>
        <w:spacing w:line="243" w:lineRule="exact"/>
        <w:ind w:firstLine="270" w:firstLineChars="150"/>
        <w:rPr>
          <w:color w:val="auto"/>
          <w:sz w:val="18"/>
          <w:szCs w:val="18"/>
          <w:highlight w:val="none"/>
        </w:rPr>
      </w:pPr>
      <w:r>
        <w:rPr>
          <w:rFonts w:hAnsi="宋体"/>
          <w:color w:val="auto"/>
          <w:sz w:val="18"/>
          <w:szCs w:val="18"/>
          <w:highlight w:val="none"/>
        </w:rPr>
        <w:t>注</w:t>
      </w:r>
      <w:r>
        <w:rPr>
          <w:rFonts w:hAnsi="宋体"/>
          <w:color w:val="auto"/>
          <w:spacing w:val="-22"/>
          <w:sz w:val="18"/>
          <w:szCs w:val="18"/>
          <w:highlight w:val="none"/>
        </w:rPr>
        <w:t>：</w:t>
      </w:r>
      <w:r>
        <w:rPr>
          <w:color w:val="auto"/>
          <w:spacing w:val="-22"/>
          <w:sz w:val="18"/>
          <w:szCs w:val="18"/>
          <w:highlight w:val="none"/>
        </w:rPr>
        <w:t>1</w:t>
      </w:r>
      <w:r>
        <w:rPr>
          <w:rFonts w:hAnsi="宋体"/>
          <w:color w:val="auto"/>
          <w:spacing w:val="-22"/>
          <w:sz w:val="18"/>
          <w:szCs w:val="18"/>
          <w:highlight w:val="none"/>
        </w:rPr>
        <w:t>、</w:t>
      </w:r>
      <w:r>
        <w:rPr>
          <w:rFonts w:hAnsi="宋体"/>
          <w:color w:val="auto"/>
          <w:sz w:val="18"/>
          <w:szCs w:val="18"/>
          <w:highlight w:val="none"/>
        </w:rPr>
        <w:t>此表由招标人填写</w:t>
      </w:r>
      <w:r>
        <w:rPr>
          <w:color w:val="auto"/>
          <w:sz w:val="18"/>
          <w:szCs w:val="18"/>
          <w:highlight w:val="none"/>
        </w:rPr>
        <w:t>“</w:t>
      </w:r>
      <w:r>
        <w:rPr>
          <w:rFonts w:hAnsi="宋体"/>
          <w:color w:val="auto"/>
          <w:sz w:val="18"/>
          <w:szCs w:val="18"/>
          <w:highlight w:val="none"/>
        </w:rPr>
        <w:t>材料编码</w:t>
      </w:r>
      <w:r>
        <w:rPr>
          <w:color w:val="auto"/>
          <w:sz w:val="18"/>
          <w:szCs w:val="18"/>
          <w:highlight w:val="none"/>
        </w:rPr>
        <w:t>”</w:t>
      </w:r>
      <w:r>
        <w:rPr>
          <w:rFonts w:hAnsi="宋体"/>
          <w:color w:val="auto"/>
          <w:sz w:val="18"/>
          <w:szCs w:val="18"/>
          <w:highlight w:val="none"/>
        </w:rPr>
        <w:t>、</w:t>
      </w:r>
      <w:r>
        <w:rPr>
          <w:color w:val="auto"/>
          <w:sz w:val="18"/>
          <w:szCs w:val="18"/>
          <w:highlight w:val="none"/>
        </w:rPr>
        <w:t>“</w:t>
      </w:r>
      <w:r>
        <w:rPr>
          <w:rFonts w:hAnsi="宋体"/>
          <w:color w:val="auto"/>
          <w:sz w:val="18"/>
          <w:szCs w:val="18"/>
          <w:highlight w:val="none"/>
        </w:rPr>
        <w:t>材料（工程设备）名称、规格、型号</w:t>
      </w:r>
      <w:r>
        <w:rPr>
          <w:color w:val="auto"/>
          <w:sz w:val="18"/>
          <w:szCs w:val="18"/>
          <w:highlight w:val="none"/>
        </w:rPr>
        <w:t>”</w:t>
      </w:r>
      <w:r>
        <w:rPr>
          <w:rFonts w:hAnsi="宋体"/>
          <w:color w:val="auto"/>
          <w:sz w:val="18"/>
          <w:szCs w:val="18"/>
          <w:highlight w:val="none"/>
        </w:rPr>
        <w:t>、</w:t>
      </w:r>
      <w:r>
        <w:rPr>
          <w:color w:val="auto"/>
          <w:sz w:val="18"/>
          <w:szCs w:val="18"/>
          <w:highlight w:val="none"/>
        </w:rPr>
        <w:t>“</w:t>
      </w:r>
      <w:r>
        <w:rPr>
          <w:rFonts w:hAnsi="宋体"/>
          <w:color w:val="auto"/>
          <w:sz w:val="18"/>
          <w:szCs w:val="18"/>
          <w:highlight w:val="none"/>
        </w:rPr>
        <w:t>计量单位</w:t>
      </w:r>
      <w:r>
        <w:rPr>
          <w:color w:val="auto"/>
          <w:sz w:val="18"/>
          <w:szCs w:val="18"/>
          <w:highlight w:val="none"/>
        </w:rPr>
        <w:t>”</w:t>
      </w:r>
      <w:r>
        <w:rPr>
          <w:rFonts w:hAnsi="宋体"/>
          <w:color w:val="auto"/>
          <w:sz w:val="18"/>
          <w:szCs w:val="18"/>
          <w:highlight w:val="none"/>
        </w:rPr>
        <w:t>、</w:t>
      </w:r>
      <w:r>
        <w:rPr>
          <w:color w:val="auto"/>
          <w:sz w:val="18"/>
          <w:szCs w:val="18"/>
          <w:highlight w:val="none"/>
        </w:rPr>
        <w:t>“</w:t>
      </w:r>
      <w:r>
        <w:rPr>
          <w:rFonts w:hAnsi="宋体"/>
          <w:color w:val="auto"/>
          <w:sz w:val="18"/>
          <w:szCs w:val="18"/>
          <w:highlight w:val="none"/>
        </w:rPr>
        <w:t>暂估单价</w:t>
      </w:r>
      <w:r>
        <w:rPr>
          <w:color w:val="auto"/>
          <w:sz w:val="18"/>
          <w:szCs w:val="18"/>
          <w:highlight w:val="none"/>
        </w:rPr>
        <w:t>”</w:t>
      </w:r>
      <w:r>
        <w:rPr>
          <w:rFonts w:hAnsi="宋体"/>
          <w:color w:val="auto"/>
          <w:spacing w:val="-22"/>
          <w:sz w:val="18"/>
          <w:szCs w:val="18"/>
          <w:highlight w:val="none"/>
        </w:rPr>
        <w:t>，</w:t>
      </w:r>
      <w:r>
        <w:rPr>
          <w:rFonts w:hAnsi="宋体"/>
          <w:color w:val="auto"/>
          <w:sz w:val="18"/>
          <w:szCs w:val="18"/>
          <w:highlight w:val="none"/>
        </w:rPr>
        <w:t>并在备注栏说明暂估价的材料、工程设备拟用在那些清单项目上</w:t>
      </w:r>
      <w:r>
        <w:rPr>
          <w:rFonts w:hAnsi="宋体"/>
          <w:color w:val="auto"/>
          <w:spacing w:val="-22"/>
          <w:sz w:val="18"/>
          <w:szCs w:val="18"/>
          <w:highlight w:val="none"/>
        </w:rPr>
        <w:t>，</w:t>
      </w:r>
      <w:r>
        <w:rPr>
          <w:rFonts w:hAnsi="宋体"/>
          <w:color w:val="auto"/>
          <w:sz w:val="18"/>
          <w:szCs w:val="18"/>
          <w:highlight w:val="none"/>
        </w:rPr>
        <w:t>投标人应将上述材料、工程设备暂估单价计入工程量清单综合单价报价中，并填写</w:t>
      </w:r>
      <w:r>
        <w:rPr>
          <w:color w:val="auto"/>
          <w:sz w:val="18"/>
          <w:szCs w:val="18"/>
          <w:highlight w:val="none"/>
        </w:rPr>
        <w:t>“</w:t>
      </w:r>
      <w:r>
        <w:rPr>
          <w:rFonts w:hAnsi="宋体"/>
          <w:color w:val="auto"/>
          <w:sz w:val="18"/>
          <w:szCs w:val="18"/>
          <w:highlight w:val="none"/>
        </w:rPr>
        <w:t>数量</w:t>
      </w:r>
      <w:r>
        <w:rPr>
          <w:color w:val="auto"/>
          <w:sz w:val="18"/>
          <w:szCs w:val="18"/>
          <w:highlight w:val="none"/>
        </w:rPr>
        <w:t>”</w:t>
      </w:r>
      <w:r>
        <w:rPr>
          <w:rFonts w:hAnsi="宋体"/>
          <w:color w:val="auto"/>
          <w:sz w:val="18"/>
          <w:szCs w:val="18"/>
          <w:highlight w:val="none"/>
        </w:rPr>
        <w:t>中的</w:t>
      </w:r>
      <w:r>
        <w:rPr>
          <w:color w:val="auto"/>
          <w:sz w:val="18"/>
          <w:szCs w:val="18"/>
          <w:highlight w:val="none"/>
        </w:rPr>
        <w:t>“</w:t>
      </w:r>
      <w:r>
        <w:rPr>
          <w:rFonts w:hAnsi="宋体"/>
          <w:color w:val="auto"/>
          <w:sz w:val="18"/>
          <w:szCs w:val="18"/>
          <w:highlight w:val="none"/>
        </w:rPr>
        <w:t>投标</w:t>
      </w:r>
      <w:r>
        <w:rPr>
          <w:color w:val="auto"/>
          <w:sz w:val="18"/>
          <w:szCs w:val="18"/>
          <w:highlight w:val="none"/>
        </w:rPr>
        <w:t>”</w:t>
      </w:r>
      <w:r>
        <w:rPr>
          <w:rFonts w:hAnsi="宋体"/>
          <w:color w:val="auto"/>
          <w:sz w:val="18"/>
          <w:szCs w:val="18"/>
          <w:highlight w:val="none"/>
        </w:rPr>
        <w:t>和</w:t>
      </w:r>
      <w:r>
        <w:rPr>
          <w:color w:val="auto"/>
          <w:sz w:val="18"/>
          <w:szCs w:val="18"/>
          <w:highlight w:val="none"/>
        </w:rPr>
        <w:t>“</w:t>
      </w:r>
      <w:r>
        <w:rPr>
          <w:rFonts w:hAnsi="宋体"/>
          <w:color w:val="auto"/>
          <w:sz w:val="18"/>
          <w:szCs w:val="18"/>
          <w:highlight w:val="none"/>
        </w:rPr>
        <w:t>暂估合价</w:t>
      </w:r>
      <w:r>
        <w:rPr>
          <w:color w:val="auto"/>
          <w:sz w:val="18"/>
          <w:szCs w:val="18"/>
          <w:highlight w:val="none"/>
        </w:rPr>
        <w:t xml:space="preserve">” </w:t>
      </w:r>
      <w:r>
        <w:rPr>
          <w:rFonts w:hAnsi="宋体"/>
          <w:color w:val="auto"/>
          <w:sz w:val="18"/>
          <w:szCs w:val="18"/>
          <w:highlight w:val="none"/>
        </w:rPr>
        <w:t>列。</w:t>
      </w:r>
    </w:p>
    <w:p>
      <w:pPr>
        <w:spacing w:line="243" w:lineRule="exact"/>
        <w:ind w:firstLine="270" w:firstLineChars="150"/>
        <w:rPr>
          <w:color w:val="auto"/>
          <w:sz w:val="18"/>
          <w:szCs w:val="18"/>
          <w:highlight w:val="none"/>
        </w:rPr>
      </w:pPr>
      <w:r>
        <w:rPr>
          <w:color w:val="auto"/>
          <w:sz w:val="18"/>
          <w:szCs w:val="18"/>
          <w:highlight w:val="none"/>
        </w:rPr>
        <w:t xml:space="preserve">    2</w:t>
      </w:r>
      <w:r>
        <w:rPr>
          <w:rFonts w:hAnsi="宋体"/>
          <w:color w:val="auto"/>
          <w:sz w:val="18"/>
          <w:szCs w:val="18"/>
          <w:highlight w:val="none"/>
        </w:rPr>
        <w:t>、此表中所列暂估材料（工程设备）为暂时不能确定价格的材料（工程设备），不包含发包人供应材料（工程设备）。</w:t>
      </w:r>
    </w:p>
    <w:p>
      <w:pPr>
        <w:jc w:val="right"/>
        <w:rPr>
          <w:color w:val="auto"/>
          <w:sz w:val="18"/>
          <w:szCs w:val="18"/>
          <w:highlight w:val="none"/>
        </w:rPr>
      </w:pPr>
      <w:r>
        <w:rPr>
          <w:rFonts w:hAnsi="宋体"/>
          <w:color w:val="auto"/>
          <w:sz w:val="18"/>
          <w:szCs w:val="18"/>
          <w:highlight w:val="none"/>
        </w:rPr>
        <w:t>表</w:t>
      </w:r>
      <w:r>
        <w:rPr>
          <w:color w:val="auto"/>
          <w:sz w:val="18"/>
          <w:szCs w:val="18"/>
          <w:highlight w:val="none"/>
        </w:rPr>
        <w:t>—12—2</w:t>
      </w:r>
    </w:p>
    <w:p>
      <w:pPr>
        <w:spacing w:line="243" w:lineRule="exact"/>
        <w:jc w:val="right"/>
        <w:rPr>
          <w:color w:val="auto"/>
          <w:sz w:val="18"/>
          <w:szCs w:val="18"/>
          <w:highlight w:val="none"/>
        </w:rPr>
      </w:pPr>
    </w:p>
    <w:p>
      <w:pPr>
        <w:spacing w:line="243" w:lineRule="exact"/>
        <w:jc w:val="center"/>
        <w:rPr>
          <w:color w:val="auto"/>
          <w:sz w:val="18"/>
          <w:szCs w:val="18"/>
          <w:highlight w:val="none"/>
        </w:rPr>
      </w:pPr>
    </w:p>
    <w:p>
      <w:pPr>
        <w:spacing w:line="243" w:lineRule="exact"/>
        <w:jc w:val="center"/>
        <w:rPr>
          <w:color w:val="auto"/>
          <w:sz w:val="18"/>
          <w:szCs w:val="18"/>
          <w:highlight w:val="none"/>
        </w:rPr>
      </w:pPr>
    </w:p>
    <w:p>
      <w:pPr>
        <w:spacing w:line="243" w:lineRule="exact"/>
        <w:jc w:val="center"/>
        <w:rPr>
          <w:color w:val="auto"/>
          <w:sz w:val="18"/>
          <w:szCs w:val="18"/>
          <w:highlight w:val="none"/>
        </w:rPr>
        <w:sectPr>
          <w:footerReference r:id="rId10" w:type="even"/>
          <w:pgSz w:w="11907" w:h="16840"/>
          <w:pgMar w:top="1418" w:right="1361" w:bottom="1304" w:left="1361" w:header="0" w:footer="975" w:gutter="0"/>
          <w:cols w:space="720" w:num="1"/>
        </w:sectPr>
      </w:pPr>
    </w:p>
    <w:p>
      <w:pPr>
        <w:pStyle w:val="78"/>
        <w:tabs>
          <w:tab w:val="left" w:pos="707"/>
        </w:tabs>
        <w:jc w:val="center"/>
        <w:outlineLvl w:val="2"/>
        <w:rPr>
          <w:rFonts w:ascii="Times New Roman" w:hAnsi="Times New Roman" w:cs="Times New Roman"/>
          <w:b/>
          <w:color w:val="auto"/>
          <w:spacing w:val="1"/>
          <w:highlight w:val="none"/>
          <w:lang w:eastAsia="zh-CN"/>
        </w:rPr>
      </w:pPr>
      <w:r>
        <w:rPr>
          <w:rFonts w:ascii="Times New Roman" w:cs="Times New Roman"/>
          <w:b/>
          <w:color w:val="auto"/>
          <w:spacing w:val="1"/>
          <w:highlight w:val="none"/>
          <w:lang w:eastAsia="zh-CN"/>
        </w:rPr>
        <w:t>专业工程暂估价及结算价表</w:t>
      </w:r>
    </w:p>
    <w:p>
      <w:pPr>
        <w:pStyle w:val="78"/>
        <w:tabs>
          <w:tab w:val="left" w:pos="707"/>
        </w:tabs>
        <w:jc w:val="center"/>
        <w:outlineLvl w:val="2"/>
        <w:rPr>
          <w:rFonts w:ascii="Times New Roman" w:hAnsi="Times New Roman" w:cs="Times New Roman"/>
          <w:b/>
          <w:color w:val="auto"/>
          <w:spacing w:val="1"/>
          <w:highlight w:val="none"/>
          <w:lang w:eastAsia="zh-CN"/>
        </w:rPr>
      </w:pPr>
    </w:p>
    <w:p>
      <w:pPr>
        <w:pStyle w:val="2"/>
        <w:tabs>
          <w:tab w:val="left" w:pos="4529"/>
          <w:tab w:val="left" w:pos="7890"/>
          <w:tab w:val="left" w:pos="8416"/>
          <w:tab w:val="left" w:pos="9047"/>
        </w:tabs>
        <w:ind w:firstLine="224" w:firstLineChars="100"/>
        <w:rPr>
          <w:rFonts w:eastAsia="宋体"/>
          <w:color w:val="auto"/>
          <w:spacing w:val="-3"/>
          <w:highlight w:val="none"/>
        </w:rPr>
      </w:pPr>
      <w:r>
        <w:rPr>
          <w:rFonts w:hAnsi="宋体" w:eastAsia="宋体"/>
          <w:color w:val="auto"/>
          <w:spacing w:val="-3"/>
          <w:highlight w:val="none"/>
        </w:rPr>
        <w:t>工程名称：标段：第页共页</w:t>
      </w:r>
    </w:p>
    <w:tbl>
      <w:tblPr>
        <w:tblStyle w:val="57"/>
        <w:tblW w:w="9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7"/>
        <w:gridCol w:w="2044"/>
        <w:gridCol w:w="1410"/>
        <w:gridCol w:w="1674"/>
        <w:gridCol w:w="1309"/>
        <w:gridCol w:w="1078"/>
        <w:gridCol w:w="1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647" w:type="dxa"/>
            <w:vAlign w:val="center"/>
          </w:tcPr>
          <w:p>
            <w:pPr>
              <w:jc w:val="center"/>
              <w:rPr>
                <w:color w:val="auto"/>
                <w:szCs w:val="21"/>
                <w:highlight w:val="none"/>
              </w:rPr>
            </w:pPr>
            <w:r>
              <w:rPr>
                <w:rFonts w:hAnsi="宋体"/>
                <w:color w:val="auto"/>
                <w:szCs w:val="21"/>
                <w:highlight w:val="none"/>
              </w:rPr>
              <w:t>序号</w:t>
            </w:r>
          </w:p>
        </w:tc>
        <w:tc>
          <w:tcPr>
            <w:tcW w:w="2044" w:type="dxa"/>
            <w:vAlign w:val="center"/>
          </w:tcPr>
          <w:p>
            <w:pPr>
              <w:jc w:val="center"/>
              <w:rPr>
                <w:color w:val="auto"/>
                <w:szCs w:val="21"/>
                <w:highlight w:val="none"/>
              </w:rPr>
            </w:pPr>
            <w:r>
              <w:rPr>
                <w:rFonts w:hAnsi="宋体"/>
                <w:color w:val="auto"/>
                <w:szCs w:val="21"/>
                <w:highlight w:val="none"/>
              </w:rPr>
              <w:t>工程名称</w:t>
            </w:r>
          </w:p>
        </w:tc>
        <w:tc>
          <w:tcPr>
            <w:tcW w:w="1410" w:type="dxa"/>
            <w:vAlign w:val="center"/>
          </w:tcPr>
          <w:p>
            <w:pPr>
              <w:jc w:val="center"/>
              <w:rPr>
                <w:color w:val="auto"/>
                <w:szCs w:val="21"/>
                <w:highlight w:val="none"/>
              </w:rPr>
            </w:pPr>
            <w:r>
              <w:rPr>
                <w:rFonts w:hAnsi="宋体"/>
                <w:color w:val="auto"/>
                <w:szCs w:val="21"/>
                <w:highlight w:val="none"/>
              </w:rPr>
              <w:t>工程内容</w:t>
            </w:r>
          </w:p>
        </w:tc>
        <w:tc>
          <w:tcPr>
            <w:tcW w:w="1674" w:type="dxa"/>
            <w:vAlign w:val="center"/>
          </w:tcPr>
          <w:p>
            <w:pPr>
              <w:jc w:val="center"/>
              <w:rPr>
                <w:color w:val="auto"/>
                <w:szCs w:val="21"/>
                <w:highlight w:val="none"/>
              </w:rPr>
            </w:pPr>
            <w:r>
              <w:rPr>
                <w:rFonts w:hAnsi="宋体"/>
                <w:color w:val="auto"/>
                <w:szCs w:val="21"/>
                <w:highlight w:val="none"/>
              </w:rPr>
              <w:t>暂估金额（元）</w:t>
            </w:r>
          </w:p>
        </w:tc>
        <w:tc>
          <w:tcPr>
            <w:tcW w:w="1309" w:type="dxa"/>
            <w:vAlign w:val="center"/>
          </w:tcPr>
          <w:p>
            <w:pPr>
              <w:jc w:val="center"/>
              <w:rPr>
                <w:color w:val="auto"/>
                <w:szCs w:val="21"/>
                <w:highlight w:val="none"/>
              </w:rPr>
            </w:pPr>
            <w:r>
              <w:rPr>
                <w:rFonts w:hAnsi="宋体"/>
                <w:color w:val="auto"/>
                <w:szCs w:val="21"/>
                <w:highlight w:val="none"/>
              </w:rPr>
              <w:t>结算金额（元）</w:t>
            </w:r>
          </w:p>
        </w:tc>
        <w:tc>
          <w:tcPr>
            <w:tcW w:w="1078" w:type="dxa"/>
          </w:tcPr>
          <w:p>
            <w:pPr>
              <w:jc w:val="center"/>
              <w:rPr>
                <w:color w:val="auto"/>
                <w:szCs w:val="21"/>
                <w:highlight w:val="none"/>
              </w:rPr>
            </w:pPr>
            <w:r>
              <w:rPr>
                <w:rFonts w:hAnsi="宋体"/>
                <w:color w:val="auto"/>
                <w:szCs w:val="21"/>
                <w:highlight w:val="none"/>
              </w:rPr>
              <w:t>差额</w:t>
            </w:r>
          </w:p>
          <w:p>
            <w:pPr>
              <w:jc w:val="center"/>
              <w:rPr>
                <w:color w:val="auto"/>
                <w:szCs w:val="21"/>
                <w:highlight w:val="none"/>
              </w:rPr>
            </w:pPr>
            <w:r>
              <w:rPr>
                <w:color w:val="auto"/>
                <w:sz w:val="18"/>
                <w:szCs w:val="18"/>
                <w:highlight w:val="none"/>
              </w:rPr>
              <w:t>±</w:t>
            </w:r>
            <w:r>
              <w:rPr>
                <w:rFonts w:hAnsi="宋体"/>
                <w:color w:val="auto"/>
                <w:sz w:val="18"/>
                <w:szCs w:val="18"/>
                <w:highlight w:val="none"/>
              </w:rPr>
              <w:t>（元）</w:t>
            </w:r>
          </w:p>
        </w:tc>
        <w:tc>
          <w:tcPr>
            <w:tcW w:w="1078" w:type="dxa"/>
            <w:vAlign w:val="center"/>
          </w:tcPr>
          <w:p>
            <w:pPr>
              <w:jc w:val="center"/>
              <w:rPr>
                <w:color w:val="auto"/>
                <w:szCs w:val="21"/>
                <w:highlight w:val="none"/>
              </w:rPr>
            </w:pPr>
            <w:r>
              <w:rPr>
                <w:rFonts w:hAnsi="宋体"/>
                <w:color w:val="auto"/>
                <w:szCs w:val="21"/>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jc w:val="center"/>
        </w:trPr>
        <w:tc>
          <w:tcPr>
            <w:tcW w:w="647" w:type="dxa"/>
            <w:vAlign w:val="center"/>
          </w:tcPr>
          <w:p>
            <w:pPr>
              <w:jc w:val="center"/>
              <w:rPr>
                <w:color w:val="auto"/>
                <w:szCs w:val="21"/>
                <w:highlight w:val="none"/>
              </w:rPr>
            </w:pPr>
          </w:p>
        </w:tc>
        <w:tc>
          <w:tcPr>
            <w:tcW w:w="2044" w:type="dxa"/>
            <w:vAlign w:val="center"/>
          </w:tcPr>
          <w:p>
            <w:pPr>
              <w:jc w:val="center"/>
              <w:rPr>
                <w:color w:val="auto"/>
                <w:szCs w:val="21"/>
                <w:highlight w:val="none"/>
              </w:rPr>
            </w:pPr>
          </w:p>
        </w:tc>
        <w:tc>
          <w:tcPr>
            <w:tcW w:w="1410" w:type="dxa"/>
            <w:vAlign w:val="center"/>
          </w:tcPr>
          <w:p>
            <w:pPr>
              <w:rPr>
                <w:color w:val="auto"/>
                <w:szCs w:val="21"/>
                <w:highlight w:val="none"/>
              </w:rPr>
            </w:pPr>
          </w:p>
        </w:tc>
        <w:tc>
          <w:tcPr>
            <w:tcW w:w="1674" w:type="dxa"/>
          </w:tcPr>
          <w:p>
            <w:pPr>
              <w:rPr>
                <w:color w:val="auto"/>
                <w:szCs w:val="21"/>
                <w:highlight w:val="none"/>
              </w:rPr>
            </w:pPr>
          </w:p>
        </w:tc>
        <w:tc>
          <w:tcPr>
            <w:tcW w:w="1309" w:type="dxa"/>
            <w:vAlign w:val="center"/>
          </w:tcPr>
          <w:p>
            <w:pPr>
              <w:jc w:val="center"/>
              <w:rPr>
                <w:color w:val="auto"/>
                <w:szCs w:val="21"/>
                <w:highlight w:val="none"/>
              </w:rPr>
            </w:pPr>
          </w:p>
        </w:tc>
        <w:tc>
          <w:tcPr>
            <w:tcW w:w="1078" w:type="dxa"/>
          </w:tcPr>
          <w:p>
            <w:pPr>
              <w:jc w:val="center"/>
              <w:rPr>
                <w:color w:val="auto"/>
                <w:szCs w:val="21"/>
                <w:highlight w:val="none"/>
              </w:rPr>
            </w:pPr>
          </w:p>
        </w:tc>
        <w:tc>
          <w:tcPr>
            <w:tcW w:w="1078"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jc w:val="center"/>
        </w:trPr>
        <w:tc>
          <w:tcPr>
            <w:tcW w:w="647" w:type="dxa"/>
            <w:vAlign w:val="center"/>
          </w:tcPr>
          <w:p>
            <w:pPr>
              <w:jc w:val="center"/>
              <w:rPr>
                <w:color w:val="auto"/>
                <w:szCs w:val="21"/>
                <w:highlight w:val="none"/>
              </w:rPr>
            </w:pPr>
          </w:p>
        </w:tc>
        <w:tc>
          <w:tcPr>
            <w:tcW w:w="2044" w:type="dxa"/>
            <w:vAlign w:val="center"/>
          </w:tcPr>
          <w:p>
            <w:pPr>
              <w:rPr>
                <w:color w:val="auto"/>
                <w:szCs w:val="21"/>
                <w:highlight w:val="none"/>
              </w:rPr>
            </w:pPr>
          </w:p>
        </w:tc>
        <w:tc>
          <w:tcPr>
            <w:tcW w:w="1410" w:type="dxa"/>
            <w:vAlign w:val="center"/>
          </w:tcPr>
          <w:p>
            <w:pPr>
              <w:rPr>
                <w:color w:val="auto"/>
                <w:szCs w:val="21"/>
                <w:highlight w:val="none"/>
              </w:rPr>
            </w:pPr>
          </w:p>
        </w:tc>
        <w:tc>
          <w:tcPr>
            <w:tcW w:w="1674" w:type="dxa"/>
          </w:tcPr>
          <w:p>
            <w:pPr>
              <w:rPr>
                <w:color w:val="auto"/>
                <w:szCs w:val="21"/>
                <w:highlight w:val="none"/>
              </w:rPr>
            </w:pPr>
          </w:p>
        </w:tc>
        <w:tc>
          <w:tcPr>
            <w:tcW w:w="1309" w:type="dxa"/>
            <w:vAlign w:val="center"/>
          </w:tcPr>
          <w:p>
            <w:pPr>
              <w:rPr>
                <w:color w:val="auto"/>
                <w:szCs w:val="21"/>
                <w:highlight w:val="none"/>
              </w:rPr>
            </w:pPr>
          </w:p>
        </w:tc>
        <w:tc>
          <w:tcPr>
            <w:tcW w:w="1078" w:type="dxa"/>
          </w:tcPr>
          <w:p>
            <w:pPr>
              <w:rPr>
                <w:color w:val="auto"/>
                <w:szCs w:val="21"/>
                <w:highlight w:val="none"/>
              </w:rPr>
            </w:pPr>
          </w:p>
        </w:tc>
        <w:tc>
          <w:tcPr>
            <w:tcW w:w="1078"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jc w:val="center"/>
        </w:trPr>
        <w:tc>
          <w:tcPr>
            <w:tcW w:w="647" w:type="dxa"/>
            <w:vAlign w:val="center"/>
          </w:tcPr>
          <w:p>
            <w:pPr>
              <w:jc w:val="center"/>
              <w:rPr>
                <w:color w:val="auto"/>
                <w:szCs w:val="21"/>
                <w:highlight w:val="none"/>
              </w:rPr>
            </w:pPr>
          </w:p>
        </w:tc>
        <w:tc>
          <w:tcPr>
            <w:tcW w:w="2044" w:type="dxa"/>
            <w:vAlign w:val="center"/>
          </w:tcPr>
          <w:p>
            <w:pPr>
              <w:ind w:firstLine="415" w:firstLineChars="198"/>
              <w:rPr>
                <w:color w:val="auto"/>
                <w:szCs w:val="21"/>
                <w:highlight w:val="none"/>
              </w:rPr>
            </w:pPr>
          </w:p>
        </w:tc>
        <w:tc>
          <w:tcPr>
            <w:tcW w:w="1410" w:type="dxa"/>
            <w:vAlign w:val="center"/>
          </w:tcPr>
          <w:p>
            <w:pPr>
              <w:rPr>
                <w:color w:val="auto"/>
                <w:szCs w:val="21"/>
                <w:highlight w:val="none"/>
              </w:rPr>
            </w:pPr>
          </w:p>
        </w:tc>
        <w:tc>
          <w:tcPr>
            <w:tcW w:w="1674" w:type="dxa"/>
          </w:tcPr>
          <w:p>
            <w:pPr>
              <w:rPr>
                <w:color w:val="auto"/>
                <w:szCs w:val="21"/>
                <w:highlight w:val="none"/>
              </w:rPr>
            </w:pPr>
          </w:p>
        </w:tc>
        <w:tc>
          <w:tcPr>
            <w:tcW w:w="1309" w:type="dxa"/>
            <w:vAlign w:val="center"/>
          </w:tcPr>
          <w:p>
            <w:pPr>
              <w:rPr>
                <w:color w:val="auto"/>
                <w:szCs w:val="21"/>
                <w:highlight w:val="none"/>
              </w:rPr>
            </w:pPr>
          </w:p>
        </w:tc>
        <w:tc>
          <w:tcPr>
            <w:tcW w:w="1078" w:type="dxa"/>
          </w:tcPr>
          <w:p>
            <w:pPr>
              <w:jc w:val="center"/>
              <w:rPr>
                <w:color w:val="auto"/>
                <w:szCs w:val="21"/>
                <w:highlight w:val="none"/>
              </w:rPr>
            </w:pPr>
          </w:p>
        </w:tc>
        <w:tc>
          <w:tcPr>
            <w:tcW w:w="1078"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jc w:val="center"/>
        </w:trPr>
        <w:tc>
          <w:tcPr>
            <w:tcW w:w="647" w:type="dxa"/>
            <w:vAlign w:val="center"/>
          </w:tcPr>
          <w:p>
            <w:pPr>
              <w:jc w:val="center"/>
              <w:rPr>
                <w:color w:val="auto"/>
                <w:szCs w:val="21"/>
                <w:highlight w:val="none"/>
              </w:rPr>
            </w:pPr>
          </w:p>
        </w:tc>
        <w:tc>
          <w:tcPr>
            <w:tcW w:w="2044" w:type="dxa"/>
            <w:vAlign w:val="center"/>
          </w:tcPr>
          <w:p>
            <w:pPr>
              <w:ind w:firstLine="415" w:firstLineChars="198"/>
              <w:rPr>
                <w:color w:val="auto"/>
                <w:szCs w:val="21"/>
                <w:highlight w:val="none"/>
              </w:rPr>
            </w:pPr>
          </w:p>
        </w:tc>
        <w:tc>
          <w:tcPr>
            <w:tcW w:w="1410" w:type="dxa"/>
            <w:vAlign w:val="center"/>
          </w:tcPr>
          <w:p>
            <w:pPr>
              <w:rPr>
                <w:color w:val="auto"/>
                <w:szCs w:val="21"/>
                <w:highlight w:val="none"/>
              </w:rPr>
            </w:pPr>
          </w:p>
        </w:tc>
        <w:tc>
          <w:tcPr>
            <w:tcW w:w="1674" w:type="dxa"/>
          </w:tcPr>
          <w:p>
            <w:pPr>
              <w:rPr>
                <w:color w:val="auto"/>
                <w:szCs w:val="21"/>
                <w:highlight w:val="none"/>
              </w:rPr>
            </w:pPr>
          </w:p>
        </w:tc>
        <w:tc>
          <w:tcPr>
            <w:tcW w:w="1309" w:type="dxa"/>
            <w:vAlign w:val="center"/>
          </w:tcPr>
          <w:p>
            <w:pPr>
              <w:rPr>
                <w:color w:val="auto"/>
                <w:szCs w:val="21"/>
                <w:highlight w:val="none"/>
              </w:rPr>
            </w:pPr>
          </w:p>
        </w:tc>
        <w:tc>
          <w:tcPr>
            <w:tcW w:w="1078" w:type="dxa"/>
          </w:tcPr>
          <w:p>
            <w:pPr>
              <w:jc w:val="center"/>
              <w:rPr>
                <w:color w:val="auto"/>
                <w:szCs w:val="21"/>
                <w:highlight w:val="none"/>
              </w:rPr>
            </w:pPr>
          </w:p>
        </w:tc>
        <w:tc>
          <w:tcPr>
            <w:tcW w:w="1078"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jc w:val="center"/>
        </w:trPr>
        <w:tc>
          <w:tcPr>
            <w:tcW w:w="647" w:type="dxa"/>
            <w:vAlign w:val="center"/>
          </w:tcPr>
          <w:p>
            <w:pPr>
              <w:jc w:val="center"/>
              <w:rPr>
                <w:color w:val="auto"/>
                <w:szCs w:val="21"/>
                <w:highlight w:val="none"/>
              </w:rPr>
            </w:pPr>
          </w:p>
        </w:tc>
        <w:tc>
          <w:tcPr>
            <w:tcW w:w="2044" w:type="dxa"/>
            <w:vAlign w:val="center"/>
          </w:tcPr>
          <w:p>
            <w:pPr>
              <w:rPr>
                <w:color w:val="auto"/>
                <w:szCs w:val="21"/>
                <w:highlight w:val="none"/>
              </w:rPr>
            </w:pPr>
          </w:p>
        </w:tc>
        <w:tc>
          <w:tcPr>
            <w:tcW w:w="1410" w:type="dxa"/>
            <w:vAlign w:val="center"/>
          </w:tcPr>
          <w:p>
            <w:pPr>
              <w:rPr>
                <w:color w:val="auto"/>
                <w:szCs w:val="21"/>
                <w:highlight w:val="none"/>
              </w:rPr>
            </w:pPr>
          </w:p>
        </w:tc>
        <w:tc>
          <w:tcPr>
            <w:tcW w:w="1674" w:type="dxa"/>
          </w:tcPr>
          <w:p>
            <w:pPr>
              <w:rPr>
                <w:color w:val="auto"/>
                <w:szCs w:val="21"/>
                <w:highlight w:val="none"/>
              </w:rPr>
            </w:pPr>
          </w:p>
        </w:tc>
        <w:tc>
          <w:tcPr>
            <w:tcW w:w="1309" w:type="dxa"/>
            <w:vAlign w:val="center"/>
          </w:tcPr>
          <w:p>
            <w:pPr>
              <w:rPr>
                <w:color w:val="auto"/>
                <w:szCs w:val="21"/>
                <w:highlight w:val="none"/>
              </w:rPr>
            </w:pPr>
          </w:p>
        </w:tc>
        <w:tc>
          <w:tcPr>
            <w:tcW w:w="1078" w:type="dxa"/>
          </w:tcPr>
          <w:p>
            <w:pPr>
              <w:jc w:val="center"/>
              <w:rPr>
                <w:color w:val="auto"/>
                <w:szCs w:val="21"/>
                <w:highlight w:val="none"/>
              </w:rPr>
            </w:pPr>
          </w:p>
        </w:tc>
        <w:tc>
          <w:tcPr>
            <w:tcW w:w="1078"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jc w:val="center"/>
        </w:trPr>
        <w:tc>
          <w:tcPr>
            <w:tcW w:w="647" w:type="dxa"/>
            <w:vAlign w:val="center"/>
          </w:tcPr>
          <w:p>
            <w:pPr>
              <w:jc w:val="center"/>
              <w:rPr>
                <w:color w:val="auto"/>
                <w:szCs w:val="21"/>
                <w:highlight w:val="none"/>
              </w:rPr>
            </w:pPr>
          </w:p>
        </w:tc>
        <w:tc>
          <w:tcPr>
            <w:tcW w:w="2044" w:type="dxa"/>
            <w:vAlign w:val="center"/>
          </w:tcPr>
          <w:p>
            <w:pPr>
              <w:rPr>
                <w:color w:val="auto"/>
                <w:szCs w:val="21"/>
                <w:highlight w:val="none"/>
              </w:rPr>
            </w:pPr>
          </w:p>
        </w:tc>
        <w:tc>
          <w:tcPr>
            <w:tcW w:w="1410" w:type="dxa"/>
            <w:vAlign w:val="center"/>
          </w:tcPr>
          <w:p>
            <w:pPr>
              <w:rPr>
                <w:color w:val="auto"/>
                <w:szCs w:val="21"/>
                <w:highlight w:val="none"/>
              </w:rPr>
            </w:pPr>
          </w:p>
        </w:tc>
        <w:tc>
          <w:tcPr>
            <w:tcW w:w="1674" w:type="dxa"/>
          </w:tcPr>
          <w:p>
            <w:pPr>
              <w:rPr>
                <w:color w:val="auto"/>
                <w:szCs w:val="21"/>
                <w:highlight w:val="none"/>
              </w:rPr>
            </w:pPr>
          </w:p>
        </w:tc>
        <w:tc>
          <w:tcPr>
            <w:tcW w:w="1309" w:type="dxa"/>
            <w:vAlign w:val="center"/>
          </w:tcPr>
          <w:p>
            <w:pPr>
              <w:rPr>
                <w:color w:val="auto"/>
                <w:szCs w:val="21"/>
                <w:highlight w:val="none"/>
              </w:rPr>
            </w:pPr>
          </w:p>
        </w:tc>
        <w:tc>
          <w:tcPr>
            <w:tcW w:w="1078" w:type="dxa"/>
          </w:tcPr>
          <w:p>
            <w:pPr>
              <w:jc w:val="center"/>
              <w:rPr>
                <w:color w:val="auto"/>
                <w:szCs w:val="21"/>
                <w:highlight w:val="none"/>
              </w:rPr>
            </w:pPr>
          </w:p>
        </w:tc>
        <w:tc>
          <w:tcPr>
            <w:tcW w:w="1078"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jc w:val="center"/>
        </w:trPr>
        <w:tc>
          <w:tcPr>
            <w:tcW w:w="647" w:type="dxa"/>
            <w:vAlign w:val="center"/>
          </w:tcPr>
          <w:p>
            <w:pPr>
              <w:jc w:val="center"/>
              <w:rPr>
                <w:color w:val="auto"/>
                <w:szCs w:val="21"/>
                <w:highlight w:val="none"/>
              </w:rPr>
            </w:pPr>
          </w:p>
        </w:tc>
        <w:tc>
          <w:tcPr>
            <w:tcW w:w="2044" w:type="dxa"/>
            <w:vAlign w:val="center"/>
          </w:tcPr>
          <w:p>
            <w:pPr>
              <w:jc w:val="center"/>
              <w:rPr>
                <w:color w:val="auto"/>
                <w:szCs w:val="21"/>
                <w:highlight w:val="none"/>
              </w:rPr>
            </w:pPr>
          </w:p>
        </w:tc>
        <w:tc>
          <w:tcPr>
            <w:tcW w:w="1410" w:type="dxa"/>
            <w:vAlign w:val="center"/>
          </w:tcPr>
          <w:p>
            <w:pPr>
              <w:rPr>
                <w:color w:val="auto"/>
                <w:szCs w:val="21"/>
                <w:highlight w:val="none"/>
              </w:rPr>
            </w:pPr>
          </w:p>
        </w:tc>
        <w:tc>
          <w:tcPr>
            <w:tcW w:w="1674" w:type="dxa"/>
          </w:tcPr>
          <w:p>
            <w:pPr>
              <w:rPr>
                <w:color w:val="auto"/>
                <w:szCs w:val="21"/>
                <w:highlight w:val="none"/>
              </w:rPr>
            </w:pPr>
          </w:p>
        </w:tc>
        <w:tc>
          <w:tcPr>
            <w:tcW w:w="1309" w:type="dxa"/>
            <w:vAlign w:val="center"/>
          </w:tcPr>
          <w:p>
            <w:pPr>
              <w:rPr>
                <w:color w:val="auto"/>
                <w:szCs w:val="21"/>
                <w:highlight w:val="none"/>
              </w:rPr>
            </w:pPr>
          </w:p>
        </w:tc>
        <w:tc>
          <w:tcPr>
            <w:tcW w:w="1078" w:type="dxa"/>
          </w:tcPr>
          <w:p>
            <w:pPr>
              <w:rPr>
                <w:color w:val="auto"/>
                <w:szCs w:val="21"/>
                <w:highlight w:val="none"/>
              </w:rPr>
            </w:pPr>
          </w:p>
        </w:tc>
        <w:tc>
          <w:tcPr>
            <w:tcW w:w="1078"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jc w:val="center"/>
        </w:trPr>
        <w:tc>
          <w:tcPr>
            <w:tcW w:w="647" w:type="dxa"/>
            <w:vAlign w:val="center"/>
          </w:tcPr>
          <w:p>
            <w:pPr>
              <w:jc w:val="center"/>
              <w:rPr>
                <w:color w:val="auto"/>
                <w:szCs w:val="21"/>
                <w:highlight w:val="none"/>
              </w:rPr>
            </w:pPr>
          </w:p>
        </w:tc>
        <w:tc>
          <w:tcPr>
            <w:tcW w:w="2044" w:type="dxa"/>
            <w:vAlign w:val="center"/>
          </w:tcPr>
          <w:p>
            <w:pPr>
              <w:jc w:val="center"/>
              <w:rPr>
                <w:color w:val="auto"/>
                <w:szCs w:val="21"/>
                <w:highlight w:val="none"/>
              </w:rPr>
            </w:pPr>
          </w:p>
        </w:tc>
        <w:tc>
          <w:tcPr>
            <w:tcW w:w="1410" w:type="dxa"/>
            <w:vAlign w:val="center"/>
          </w:tcPr>
          <w:p>
            <w:pPr>
              <w:rPr>
                <w:color w:val="auto"/>
                <w:szCs w:val="21"/>
                <w:highlight w:val="none"/>
              </w:rPr>
            </w:pPr>
          </w:p>
        </w:tc>
        <w:tc>
          <w:tcPr>
            <w:tcW w:w="1674" w:type="dxa"/>
          </w:tcPr>
          <w:p>
            <w:pPr>
              <w:rPr>
                <w:color w:val="auto"/>
                <w:szCs w:val="21"/>
                <w:highlight w:val="none"/>
              </w:rPr>
            </w:pPr>
          </w:p>
        </w:tc>
        <w:tc>
          <w:tcPr>
            <w:tcW w:w="1309" w:type="dxa"/>
            <w:vAlign w:val="center"/>
          </w:tcPr>
          <w:p>
            <w:pPr>
              <w:rPr>
                <w:color w:val="auto"/>
                <w:szCs w:val="21"/>
                <w:highlight w:val="none"/>
              </w:rPr>
            </w:pPr>
          </w:p>
        </w:tc>
        <w:tc>
          <w:tcPr>
            <w:tcW w:w="1078" w:type="dxa"/>
          </w:tcPr>
          <w:p>
            <w:pPr>
              <w:rPr>
                <w:color w:val="auto"/>
                <w:szCs w:val="21"/>
                <w:highlight w:val="none"/>
              </w:rPr>
            </w:pPr>
          </w:p>
        </w:tc>
        <w:tc>
          <w:tcPr>
            <w:tcW w:w="1078"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jc w:val="center"/>
        </w:trPr>
        <w:tc>
          <w:tcPr>
            <w:tcW w:w="647" w:type="dxa"/>
            <w:vAlign w:val="center"/>
          </w:tcPr>
          <w:p>
            <w:pPr>
              <w:jc w:val="center"/>
              <w:rPr>
                <w:color w:val="auto"/>
                <w:szCs w:val="21"/>
                <w:highlight w:val="none"/>
              </w:rPr>
            </w:pPr>
          </w:p>
        </w:tc>
        <w:tc>
          <w:tcPr>
            <w:tcW w:w="2044" w:type="dxa"/>
            <w:vAlign w:val="center"/>
          </w:tcPr>
          <w:p>
            <w:pPr>
              <w:jc w:val="center"/>
              <w:rPr>
                <w:color w:val="auto"/>
                <w:szCs w:val="21"/>
                <w:highlight w:val="none"/>
              </w:rPr>
            </w:pPr>
          </w:p>
        </w:tc>
        <w:tc>
          <w:tcPr>
            <w:tcW w:w="1410" w:type="dxa"/>
            <w:vAlign w:val="center"/>
          </w:tcPr>
          <w:p>
            <w:pPr>
              <w:rPr>
                <w:color w:val="auto"/>
                <w:szCs w:val="21"/>
                <w:highlight w:val="none"/>
              </w:rPr>
            </w:pPr>
          </w:p>
        </w:tc>
        <w:tc>
          <w:tcPr>
            <w:tcW w:w="1674" w:type="dxa"/>
          </w:tcPr>
          <w:p>
            <w:pPr>
              <w:rPr>
                <w:color w:val="auto"/>
                <w:szCs w:val="21"/>
                <w:highlight w:val="none"/>
              </w:rPr>
            </w:pPr>
          </w:p>
        </w:tc>
        <w:tc>
          <w:tcPr>
            <w:tcW w:w="1309" w:type="dxa"/>
            <w:vAlign w:val="center"/>
          </w:tcPr>
          <w:p>
            <w:pPr>
              <w:rPr>
                <w:color w:val="auto"/>
                <w:szCs w:val="21"/>
                <w:highlight w:val="none"/>
              </w:rPr>
            </w:pPr>
          </w:p>
        </w:tc>
        <w:tc>
          <w:tcPr>
            <w:tcW w:w="1078" w:type="dxa"/>
          </w:tcPr>
          <w:p>
            <w:pPr>
              <w:rPr>
                <w:color w:val="auto"/>
                <w:szCs w:val="21"/>
                <w:highlight w:val="none"/>
              </w:rPr>
            </w:pPr>
          </w:p>
        </w:tc>
        <w:tc>
          <w:tcPr>
            <w:tcW w:w="1078"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jc w:val="center"/>
        </w:trPr>
        <w:tc>
          <w:tcPr>
            <w:tcW w:w="647" w:type="dxa"/>
            <w:vAlign w:val="center"/>
          </w:tcPr>
          <w:p>
            <w:pPr>
              <w:jc w:val="center"/>
              <w:rPr>
                <w:color w:val="auto"/>
                <w:szCs w:val="21"/>
                <w:highlight w:val="none"/>
              </w:rPr>
            </w:pPr>
          </w:p>
        </w:tc>
        <w:tc>
          <w:tcPr>
            <w:tcW w:w="2044" w:type="dxa"/>
            <w:vAlign w:val="center"/>
          </w:tcPr>
          <w:p>
            <w:pPr>
              <w:jc w:val="center"/>
              <w:rPr>
                <w:color w:val="auto"/>
                <w:szCs w:val="21"/>
                <w:highlight w:val="none"/>
              </w:rPr>
            </w:pPr>
          </w:p>
        </w:tc>
        <w:tc>
          <w:tcPr>
            <w:tcW w:w="1410" w:type="dxa"/>
            <w:vAlign w:val="center"/>
          </w:tcPr>
          <w:p>
            <w:pPr>
              <w:rPr>
                <w:color w:val="auto"/>
                <w:szCs w:val="21"/>
                <w:highlight w:val="none"/>
              </w:rPr>
            </w:pPr>
          </w:p>
        </w:tc>
        <w:tc>
          <w:tcPr>
            <w:tcW w:w="1674" w:type="dxa"/>
          </w:tcPr>
          <w:p>
            <w:pPr>
              <w:rPr>
                <w:color w:val="auto"/>
                <w:szCs w:val="21"/>
                <w:highlight w:val="none"/>
              </w:rPr>
            </w:pPr>
          </w:p>
        </w:tc>
        <w:tc>
          <w:tcPr>
            <w:tcW w:w="1309" w:type="dxa"/>
            <w:vAlign w:val="center"/>
          </w:tcPr>
          <w:p>
            <w:pPr>
              <w:rPr>
                <w:color w:val="auto"/>
                <w:szCs w:val="21"/>
                <w:highlight w:val="none"/>
              </w:rPr>
            </w:pPr>
          </w:p>
        </w:tc>
        <w:tc>
          <w:tcPr>
            <w:tcW w:w="1078" w:type="dxa"/>
          </w:tcPr>
          <w:p>
            <w:pPr>
              <w:rPr>
                <w:color w:val="auto"/>
                <w:szCs w:val="21"/>
                <w:highlight w:val="none"/>
              </w:rPr>
            </w:pPr>
          </w:p>
        </w:tc>
        <w:tc>
          <w:tcPr>
            <w:tcW w:w="1078"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jc w:val="center"/>
        </w:trPr>
        <w:tc>
          <w:tcPr>
            <w:tcW w:w="4101" w:type="dxa"/>
            <w:gridSpan w:val="3"/>
            <w:vAlign w:val="center"/>
          </w:tcPr>
          <w:p>
            <w:pPr>
              <w:jc w:val="center"/>
              <w:rPr>
                <w:color w:val="auto"/>
                <w:szCs w:val="21"/>
                <w:highlight w:val="none"/>
              </w:rPr>
            </w:pPr>
            <w:r>
              <w:rPr>
                <w:rFonts w:hAnsi="宋体"/>
                <w:color w:val="auto"/>
                <w:szCs w:val="21"/>
                <w:highlight w:val="none"/>
              </w:rPr>
              <w:t>合计</w:t>
            </w:r>
          </w:p>
        </w:tc>
        <w:tc>
          <w:tcPr>
            <w:tcW w:w="1674" w:type="dxa"/>
          </w:tcPr>
          <w:p>
            <w:pPr>
              <w:rPr>
                <w:color w:val="auto"/>
                <w:szCs w:val="21"/>
                <w:highlight w:val="none"/>
              </w:rPr>
            </w:pPr>
          </w:p>
        </w:tc>
        <w:tc>
          <w:tcPr>
            <w:tcW w:w="1309" w:type="dxa"/>
            <w:vAlign w:val="center"/>
          </w:tcPr>
          <w:p>
            <w:pPr>
              <w:rPr>
                <w:color w:val="auto"/>
                <w:szCs w:val="21"/>
                <w:highlight w:val="none"/>
              </w:rPr>
            </w:pPr>
          </w:p>
        </w:tc>
        <w:tc>
          <w:tcPr>
            <w:tcW w:w="1078" w:type="dxa"/>
          </w:tcPr>
          <w:p>
            <w:pPr>
              <w:rPr>
                <w:color w:val="auto"/>
                <w:szCs w:val="21"/>
                <w:highlight w:val="none"/>
              </w:rPr>
            </w:pPr>
          </w:p>
        </w:tc>
        <w:tc>
          <w:tcPr>
            <w:tcW w:w="1078" w:type="dxa"/>
            <w:vAlign w:val="center"/>
          </w:tcPr>
          <w:p>
            <w:pPr>
              <w:rPr>
                <w:color w:val="auto"/>
                <w:szCs w:val="21"/>
                <w:highlight w:val="none"/>
              </w:rPr>
            </w:pPr>
          </w:p>
        </w:tc>
      </w:tr>
    </w:tbl>
    <w:p>
      <w:pPr>
        <w:rPr>
          <w:color w:val="auto"/>
          <w:sz w:val="18"/>
          <w:szCs w:val="18"/>
          <w:highlight w:val="none"/>
        </w:rPr>
      </w:pPr>
      <w:r>
        <w:rPr>
          <w:rFonts w:hAnsi="宋体"/>
          <w:color w:val="auto"/>
          <w:sz w:val="18"/>
          <w:szCs w:val="18"/>
          <w:highlight w:val="none"/>
        </w:rPr>
        <w:t>注：此表</w:t>
      </w:r>
      <w:r>
        <w:rPr>
          <w:color w:val="auto"/>
          <w:sz w:val="18"/>
          <w:szCs w:val="18"/>
          <w:highlight w:val="none"/>
        </w:rPr>
        <w:t>“</w:t>
      </w:r>
      <w:r>
        <w:rPr>
          <w:rFonts w:hAnsi="宋体"/>
          <w:color w:val="auto"/>
          <w:sz w:val="18"/>
          <w:szCs w:val="18"/>
          <w:highlight w:val="none"/>
        </w:rPr>
        <w:t>暂估金额</w:t>
      </w:r>
      <w:r>
        <w:rPr>
          <w:color w:val="auto"/>
          <w:sz w:val="18"/>
          <w:szCs w:val="18"/>
          <w:highlight w:val="none"/>
        </w:rPr>
        <w:t>”</w:t>
      </w:r>
      <w:r>
        <w:rPr>
          <w:rFonts w:hAnsi="宋体"/>
          <w:color w:val="auto"/>
          <w:sz w:val="18"/>
          <w:szCs w:val="18"/>
          <w:highlight w:val="none"/>
        </w:rPr>
        <w:t>由招标人填写，投标人应将</w:t>
      </w:r>
      <w:r>
        <w:rPr>
          <w:color w:val="auto"/>
          <w:sz w:val="18"/>
          <w:szCs w:val="18"/>
          <w:highlight w:val="none"/>
        </w:rPr>
        <w:t>“</w:t>
      </w:r>
      <w:r>
        <w:rPr>
          <w:rFonts w:hAnsi="宋体"/>
          <w:color w:val="auto"/>
          <w:sz w:val="18"/>
          <w:szCs w:val="18"/>
          <w:highlight w:val="none"/>
        </w:rPr>
        <w:t>暂估金额</w:t>
      </w:r>
      <w:r>
        <w:rPr>
          <w:color w:val="auto"/>
          <w:sz w:val="18"/>
          <w:szCs w:val="18"/>
          <w:highlight w:val="none"/>
        </w:rPr>
        <w:t>”</w:t>
      </w:r>
      <w:r>
        <w:rPr>
          <w:rFonts w:hAnsi="宋体"/>
          <w:color w:val="auto"/>
          <w:sz w:val="18"/>
          <w:szCs w:val="18"/>
          <w:highlight w:val="none"/>
        </w:rPr>
        <w:t>计入投标总价中。</w:t>
      </w:r>
    </w:p>
    <w:p>
      <w:pPr>
        <w:jc w:val="right"/>
        <w:rPr>
          <w:color w:val="auto"/>
          <w:sz w:val="18"/>
          <w:szCs w:val="18"/>
          <w:highlight w:val="none"/>
        </w:rPr>
      </w:pPr>
      <w:r>
        <w:rPr>
          <w:rFonts w:hAnsi="宋体"/>
          <w:color w:val="auto"/>
          <w:sz w:val="18"/>
          <w:szCs w:val="18"/>
          <w:highlight w:val="none"/>
        </w:rPr>
        <w:t>表</w:t>
      </w:r>
      <w:r>
        <w:rPr>
          <w:color w:val="auto"/>
          <w:sz w:val="18"/>
          <w:szCs w:val="18"/>
          <w:highlight w:val="none"/>
        </w:rPr>
        <w:t>—12—3</w:t>
      </w:r>
    </w:p>
    <w:p>
      <w:pPr>
        <w:jc w:val="right"/>
        <w:rPr>
          <w:color w:val="auto"/>
          <w:sz w:val="18"/>
          <w:szCs w:val="18"/>
          <w:highlight w:val="none"/>
        </w:rPr>
      </w:pPr>
    </w:p>
    <w:p>
      <w:pPr>
        <w:jc w:val="right"/>
        <w:rPr>
          <w:color w:val="auto"/>
          <w:sz w:val="18"/>
          <w:szCs w:val="18"/>
          <w:highlight w:val="none"/>
        </w:rPr>
      </w:pPr>
    </w:p>
    <w:p>
      <w:pPr>
        <w:spacing w:line="480" w:lineRule="auto"/>
        <w:jc w:val="center"/>
        <w:rPr>
          <w:b/>
          <w:color w:val="auto"/>
          <w:sz w:val="36"/>
          <w:szCs w:val="36"/>
          <w:highlight w:val="none"/>
        </w:rPr>
      </w:pPr>
    </w:p>
    <w:p>
      <w:pPr>
        <w:spacing w:line="480" w:lineRule="auto"/>
        <w:jc w:val="center"/>
        <w:rPr>
          <w:b/>
          <w:color w:val="auto"/>
          <w:sz w:val="36"/>
          <w:szCs w:val="36"/>
          <w:highlight w:val="none"/>
        </w:rPr>
      </w:pPr>
    </w:p>
    <w:p>
      <w:pPr>
        <w:pStyle w:val="78"/>
        <w:tabs>
          <w:tab w:val="left" w:pos="707"/>
        </w:tabs>
        <w:jc w:val="center"/>
        <w:outlineLvl w:val="2"/>
        <w:rPr>
          <w:rFonts w:ascii="Times New Roman" w:hAnsi="Times New Roman" w:cs="Times New Roman"/>
          <w:b/>
          <w:color w:val="auto"/>
          <w:spacing w:val="1"/>
          <w:highlight w:val="none"/>
          <w:lang w:eastAsia="zh-CN"/>
        </w:rPr>
      </w:pPr>
      <w:r>
        <w:rPr>
          <w:rFonts w:ascii="Times New Roman" w:cs="Times New Roman"/>
          <w:b/>
          <w:color w:val="auto"/>
          <w:spacing w:val="1"/>
          <w:highlight w:val="none"/>
          <w:lang w:eastAsia="zh-CN"/>
        </w:rPr>
        <w:t>计日工表</w:t>
      </w:r>
    </w:p>
    <w:p>
      <w:pPr>
        <w:pStyle w:val="78"/>
        <w:tabs>
          <w:tab w:val="left" w:pos="707"/>
        </w:tabs>
        <w:jc w:val="center"/>
        <w:outlineLvl w:val="2"/>
        <w:rPr>
          <w:rFonts w:ascii="Times New Roman" w:hAnsi="Times New Roman" w:cs="Times New Roman"/>
          <w:b/>
          <w:color w:val="auto"/>
          <w:spacing w:val="1"/>
          <w:highlight w:val="none"/>
          <w:lang w:eastAsia="zh-CN"/>
        </w:rPr>
      </w:pPr>
    </w:p>
    <w:p>
      <w:pPr>
        <w:rPr>
          <w:color w:val="auto"/>
          <w:sz w:val="24"/>
          <w:highlight w:val="none"/>
        </w:rPr>
      </w:pPr>
      <w:r>
        <w:rPr>
          <w:rFonts w:hAnsi="宋体"/>
          <w:color w:val="auto"/>
          <w:sz w:val="24"/>
          <w:highlight w:val="none"/>
        </w:rPr>
        <w:t>工程名称：标段：第页共页</w:t>
      </w:r>
    </w:p>
    <w:tbl>
      <w:tblPr>
        <w:tblStyle w:val="57"/>
        <w:tblW w:w="843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7"/>
        <w:gridCol w:w="1684"/>
        <w:gridCol w:w="899"/>
        <w:gridCol w:w="981"/>
        <w:gridCol w:w="1145"/>
        <w:gridCol w:w="1105"/>
        <w:gridCol w:w="990"/>
        <w:gridCol w:w="9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687" w:type="dxa"/>
            <w:vMerge w:val="restart"/>
            <w:vAlign w:val="center"/>
          </w:tcPr>
          <w:p>
            <w:pPr>
              <w:jc w:val="center"/>
              <w:rPr>
                <w:color w:val="auto"/>
                <w:szCs w:val="21"/>
                <w:highlight w:val="none"/>
              </w:rPr>
            </w:pPr>
            <w:r>
              <w:rPr>
                <w:rFonts w:hAnsi="宋体"/>
                <w:color w:val="auto"/>
                <w:szCs w:val="21"/>
                <w:highlight w:val="none"/>
              </w:rPr>
              <w:t>编号</w:t>
            </w:r>
          </w:p>
        </w:tc>
        <w:tc>
          <w:tcPr>
            <w:tcW w:w="1684" w:type="dxa"/>
            <w:vMerge w:val="restart"/>
            <w:vAlign w:val="center"/>
          </w:tcPr>
          <w:p>
            <w:pPr>
              <w:jc w:val="center"/>
              <w:rPr>
                <w:color w:val="auto"/>
                <w:szCs w:val="21"/>
                <w:highlight w:val="none"/>
              </w:rPr>
            </w:pPr>
            <w:r>
              <w:rPr>
                <w:rFonts w:hAnsi="宋体"/>
                <w:color w:val="auto"/>
                <w:szCs w:val="21"/>
                <w:highlight w:val="none"/>
              </w:rPr>
              <w:t>项目名称</w:t>
            </w:r>
          </w:p>
        </w:tc>
        <w:tc>
          <w:tcPr>
            <w:tcW w:w="899" w:type="dxa"/>
            <w:vMerge w:val="restart"/>
            <w:vAlign w:val="center"/>
          </w:tcPr>
          <w:p>
            <w:pPr>
              <w:jc w:val="center"/>
              <w:rPr>
                <w:color w:val="auto"/>
                <w:szCs w:val="21"/>
                <w:highlight w:val="none"/>
              </w:rPr>
            </w:pPr>
            <w:r>
              <w:rPr>
                <w:rFonts w:hAnsi="宋体"/>
                <w:color w:val="auto"/>
                <w:szCs w:val="21"/>
                <w:highlight w:val="none"/>
              </w:rPr>
              <w:t>单位</w:t>
            </w:r>
          </w:p>
        </w:tc>
        <w:tc>
          <w:tcPr>
            <w:tcW w:w="981" w:type="dxa"/>
            <w:vMerge w:val="restart"/>
            <w:vAlign w:val="center"/>
          </w:tcPr>
          <w:p>
            <w:pPr>
              <w:jc w:val="center"/>
              <w:rPr>
                <w:color w:val="auto"/>
                <w:szCs w:val="21"/>
                <w:highlight w:val="none"/>
              </w:rPr>
            </w:pPr>
            <w:r>
              <w:rPr>
                <w:rFonts w:hAnsi="宋体"/>
                <w:color w:val="auto"/>
                <w:szCs w:val="21"/>
                <w:highlight w:val="none"/>
              </w:rPr>
              <w:t>暂定数量</w:t>
            </w:r>
          </w:p>
        </w:tc>
        <w:tc>
          <w:tcPr>
            <w:tcW w:w="1145" w:type="dxa"/>
            <w:vMerge w:val="restart"/>
            <w:vAlign w:val="center"/>
          </w:tcPr>
          <w:p>
            <w:pPr>
              <w:jc w:val="center"/>
              <w:rPr>
                <w:color w:val="auto"/>
                <w:szCs w:val="21"/>
                <w:highlight w:val="none"/>
              </w:rPr>
            </w:pPr>
            <w:r>
              <w:rPr>
                <w:rFonts w:hAnsi="宋体"/>
                <w:color w:val="auto"/>
                <w:szCs w:val="21"/>
                <w:highlight w:val="none"/>
              </w:rPr>
              <w:t>实际数量</w:t>
            </w:r>
          </w:p>
        </w:tc>
        <w:tc>
          <w:tcPr>
            <w:tcW w:w="1105" w:type="dxa"/>
            <w:vMerge w:val="restart"/>
            <w:vAlign w:val="center"/>
          </w:tcPr>
          <w:p>
            <w:pPr>
              <w:jc w:val="center"/>
              <w:rPr>
                <w:color w:val="auto"/>
                <w:szCs w:val="21"/>
                <w:highlight w:val="none"/>
              </w:rPr>
            </w:pPr>
            <w:r>
              <w:rPr>
                <w:rFonts w:hAnsi="宋体"/>
                <w:color w:val="auto"/>
                <w:szCs w:val="21"/>
                <w:highlight w:val="none"/>
              </w:rPr>
              <w:t>综合单价（元）</w:t>
            </w:r>
          </w:p>
        </w:tc>
        <w:tc>
          <w:tcPr>
            <w:tcW w:w="1935" w:type="dxa"/>
            <w:gridSpan w:val="2"/>
          </w:tcPr>
          <w:p>
            <w:pPr>
              <w:jc w:val="center"/>
              <w:rPr>
                <w:color w:val="auto"/>
                <w:szCs w:val="21"/>
                <w:highlight w:val="none"/>
              </w:rPr>
            </w:pPr>
            <w:r>
              <w:rPr>
                <w:rFonts w:hAnsi="宋体"/>
                <w:color w:val="auto"/>
                <w:szCs w:val="21"/>
                <w:highlight w:val="none"/>
              </w:rPr>
              <w:t>合价（元）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687" w:type="dxa"/>
            <w:vMerge w:val="continue"/>
            <w:vAlign w:val="center"/>
          </w:tcPr>
          <w:p>
            <w:pPr>
              <w:jc w:val="center"/>
              <w:rPr>
                <w:color w:val="auto"/>
                <w:szCs w:val="21"/>
                <w:highlight w:val="none"/>
              </w:rPr>
            </w:pPr>
          </w:p>
        </w:tc>
        <w:tc>
          <w:tcPr>
            <w:tcW w:w="1684" w:type="dxa"/>
            <w:vMerge w:val="continue"/>
            <w:vAlign w:val="center"/>
          </w:tcPr>
          <w:p>
            <w:pPr>
              <w:jc w:val="center"/>
              <w:rPr>
                <w:color w:val="auto"/>
                <w:szCs w:val="21"/>
                <w:highlight w:val="none"/>
              </w:rPr>
            </w:pPr>
          </w:p>
        </w:tc>
        <w:tc>
          <w:tcPr>
            <w:tcW w:w="899" w:type="dxa"/>
            <w:vMerge w:val="continue"/>
            <w:vAlign w:val="center"/>
          </w:tcPr>
          <w:p>
            <w:pPr>
              <w:jc w:val="center"/>
              <w:rPr>
                <w:color w:val="auto"/>
                <w:szCs w:val="21"/>
                <w:highlight w:val="none"/>
              </w:rPr>
            </w:pPr>
          </w:p>
        </w:tc>
        <w:tc>
          <w:tcPr>
            <w:tcW w:w="981" w:type="dxa"/>
            <w:vMerge w:val="continue"/>
            <w:vAlign w:val="center"/>
          </w:tcPr>
          <w:p>
            <w:pPr>
              <w:jc w:val="center"/>
              <w:rPr>
                <w:color w:val="auto"/>
                <w:szCs w:val="21"/>
                <w:highlight w:val="none"/>
              </w:rPr>
            </w:pPr>
          </w:p>
        </w:tc>
        <w:tc>
          <w:tcPr>
            <w:tcW w:w="1145" w:type="dxa"/>
            <w:vMerge w:val="continue"/>
            <w:vAlign w:val="center"/>
          </w:tcPr>
          <w:p>
            <w:pPr>
              <w:jc w:val="center"/>
              <w:rPr>
                <w:color w:val="auto"/>
                <w:szCs w:val="21"/>
                <w:highlight w:val="none"/>
              </w:rPr>
            </w:pPr>
          </w:p>
        </w:tc>
        <w:tc>
          <w:tcPr>
            <w:tcW w:w="1105" w:type="dxa"/>
            <w:vMerge w:val="continue"/>
            <w:vAlign w:val="center"/>
          </w:tcPr>
          <w:p>
            <w:pPr>
              <w:jc w:val="center"/>
              <w:rPr>
                <w:color w:val="auto"/>
                <w:szCs w:val="21"/>
                <w:highlight w:val="none"/>
              </w:rPr>
            </w:pPr>
          </w:p>
        </w:tc>
        <w:tc>
          <w:tcPr>
            <w:tcW w:w="990" w:type="dxa"/>
            <w:vAlign w:val="center"/>
          </w:tcPr>
          <w:p>
            <w:pPr>
              <w:jc w:val="center"/>
              <w:rPr>
                <w:color w:val="auto"/>
                <w:szCs w:val="21"/>
                <w:highlight w:val="none"/>
              </w:rPr>
            </w:pPr>
            <w:r>
              <w:rPr>
                <w:rFonts w:hAnsi="宋体"/>
                <w:color w:val="auto"/>
                <w:szCs w:val="21"/>
                <w:highlight w:val="none"/>
              </w:rPr>
              <w:t>暂定</w:t>
            </w:r>
          </w:p>
        </w:tc>
        <w:tc>
          <w:tcPr>
            <w:tcW w:w="945" w:type="dxa"/>
            <w:vAlign w:val="center"/>
          </w:tcPr>
          <w:p>
            <w:pPr>
              <w:jc w:val="center"/>
              <w:rPr>
                <w:color w:val="auto"/>
                <w:szCs w:val="21"/>
                <w:highlight w:val="none"/>
              </w:rPr>
            </w:pPr>
            <w:r>
              <w:rPr>
                <w:rFonts w:hAnsi="宋体"/>
                <w:color w:val="auto"/>
                <w:szCs w:val="21"/>
                <w:highlight w:val="none"/>
              </w:rPr>
              <w:t>实际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rFonts w:hAnsi="宋体"/>
                <w:color w:val="auto"/>
                <w:szCs w:val="21"/>
                <w:highlight w:val="none"/>
              </w:rPr>
              <w:t>一</w:t>
            </w:r>
          </w:p>
        </w:tc>
        <w:tc>
          <w:tcPr>
            <w:tcW w:w="1684" w:type="dxa"/>
            <w:vAlign w:val="center"/>
          </w:tcPr>
          <w:p>
            <w:pPr>
              <w:jc w:val="center"/>
              <w:rPr>
                <w:color w:val="auto"/>
                <w:szCs w:val="21"/>
                <w:highlight w:val="none"/>
              </w:rPr>
            </w:pPr>
            <w:r>
              <w:rPr>
                <w:rFonts w:hAnsi="宋体"/>
                <w:color w:val="auto"/>
                <w:szCs w:val="21"/>
                <w:highlight w:val="none"/>
              </w:rPr>
              <w:t>人工</w:t>
            </w: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jc w:val="center"/>
              <w:rPr>
                <w:color w:val="auto"/>
                <w:szCs w:val="21"/>
                <w:highlight w:val="none"/>
              </w:rPr>
            </w:pPr>
          </w:p>
        </w:tc>
        <w:tc>
          <w:tcPr>
            <w:tcW w:w="990" w:type="dxa"/>
          </w:tcPr>
          <w:p>
            <w:pPr>
              <w:jc w:val="center"/>
              <w:rPr>
                <w:color w:val="auto"/>
                <w:szCs w:val="21"/>
                <w:highlight w:val="none"/>
              </w:rPr>
            </w:pPr>
          </w:p>
        </w:tc>
        <w:tc>
          <w:tcPr>
            <w:tcW w:w="945"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color w:val="auto"/>
                <w:szCs w:val="21"/>
                <w:highlight w:val="none"/>
              </w:rPr>
              <w:t>1</w:t>
            </w:r>
          </w:p>
        </w:tc>
        <w:tc>
          <w:tcPr>
            <w:tcW w:w="1684" w:type="dxa"/>
            <w:vAlign w:val="center"/>
          </w:tcPr>
          <w:p>
            <w:pPr>
              <w:rPr>
                <w:color w:val="auto"/>
                <w:szCs w:val="21"/>
                <w:highlight w:val="none"/>
              </w:rPr>
            </w:pP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rPr>
                <w:color w:val="auto"/>
                <w:szCs w:val="21"/>
                <w:highlight w:val="none"/>
              </w:rPr>
            </w:pPr>
          </w:p>
        </w:tc>
        <w:tc>
          <w:tcPr>
            <w:tcW w:w="990" w:type="dxa"/>
          </w:tcPr>
          <w:p>
            <w:pPr>
              <w:rPr>
                <w:color w:val="auto"/>
                <w:szCs w:val="21"/>
                <w:highlight w:val="none"/>
              </w:rPr>
            </w:pPr>
          </w:p>
        </w:tc>
        <w:tc>
          <w:tcPr>
            <w:tcW w:w="945"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color w:val="auto"/>
                <w:szCs w:val="21"/>
                <w:highlight w:val="none"/>
              </w:rPr>
              <w:t>2</w:t>
            </w:r>
          </w:p>
        </w:tc>
        <w:tc>
          <w:tcPr>
            <w:tcW w:w="1684" w:type="dxa"/>
            <w:vAlign w:val="center"/>
          </w:tcPr>
          <w:p>
            <w:pPr>
              <w:ind w:firstLine="415" w:firstLineChars="198"/>
              <w:rPr>
                <w:color w:val="auto"/>
                <w:szCs w:val="21"/>
                <w:highlight w:val="none"/>
              </w:rPr>
            </w:pP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jc w:val="center"/>
              <w:rPr>
                <w:color w:val="auto"/>
                <w:szCs w:val="21"/>
                <w:highlight w:val="none"/>
              </w:rPr>
            </w:pPr>
          </w:p>
        </w:tc>
        <w:tc>
          <w:tcPr>
            <w:tcW w:w="990" w:type="dxa"/>
          </w:tcPr>
          <w:p>
            <w:pPr>
              <w:jc w:val="center"/>
              <w:rPr>
                <w:color w:val="auto"/>
                <w:szCs w:val="21"/>
                <w:highlight w:val="none"/>
              </w:rPr>
            </w:pPr>
          </w:p>
        </w:tc>
        <w:tc>
          <w:tcPr>
            <w:tcW w:w="945"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color w:val="auto"/>
                <w:szCs w:val="21"/>
                <w:highlight w:val="none"/>
              </w:rPr>
              <w:t>3</w:t>
            </w:r>
          </w:p>
        </w:tc>
        <w:tc>
          <w:tcPr>
            <w:tcW w:w="1684" w:type="dxa"/>
            <w:vAlign w:val="center"/>
          </w:tcPr>
          <w:p>
            <w:pPr>
              <w:ind w:firstLine="415" w:firstLineChars="198"/>
              <w:rPr>
                <w:color w:val="auto"/>
                <w:szCs w:val="21"/>
                <w:highlight w:val="none"/>
              </w:rPr>
            </w:pP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jc w:val="center"/>
              <w:rPr>
                <w:color w:val="auto"/>
                <w:szCs w:val="21"/>
                <w:highlight w:val="none"/>
              </w:rPr>
            </w:pPr>
          </w:p>
        </w:tc>
        <w:tc>
          <w:tcPr>
            <w:tcW w:w="990" w:type="dxa"/>
          </w:tcPr>
          <w:p>
            <w:pPr>
              <w:jc w:val="center"/>
              <w:rPr>
                <w:color w:val="auto"/>
                <w:szCs w:val="21"/>
                <w:highlight w:val="none"/>
              </w:rPr>
            </w:pPr>
          </w:p>
        </w:tc>
        <w:tc>
          <w:tcPr>
            <w:tcW w:w="945"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color w:val="auto"/>
                <w:szCs w:val="21"/>
                <w:highlight w:val="none"/>
              </w:rPr>
              <w:t>4</w:t>
            </w:r>
          </w:p>
        </w:tc>
        <w:tc>
          <w:tcPr>
            <w:tcW w:w="1684" w:type="dxa"/>
            <w:vAlign w:val="center"/>
          </w:tcPr>
          <w:p>
            <w:pPr>
              <w:rPr>
                <w:color w:val="auto"/>
                <w:szCs w:val="21"/>
                <w:highlight w:val="none"/>
              </w:rPr>
            </w:pP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jc w:val="center"/>
              <w:rPr>
                <w:color w:val="auto"/>
                <w:szCs w:val="21"/>
                <w:highlight w:val="none"/>
              </w:rPr>
            </w:pPr>
          </w:p>
        </w:tc>
        <w:tc>
          <w:tcPr>
            <w:tcW w:w="990" w:type="dxa"/>
          </w:tcPr>
          <w:p>
            <w:pPr>
              <w:jc w:val="center"/>
              <w:rPr>
                <w:color w:val="auto"/>
                <w:szCs w:val="21"/>
                <w:highlight w:val="none"/>
              </w:rPr>
            </w:pPr>
          </w:p>
        </w:tc>
        <w:tc>
          <w:tcPr>
            <w:tcW w:w="945"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501" w:type="dxa"/>
            <w:gridSpan w:val="6"/>
            <w:vAlign w:val="center"/>
          </w:tcPr>
          <w:p>
            <w:pPr>
              <w:jc w:val="center"/>
              <w:rPr>
                <w:color w:val="auto"/>
                <w:szCs w:val="21"/>
                <w:highlight w:val="none"/>
              </w:rPr>
            </w:pPr>
            <w:r>
              <w:rPr>
                <w:rFonts w:hAnsi="宋体"/>
                <w:color w:val="auto"/>
                <w:szCs w:val="21"/>
                <w:highlight w:val="none"/>
              </w:rPr>
              <w:t>人工小计</w:t>
            </w:r>
          </w:p>
        </w:tc>
        <w:tc>
          <w:tcPr>
            <w:tcW w:w="990" w:type="dxa"/>
          </w:tcPr>
          <w:p>
            <w:pPr>
              <w:jc w:val="center"/>
              <w:rPr>
                <w:color w:val="auto"/>
                <w:szCs w:val="21"/>
                <w:highlight w:val="none"/>
              </w:rPr>
            </w:pPr>
          </w:p>
        </w:tc>
        <w:tc>
          <w:tcPr>
            <w:tcW w:w="945"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rFonts w:hAnsi="宋体"/>
                <w:color w:val="auto"/>
                <w:szCs w:val="21"/>
                <w:highlight w:val="none"/>
              </w:rPr>
              <w:t>二</w:t>
            </w:r>
          </w:p>
        </w:tc>
        <w:tc>
          <w:tcPr>
            <w:tcW w:w="1684" w:type="dxa"/>
            <w:vAlign w:val="center"/>
          </w:tcPr>
          <w:p>
            <w:pPr>
              <w:jc w:val="center"/>
              <w:rPr>
                <w:color w:val="auto"/>
                <w:szCs w:val="21"/>
                <w:highlight w:val="none"/>
              </w:rPr>
            </w:pPr>
            <w:r>
              <w:rPr>
                <w:rFonts w:hAnsi="宋体"/>
                <w:color w:val="auto"/>
                <w:szCs w:val="21"/>
                <w:highlight w:val="none"/>
              </w:rPr>
              <w:t>材料</w:t>
            </w: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rPr>
                <w:color w:val="auto"/>
                <w:szCs w:val="21"/>
                <w:highlight w:val="none"/>
              </w:rPr>
            </w:pPr>
          </w:p>
        </w:tc>
        <w:tc>
          <w:tcPr>
            <w:tcW w:w="990" w:type="dxa"/>
          </w:tcPr>
          <w:p>
            <w:pPr>
              <w:rPr>
                <w:color w:val="auto"/>
                <w:szCs w:val="21"/>
                <w:highlight w:val="none"/>
              </w:rPr>
            </w:pPr>
          </w:p>
        </w:tc>
        <w:tc>
          <w:tcPr>
            <w:tcW w:w="945"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color w:val="auto"/>
                <w:szCs w:val="21"/>
                <w:highlight w:val="none"/>
              </w:rPr>
              <w:t>1</w:t>
            </w:r>
          </w:p>
        </w:tc>
        <w:tc>
          <w:tcPr>
            <w:tcW w:w="1684" w:type="dxa"/>
            <w:vAlign w:val="center"/>
          </w:tcPr>
          <w:p>
            <w:pPr>
              <w:jc w:val="center"/>
              <w:rPr>
                <w:color w:val="auto"/>
                <w:szCs w:val="21"/>
                <w:highlight w:val="none"/>
              </w:rPr>
            </w:pP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rPr>
                <w:color w:val="auto"/>
                <w:szCs w:val="21"/>
                <w:highlight w:val="none"/>
              </w:rPr>
            </w:pPr>
          </w:p>
        </w:tc>
        <w:tc>
          <w:tcPr>
            <w:tcW w:w="990" w:type="dxa"/>
          </w:tcPr>
          <w:p>
            <w:pPr>
              <w:rPr>
                <w:color w:val="auto"/>
                <w:szCs w:val="21"/>
                <w:highlight w:val="none"/>
              </w:rPr>
            </w:pPr>
          </w:p>
        </w:tc>
        <w:tc>
          <w:tcPr>
            <w:tcW w:w="945"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color w:val="auto"/>
                <w:szCs w:val="21"/>
                <w:highlight w:val="none"/>
              </w:rPr>
              <w:t>2</w:t>
            </w:r>
          </w:p>
        </w:tc>
        <w:tc>
          <w:tcPr>
            <w:tcW w:w="1684" w:type="dxa"/>
            <w:vAlign w:val="center"/>
          </w:tcPr>
          <w:p>
            <w:pPr>
              <w:jc w:val="center"/>
              <w:rPr>
                <w:color w:val="auto"/>
                <w:szCs w:val="21"/>
                <w:highlight w:val="none"/>
              </w:rPr>
            </w:pP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rPr>
                <w:color w:val="auto"/>
                <w:szCs w:val="21"/>
                <w:highlight w:val="none"/>
              </w:rPr>
            </w:pPr>
          </w:p>
        </w:tc>
        <w:tc>
          <w:tcPr>
            <w:tcW w:w="990" w:type="dxa"/>
          </w:tcPr>
          <w:p>
            <w:pPr>
              <w:rPr>
                <w:color w:val="auto"/>
                <w:szCs w:val="21"/>
                <w:highlight w:val="none"/>
              </w:rPr>
            </w:pPr>
          </w:p>
        </w:tc>
        <w:tc>
          <w:tcPr>
            <w:tcW w:w="945"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color w:val="auto"/>
                <w:szCs w:val="21"/>
                <w:highlight w:val="none"/>
              </w:rPr>
              <w:t>3</w:t>
            </w:r>
          </w:p>
        </w:tc>
        <w:tc>
          <w:tcPr>
            <w:tcW w:w="1684" w:type="dxa"/>
            <w:vAlign w:val="center"/>
          </w:tcPr>
          <w:p>
            <w:pPr>
              <w:jc w:val="center"/>
              <w:rPr>
                <w:color w:val="auto"/>
                <w:szCs w:val="21"/>
                <w:highlight w:val="none"/>
              </w:rPr>
            </w:pP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rPr>
                <w:color w:val="auto"/>
                <w:szCs w:val="21"/>
                <w:highlight w:val="none"/>
              </w:rPr>
            </w:pPr>
          </w:p>
        </w:tc>
        <w:tc>
          <w:tcPr>
            <w:tcW w:w="990" w:type="dxa"/>
          </w:tcPr>
          <w:p>
            <w:pPr>
              <w:rPr>
                <w:color w:val="auto"/>
                <w:szCs w:val="21"/>
                <w:highlight w:val="none"/>
              </w:rPr>
            </w:pPr>
          </w:p>
        </w:tc>
        <w:tc>
          <w:tcPr>
            <w:tcW w:w="945"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color w:val="auto"/>
                <w:szCs w:val="21"/>
                <w:highlight w:val="none"/>
              </w:rPr>
              <w:t>4</w:t>
            </w:r>
          </w:p>
        </w:tc>
        <w:tc>
          <w:tcPr>
            <w:tcW w:w="1684" w:type="dxa"/>
            <w:vAlign w:val="center"/>
          </w:tcPr>
          <w:p>
            <w:pPr>
              <w:jc w:val="center"/>
              <w:rPr>
                <w:color w:val="auto"/>
                <w:szCs w:val="21"/>
                <w:highlight w:val="none"/>
              </w:rPr>
            </w:pP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rPr>
                <w:color w:val="auto"/>
                <w:szCs w:val="21"/>
                <w:highlight w:val="none"/>
              </w:rPr>
            </w:pPr>
          </w:p>
        </w:tc>
        <w:tc>
          <w:tcPr>
            <w:tcW w:w="990" w:type="dxa"/>
          </w:tcPr>
          <w:p>
            <w:pPr>
              <w:rPr>
                <w:color w:val="auto"/>
                <w:szCs w:val="21"/>
                <w:highlight w:val="none"/>
              </w:rPr>
            </w:pPr>
          </w:p>
        </w:tc>
        <w:tc>
          <w:tcPr>
            <w:tcW w:w="945"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color w:val="auto"/>
                <w:szCs w:val="21"/>
                <w:highlight w:val="none"/>
              </w:rPr>
              <w:t>5</w:t>
            </w:r>
          </w:p>
        </w:tc>
        <w:tc>
          <w:tcPr>
            <w:tcW w:w="1684" w:type="dxa"/>
            <w:vAlign w:val="center"/>
          </w:tcPr>
          <w:p>
            <w:pPr>
              <w:jc w:val="center"/>
              <w:rPr>
                <w:color w:val="auto"/>
                <w:szCs w:val="21"/>
                <w:highlight w:val="none"/>
              </w:rPr>
            </w:pP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rPr>
                <w:color w:val="auto"/>
                <w:szCs w:val="21"/>
                <w:highlight w:val="none"/>
              </w:rPr>
            </w:pPr>
          </w:p>
        </w:tc>
        <w:tc>
          <w:tcPr>
            <w:tcW w:w="990" w:type="dxa"/>
          </w:tcPr>
          <w:p>
            <w:pPr>
              <w:rPr>
                <w:color w:val="auto"/>
                <w:szCs w:val="21"/>
                <w:highlight w:val="none"/>
              </w:rPr>
            </w:pPr>
          </w:p>
        </w:tc>
        <w:tc>
          <w:tcPr>
            <w:tcW w:w="945"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color w:val="auto"/>
                <w:szCs w:val="21"/>
                <w:highlight w:val="none"/>
              </w:rPr>
              <w:t>6</w:t>
            </w:r>
          </w:p>
        </w:tc>
        <w:tc>
          <w:tcPr>
            <w:tcW w:w="1684" w:type="dxa"/>
            <w:vAlign w:val="center"/>
          </w:tcPr>
          <w:p>
            <w:pPr>
              <w:jc w:val="center"/>
              <w:rPr>
                <w:color w:val="auto"/>
                <w:szCs w:val="21"/>
                <w:highlight w:val="none"/>
              </w:rPr>
            </w:pP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rPr>
                <w:color w:val="auto"/>
                <w:szCs w:val="21"/>
                <w:highlight w:val="none"/>
              </w:rPr>
            </w:pPr>
          </w:p>
        </w:tc>
        <w:tc>
          <w:tcPr>
            <w:tcW w:w="990" w:type="dxa"/>
          </w:tcPr>
          <w:p>
            <w:pPr>
              <w:rPr>
                <w:color w:val="auto"/>
                <w:szCs w:val="21"/>
                <w:highlight w:val="none"/>
              </w:rPr>
            </w:pPr>
          </w:p>
        </w:tc>
        <w:tc>
          <w:tcPr>
            <w:tcW w:w="945"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501" w:type="dxa"/>
            <w:gridSpan w:val="6"/>
            <w:vAlign w:val="center"/>
          </w:tcPr>
          <w:p>
            <w:pPr>
              <w:jc w:val="center"/>
              <w:rPr>
                <w:color w:val="auto"/>
                <w:szCs w:val="21"/>
                <w:highlight w:val="none"/>
              </w:rPr>
            </w:pPr>
            <w:r>
              <w:rPr>
                <w:rFonts w:hAnsi="宋体"/>
                <w:color w:val="auto"/>
                <w:szCs w:val="21"/>
                <w:highlight w:val="none"/>
              </w:rPr>
              <w:t>材料小计</w:t>
            </w:r>
          </w:p>
        </w:tc>
        <w:tc>
          <w:tcPr>
            <w:tcW w:w="990" w:type="dxa"/>
          </w:tcPr>
          <w:p>
            <w:pPr>
              <w:rPr>
                <w:color w:val="auto"/>
                <w:szCs w:val="21"/>
                <w:highlight w:val="none"/>
              </w:rPr>
            </w:pPr>
          </w:p>
        </w:tc>
        <w:tc>
          <w:tcPr>
            <w:tcW w:w="945"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rFonts w:hAnsi="宋体"/>
                <w:color w:val="auto"/>
                <w:szCs w:val="21"/>
                <w:highlight w:val="none"/>
              </w:rPr>
              <w:t>三</w:t>
            </w:r>
          </w:p>
        </w:tc>
        <w:tc>
          <w:tcPr>
            <w:tcW w:w="1684" w:type="dxa"/>
            <w:vAlign w:val="center"/>
          </w:tcPr>
          <w:p>
            <w:pPr>
              <w:jc w:val="center"/>
              <w:rPr>
                <w:color w:val="auto"/>
                <w:szCs w:val="21"/>
                <w:highlight w:val="none"/>
              </w:rPr>
            </w:pPr>
            <w:r>
              <w:rPr>
                <w:rFonts w:hAnsi="宋体"/>
                <w:color w:val="auto"/>
                <w:szCs w:val="21"/>
                <w:highlight w:val="none"/>
              </w:rPr>
              <w:t>施工机械</w:t>
            </w: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rPr>
                <w:color w:val="auto"/>
                <w:szCs w:val="21"/>
                <w:highlight w:val="none"/>
              </w:rPr>
            </w:pPr>
          </w:p>
        </w:tc>
        <w:tc>
          <w:tcPr>
            <w:tcW w:w="990" w:type="dxa"/>
          </w:tcPr>
          <w:p>
            <w:pPr>
              <w:rPr>
                <w:color w:val="auto"/>
                <w:szCs w:val="21"/>
                <w:highlight w:val="none"/>
              </w:rPr>
            </w:pPr>
          </w:p>
        </w:tc>
        <w:tc>
          <w:tcPr>
            <w:tcW w:w="945"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color w:val="auto"/>
                <w:szCs w:val="21"/>
                <w:highlight w:val="none"/>
              </w:rPr>
              <w:t>1</w:t>
            </w:r>
          </w:p>
        </w:tc>
        <w:tc>
          <w:tcPr>
            <w:tcW w:w="1684" w:type="dxa"/>
            <w:vAlign w:val="center"/>
          </w:tcPr>
          <w:p>
            <w:pPr>
              <w:jc w:val="center"/>
              <w:rPr>
                <w:color w:val="auto"/>
                <w:szCs w:val="21"/>
                <w:highlight w:val="none"/>
              </w:rPr>
            </w:pP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rPr>
                <w:color w:val="auto"/>
                <w:szCs w:val="21"/>
                <w:highlight w:val="none"/>
              </w:rPr>
            </w:pPr>
          </w:p>
        </w:tc>
        <w:tc>
          <w:tcPr>
            <w:tcW w:w="990" w:type="dxa"/>
          </w:tcPr>
          <w:p>
            <w:pPr>
              <w:rPr>
                <w:color w:val="auto"/>
                <w:szCs w:val="21"/>
                <w:highlight w:val="none"/>
              </w:rPr>
            </w:pPr>
          </w:p>
        </w:tc>
        <w:tc>
          <w:tcPr>
            <w:tcW w:w="945"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color w:val="auto"/>
                <w:szCs w:val="21"/>
                <w:highlight w:val="none"/>
              </w:rPr>
              <w:t>2</w:t>
            </w:r>
          </w:p>
        </w:tc>
        <w:tc>
          <w:tcPr>
            <w:tcW w:w="1684" w:type="dxa"/>
            <w:vAlign w:val="center"/>
          </w:tcPr>
          <w:p>
            <w:pPr>
              <w:jc w:val="center"/>
              <w:rPr>
                <w:color w:val="auto"/>
                <w:szCs w:val="21"/>
                <w:highlight w:val="none"/>
              </w:rPr>
            </w:pP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rPr>
                <w:color w:val="auto"/>
                <w:szCs w:val="21"/>
                <w:highlight w:val="none"/>
              </w:rPr>
            </w:pPr>
          </w:p>
        </w:tc>
        <w:tc>
          <w:tcPr>
            <w:tcW w:w="990" w:type="dxa"/>
          </w:tcPr>
          <w:p>
            <w:pPr>
              <w:rPr>
                <w:color w:val="auto"/>
                <w:szCs w:val="21"/>
                <w:highlight w:val="none"/>
              </w:rPr>
            </w:pPr>
          </w:p>
        </w:tc>
        <w:tc>
          <w:tcPr>
            <w:tcW w:w="945"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color w:val="auto"/>
                <w:szCs w:val="21"/>
                <w:highlight w:val="none"/>
              </w:rPr>
              <w:t>3</w:t>
            </w:r>
          </w:p>
        </w:tc>
        <w:tc>
          <w:tcPr>
            <w:tcW w:w="1684" w:type="dxa"/>
            <w:vAlign w:val="center"/>
          </w:tcPr>
          <w:p>
            <w:pPr>
              <w:jc w:val="center"/>
              <w:rPr>
                <w:color w:val="auto"/>
                <w:szCs w:val="21"/>
                <w:highlight w:val="none"/>
              </w:rPr>
            </w:pP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rPr>
                <w:color w:val="auto"/>
                <w:szCs w:val="21"/>
                <w:highlight w:val="none"/>
              </w:rPr>
            </w:pPr>
          </w:p>
        </w:tc>
        <w:tc>
          <w:tcPr>
            <w:tcW w:w="990" w:type="dxa"/>
          </w:tcPr>
          <w:p>
            <w:pPr>
              <w:rPr>
                <w:color w:val="auto"/>
                <w:szCs w:val="21"/>
                <w:highlight w:val="none"/>
              </w:rPr>
            </w:pPr>
          </w:p>
        </w:tc>
        <w:tc>
          <w:tcPr>
            <w:tcW w:w="945"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87" w:type="dxa"/>
            <w:vAlign w:val="center"/>
          </w:tcPr>
          <w:p>
            <w:pPr>
              <w:jc w:val="center"/>
              <w:rPr>
                <w:color w:val="auto"/>
                <w:szCs w:val="21"/>
                <w:highlight w:val="none"/>
              </w:rPr>
            </w:pPr>
            <w:r>
              <w:rPr>
                <w:color w:val="auto"/>
                <w:szCs w:val="21"/>
                <w:highlight w:val="none"/>
              </w:rPr>
              <w:t>4</w:t>
            </w:r>
          </w:p>
        </w:tc>
        <w:tc>
          <w:tcPr>
            <w:tcW w:w="1684" w:type="dxa"/>
            <w:vAlign w:val="center"/>
          </w:tcPr>
          <w:p>
            <w:pPr>
              <w:jc w:val="center"/>
              <w:rPr>
                <w:color w:val="auto"/>
                <w:szCs w:val="21"/>
                <w:highlight w:val="none"/>
              </w:rPr>
            </w:pPr>
          </w:p>
        </w:tc>
        <w:tc>
          <w:tcPr>
            <w:tcW w:w="899" w:type="dxa"/>
            <w:vAlign w:val="center"/>
          </w:tcPr>
          <w:p>
            <w:pPr>
              <w:rPr>
                <w:color w:val="auto"/>
                <w:szCs w:val="21"/>
                <w:highlight w:val="none"/>
              </w:rPr>
            </w:pPr>
          </w:p>
        </w:tc>
        <w:tc>
          <w:tcPr>
            <w:tcW w:w="981" w:type="dxa"/>
            <w:vAlign w:val="center"/>
          </w:tcPr>
          <w:p>
            <w:pPr>
              <w:rPr>
                <w:color w:val="auto"/>
                <w:szCs w:val="21"/>
                <w:highlight w:val="none"/>
              </w:rPr>
            </w:pPr>
          </w:p>
        </w:tc>
        <w:tc>
          <w:tcPr>
            <w:tcW w:w="1145" w:type="dxa"/>
            <w:vAlign w:val="center"/>
          </w:tcPr>
          <w:p>
            <w:pPr>
              <w:rPr>
                <w:color w:val="auto"/>
                <w:szCs w:val="21"/>
                <w:highlight w:val="none"/>
              </w:rPr>
            </w:pPr>
          </w:p>
        </w:tc>
        <w:tc>
          <w:tcPr>
            <w:tcW w:w="1105" w:type="dxa"/>
          </w:tcPr>
          <w:p>
            <w:pPr>
              <w:rPr>
                <w:color w:val="auto"/>
                <w:szCs w:val="21"/>
                <w:highlight w:val="none"/>
              </w:rPr>
            </w:pPr>
          </w:p>
        </w:tc>
        <w:tc>
          <w:tcPr>
            <w:tcW w:w="990" w:type="dxa"/>
          </w:tcPr>
          <w:p>
            <w:pPr>
              <w:rPr>
                <w:color w:val="auto"/>
                <w:szCs w:val="21"/>
                <w:highlight w:val="none"/>
              </w:rPr>
            </w:pPr>
          </w:p>
        </w:tc>
        <w:tc>
          <w:tcPr>
            <w:tcW w:w="945"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501" w:type="dxa"/>
            <w:gridSpan w:val="6"/>
            <w:vAlign w:val="center"/>
          </w:tcPr>
          <w:p>
            <w:pPr>
              <w:jc w:val="center"/>
              <w:rPr>
                <w:color w:val="auto"/>
                <w:szCs w:val="21"/>
                <w:highlight w:val="none"/>
              </w:rPr>
            </w:pPr>
            <w:r>
              <w:rPr>
                <w:rFonts w:hAnsi="宋体"/>
                <w:color w:val="auto"/>
                <w:szCs w:val="21"/>
                <w:highlight w:val="none"/>
              </w:rPr>
              <w:t>施工机械小计</w:t>
            </w:r>
          </w:p>
        </w:tc>
        <w:tc>
          <w:tcPr>
            <w:tcW w:w="990" w:type="dxa"/>
          </w:tcPr>
          <w:p>
            <w:pPr>
              <w:rPr>
                <w:color w:val="auto"/>
                <w:szCs w:val="21"/>
                <w:highlight w:val="none"/>
              </w:rPr>
            </w:pPr>
          </w:p>
        </w:tc>
        <w:tc>
          <w:tcPr>
            <w:tcW w:w="945"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501" w:type="dxa"/>
            <w:gridSpan w:val="6"/>
            <w:vAlign w:val="center"/>
          </w:tcPr>
          <w:p>
            <w:pPr>
              <w:rPr>
                <w:color w:val="auto"/>
                <w:szCs w:val="21"/>
                <w:highlight w:val="none"/>
              </w:rPr>
            </w:pPr>
            <w:r>
              <w:rPr>
                <w:rFonts w:hAnsi="宋体"/>
                <w:color w:val="auto"/>
                <w:szCs w:val="21"/>
                <w:highlight w:val="none"/>
              </w:rPr>
              <w:t>四、企业管理费和利润</w:t>
            </w:r>
          </w:p>
        </w:tc>
        <w:tc>
          <w:tcPr>
            <w:tcW w:w="990" w:type="dxa"/>
          </w:tcPr>
          <w:p>
            <w:pPr>
              <w:rPr>
                <w:color w:val="auto"/>
                <w:szCs w:val="21"/>
                <w:highlight w:val="none"/>
              </w:rPr>
            </w:pPr>
          </w:p>
        </w:tc>
        <w:tc>
          <w:tcPr>
            <w:tcW w:w="945"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6501" w:type="dxa"/>
            <w:gridSpan w:val="6"/>
            <w:vAlign w:val="center"/>
          </w:tcPr>
          <w:p>
            <w:pPr>
              <w:jc w:val="center"/>
              <w:rPr>
                <w:color w:val="auto"/>
                <w:szCs w:val="21"/>
                <w:highlight w:val="none"/>
              </w:rPr>
            </w:pPr>
            <w:r>
              <w:rPr>
                <w:rFonts w:hAnsi="宋体"/>
                <w:color w:val="auto"/>
                <w:szCs w:val="21"/>
                <w:highlight w:val="none"/>
              </w:rPr>
              <w:t>总计</w:t>
            </w:r>
          </w:p>
        </w:tc>
        <w:tc>
          <w:tcPr>
            <w:tcW w:w="990" w:type="dxa"/>
          </w:tcPr>
          <w:p>
            <w:pPr>
              <w:rPr>
                <w:color w:val="auto"/>
                <w:szCs w:val="21"/>
                <w:highlight w:val="none"/>
              </w:rPr>
            </w:pPr>
          </w:p>
        </w:tc>
        <w:tc>
          <w:tcPr>
            <w:tcW w:w="945" w:type="dxa"/>
            <w:vAlign w:val="center"/>
          </w:tcPr>
          <w:p>
            <w:pPr>
              <w:rPr>
                <w:color w:val="auto"/>
                <w:szCs w:val="21"/>
                <w:highlight w:val="none"/>
              </w:rPr>
            </w:pPr>
          </w:p>
        </w:tc>
      </w:tr>
    </w:tbl>
    <w:p>
      <w:pPr>
        <w:rPr>
          <w:color w:val="auto"/>
          <w:sz w:val="18"/>
          <w:szCs w:val="18"/>
          <w:highlight w:val="none"/>
        </w:rPr>
      </w:pPr>
      <w:r>
        <w:rPr>
          <w:rFonts w:hAnsi="宋体"/>
          <w:color w:val="auto"/>
          <w:sz w:val="18"/>
          <w:szCs w:val="18"/>
          <w:highlight w:val="none"/>
        </w:rPr>
        <w:t>注：此表项目名称、暂定数量由招标人填写，投标时，单价由投标人自助报价，按暂定数量计算合价计入投标总价中。</w:t>
      </w:r>
    </w:p>
    <w:p>
      <w:pPr>
        <w:jc w:val="right"/>
        <w:rPr>
          <w:color w:val="auto"/>
          <w:sz w:val="18"/>
          <w:szCs w:val="18"/>
          <w:highlight w:val="none"/>
        </w:rPr>
      </w:pPr>
    </w:p>
    <w:p>
      <w:pPr>
        <w:jc w:val="right"/>
        <w:rPr>
          <w:color w:val="auto"/>
          <w:sz w:val="18"/>
          <w:szCs w:val="18"/>
          <w:highlight w:val="none"/>
        </w:rPr>
      </w:pPr>
      <w:r>
        <w:rPr>
          <w:rFonts w:hAnsi="宋体"/>
          <w:color w:val="auto"/>
          <w:sz w:val="18"/>
          <w:szCs w:val="18"/>
          <w:highlight w:val="none"/>
        </w:rPr>
        <w:t>表</w:t>
      </w:r>
      <w:r>
        <w:rPr>
          <w:color w:val="auto"/>
          <w:sz w:val="18"/>
          <w:szCs w:val="18"/>
          <w:highlight w:val="none"/>
        </w:rPr>
        <w:t>—12—4</w:t>
      </w:r>
    </w:p>
    <w:p>
      <w:pPr>
        <w:pStyle w:val="78"/>
        <w:tabs>
          <w:tab w:val="left" w:pos="707"/>
        </w:tabs>
        <w:jc w:val="center"/>
        <w:outlineLvl w:val="2"/>
        <w:rPr>
          <w:rFonts w:ascii="Times New Roman" w:hAnsi="Times New Roman" w:cs="Times New Roman"/>
          <w:b/>
          <w:color w:val="auto"/>
          <w:spacing w:val="1"/>
          <w:highlight w:val="none"/>
          <w:lang w:eastAsia="zh-CN"/>
        </w:rPr>
      </w:pPr>
      <w:r>
        <w:rPr>
          <w:rFonts w:ascii="Times New Roman" w:cs="Times New Roman"/>
          <w:b/>
          <w:color w:val="auto"/>
          <w:spacing w:val="1"/>
          <w:highlight w:val="none"/>
          <w:lang w:eastAsia="zh-CN"/>
        </w:rPr>
        <w:br w:type="page"/>
      </w:r>
      <w:r>
        <w:rPr>
          <w:rFonts w:ascii="Times New Roman" w:cs="Times New Roman"/>
          <w:b/>
          <w:color w:val="auto"/>
          <w:spacing w:val="1"/>
          <w:highlight w:val="none"/>
          <w:lang w:eastAsia="zh-CN"/>
        </w:rPr>
        <w:t>总承包服务费计价表</w:t>
      </w:r>
    </w:p>
    <w:p>
      <w:pPr>
        <w:pStyle w:val="78"/>
        <w:tabs>
          <w:tab w:val="left" w:pos="707"/>
        </w:tabs>
        <w:jc w:val="center"/>
        <w:outlineLvl w:val="2"/>
        <w:rPr>
          <w:rFonts w:ascii="Times New Roman" w:hAnsi="Times New Roman" w:cs="Times New Roman"/>
          <w:b/>
          <w:color w:val="auto"/>
          <w:spacing w:val="1"/>
          <w:highlight w:val="none"/>
          <w:lang w:eastAsia="zh-CN"/>
        </w:rPr>
      </w:pPr>
    </w:p>
    <w:p>
      <w:pPr>
        <w:rPr>
          <w:color w:val="auto"/>
          <w:sz w:val="24"/>
          <w:highlight w:val="none"/>
        </w:rPr>
      </w:pPr>
      <w:r>
        <w:rPr>
          <w:rFonts w:hAnsi="宋体"/>
          <w:color w:val="auto"/>
          <w:sz w:val="24"/>
          <w:highlight w:val="none"/>
        </w:rPr>
        <w:t>工程名称：标段：第页共页</w:t>
      </w:r>
    </w:p>
    <w:tbl>
      <w:tblPr>
        <w:tblStyle w:val="57"/>
        <w:tblW w:w="890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1"/>
        <w:gridCol w:w="2160"/>
        <w:gridCol w:w="1470"/>
        <w:gridCol w:w="1200"/>
        <w:gridCol w:w="1155"/>
        <w:gridCol w:w="1155"/>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681" w:type="dxa"/>
            <w:vAlign w:val="center"/>
          </w:tcPr>
          <w:p>
            <w:pPr>
              <w:jc w:val="center"/>
              <w:rPr>
                <w:color w:val="auto"/>
                <w:szCs w:val="21"/>
                <w:highlight w:val="none"/>
              </w:rPr>
            </w:pPr>
            <w:r>
              <w:rPr>
                <w:rFonts w:hAnsi="宋体"/>
                <w:color w:val="auto"/>
                <w:szCs w:val="21"/>
                <w:highlight w:val="none"/>
              </w:rPr>
              <w:t>序号</w:t>
            </w:r>
          </w:p>
        </w:tc>
        <w:tc>
          <w:tcPr>
            <w:tcW w:w="2160" w:type="dxa"/>
            <w:vAlign w:val="center"/>
          </w:tcPr>
          <w:p>
            <w:pPr>
              <w:jc w:val="center"/>
              <w:rPr>
                <w:color w:val="auto"/>
                <w:szCs w:val="21"/>
                <w:highlight w:val="none"/>
              </w:rPr>
            </w:pPr>
            <w:r>
              <w:rPr>
                <w:rFonts w:hAnsi="宋体"/>
                <w:color w:val="auto"/>
                <w:szCs w:val="21"/>
                <w:highlight w:val="none"/>
              </w:rPr>
              <w:t>工程名称</w:t>
            </w:r>
          </w:p>
        </w:tc>
        <w:tc>
          <w:tcPr>
            <w:tcW w:w="1470" w:type="dxa"/>
            <w:vAlign w:val="center"/>
          </w:tcPr>
          <w:p>
            <w:pPr>
              <w:jc w:val="center"/>
              <w:rPr>
                <w:color w:val="auto"/>
                <w:szCs w:val="21"/>
                <w:highlight w:val="none"/>
              </w:rPr>
            </w:pPr>
            <w:r>
              <w:rPr>
                <w:rFonts w:hAnsi="宋体"/>
                <w:color w:val="auto"/>
                <w:szCs w:val="21"/>
                <w:highlight w:val="none"/>
              </w:rPr>
              <w:t>项目价值（元）</w:t>
            </w:r>
          </w:p>
        </w:tc>
        <w:tc>
          <w:tcPr>
            <w:tcW w:w="1200" w:type="dxa"/>
            <w:vAlign w:val="center"/>
          </w:tcPr>
          <w:p>
            <w:pPr>
              <w:jc w:val="center"/>
              <w:rPr>
                <w:color w:val="auto"/>
                <w:szCs w:val="21"/>
                <w:highlight w:val="none"/>
              </w:rPr>
            </w:pPr>
            <w:r>
              <w:rPr>
                <w:rFonts w:hAnsi="宋体"/>
                <w:color w:val="auto"/>
                <w:szCs w:val="21"/>
                <w:highlight w:val="none"/>
              </w:rPr>
              <w:t>服务内容</w:t>
            </w:r>
          </w:p>
        </w:tc>
        <w:tc>
          <w:tcPr>
            <w:tcW w:w="1155" w:type="dxa"/>
            <w:vAlign w:val="center"/>
          </w:tcPr>
          <w:p>
            <w:pPr>
              <w:jc w:val="center"/>
              <w:rPr>
                <w:color w:val="auto"/>
                <w:szCs w:val="21"/>
                <w:highlight w:val="none"/>
              </w:rPr>
            </w:pPr>
            <w:r>
              <w:rPr>
                <w:rFonts w:hAnsi="宋体"/>
                <w:color w:val="auto"/>
                <w:szCs w:val="21"/>
                <w:highlight w:val="none"/>
              </w:rPr>
              <w:t>计算基础</w:t>
            </w:r>
          </w:p>
        </w:tc>
        <w:tc>
          <w:tcPr>
            <w:tcW w:w="1155" w:type="dxa"/>
            <w:vAlign w:val="center"/>
          </w:tcPr>
          <w:p>
            <w:pPr>
              <w:jc w:val="center"/>
              <w:rPr>
                <w:color w:val="auto"/>
                <w:szCs w:val="21"/>
                <w:highlight w:val="none"/>
              </w:rPr>
            </w:pPr>
            <w:r>
              <w:rPr>
                <w:rFonts w:hAnsi="宋体"/>
                <w:color w:val="auto"/>
                <w:szCs w:val="21"/>
                <w:highlight w:val="none"/>
              </w:rPr>
              <w:t>费率（</w:t>
            </w:r>
            <w:r>
              <w:rPr>
                <w:color w:val="auto"/>
                <w:szCs w:val="21"/>
                <w:highlight w:val="none"/>
              </w:rPr>
              <w:t>%</w:t>
            </w:r>
            <w:r>
              <w:rPr>
                <w:rFonts w:hAnsi="宋体"/>
                <w:color w:val="auto"/>
                <w:szCs w:val="21"/>
                <w:highlight w:val="none"/>
              </w:rPr>
              <w:t>）</w:t>
            </w:r>
          </w:p>
        </w:tc>
        <w:tc>
          <w:tcPr>
            <w:tcW w:w="1080" w:type="dxa"/>
            <w:vAlign w:val="center"/>
          </w:tcPr>
          <w:p>
            <w:pPr>
              <w:jc w:val="center"/>
              <w:rPr>
                <w:color w:val="auto"/>
                <w:szCs w:val="21"/>
                <w:highlight w:val="none"/>
              </w:rPr>
            </w:pPr>
            <w:r>
              <w:rPr>
                <w:rFonts w:hAnsi="宋体"/>
                <w:color w:val="auto"/>
                <w:szCs w:val="21"/>
                <w:highlight w:val="none"/>
              </w:rPr>
              <w:t>金额（元）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681" w:type="dxa"/>
            <w:vAlign w:val="center"/>
          </w:tcPr>
          <w:p>
            <w:pPr>
              <w:jc w:val="center"/>
              <w:rPr>
                <w:color w:val="auto"/>
                <w:szCs w:val="21"/>
                <w:highlight w:val="none"/>
              </w:rPr>
            </w:pPr>
            <w:r>
              <w:rPr>
                <w:color w:val="auto"/>
                <w:szCs w:val="21"/>
                <w:highlight w:val="none"/>
              </w:rPr>
              <w:t>1</w:t>
            </w:r>
          </w:p>
        </w:tc>
        <w:tc>
          <w:tcPr>
            <w:tcW w:w="2160" w:type="dxa"/>
            <w:vAlign w:val="center"/>
          </w:tcPr>
          <w:p>
            <w:pPr>
              <w:rPr>
                <w:color w:val="auto"/>
                <w:szCs w:val="21"/>
                <w:highlight w:val="none"/>
              </w:rPr>
            </w:pPr>
            <w:r>
              <w:rPr>
                <w:rFonts w:hAnsi="宋体"/>
                <w:color w:val="auto"/>
                <w:szCs w:val="21"/>
                <w:highlight w:val="none"/>
              </w:rPr>
              <w:t>发包人发包专业工程</w:t>
            </w:r>
          </w:p>
        </w:tc>
        <w:tc>
          <w:tcPr>
            <w:tcW w:w="1470" w:type="dxa"/>
            <w:vAlign w:val="center"/>
          </w:tcPr>
          <w:p>
            <w:pPr>
              <w:rPr>
                <w:color w:val="auto"/>
                <w:szCs w:val="21"/>
                <w:highlight w:val="none"/>
              </w:rPr>
            </w:pPr>
          </w:p>
        </w:tc>
        <w:tc>
          <w:tcPr>
            <w:tcW w:w="1200" w:type="dxa"/>
            <w:vAlign w:val="center"/>
          </w:tcPr>
          <w:p>
            <w:pPr>
              <w:rPr>
                <w:color w:val="auto"/>
                <w:szCs w:val="21"/>
                <w:highlight w:val="none"/>
              </w:rPr>
            </w:pPr>
          </w:p>
        </w:tc>
        <w:tc>
          <w:tcPr>
            <w:tcW w:w="1155" w:type="dxa"/>
            <w:vAlign w:val="center"/>
          </w:tcPr>
          <w:p>
            <w:pPr>
              <w:rPr>
                <w:color w:val="auto"/>
                <w:szCs w:val="21"/>
                <w:highlight w:val="none"/>
              </w:rPr>
            </w:pPr>
          </w:p>
        </w:tc>
        <w:tc>
          <w:tcPr>
            <w:tcW w:w="1155" w:type="dxa"/>
          </w:tcPr>
          <w:p>
            <w:pPr>
              <w:jc w:val="center"/>
              <w:rPr>
                <w:color w:val="auto"/>
                <w:szCs w:val="21"/>
                <w:highlight w:val="none"/>
              </w:rPr>
            </w:pPr>
          </w:p>
        </w:tc>
        <w:tc>
          <w:tcPr>
            <w:tcW w:w="1080"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681" w:type="dxa"/>
            <w:vAlign w:val="center"/>
          </w:tcPr>
          <w:p>
            <w:pPr>
              <w:jc w:val="center"/>
              <w:rPr>
                <w:color w:val="auto"/>
                <w:szCs w:val="21"/>
                <w:highlight w:val="none"/>
              </w:rPr>
            </w:pPr>
            <w:r>
              <w:rPr>
                <w:color w:val="auto"/>
                <w:szCs w:val="21"/>
                <w:highlight w:val="none"/>
              </w:rPr>
              <w:t>2</w:t>
            </w:r>
          </w:p>
        </w:tc>
        <w:tc>
          <w:tcPr>
            <w:tcW w:w="2160" w:type="dxa"/>
            <w:vAlign w:val="center"/>
          </w:tcPr>
          <w:p>
            <w:pPr>
              <w:rPr>
                <w:color w:val="auto"/>
                <w:szCs w:val="21"/>
                <w:highlight w:val="none"/>
              </w:rPr>
            </w:pPr>
            <w:r>
              <w:rPr>
                <w:rFonts w:hAnsi="宋体"/>
                <w:color w:val="auto"/>
                <w:szCs w:val="21"/>
                <w:highlight w:val="none"/>
              </w:rPr>
              <w:t>发包人供应材料</w:t>
            </w:r>
          </w:p>
        </w:tc>
        <w:tc>
          <w:tcPr>
            <w:tcW w:w="1470" w:type="dxa"/>
            <w:vAlign w:val="center"/>
          </w:tcPr>
          <w:p>
            <w:pPr>
              <w:rPr>
                <w:color w:val="auto"/>
                <w:szCs w:val="21"/>
                <w:highlight w:val="none"/>
              </w:rPr>
            </w:pPr>
          </w:p>
        </w:tc>
        <w:tc>
          <w:tcPr>
            <w:tcW w:w="1200" w:type="dxa"/>
            <w:vAlign w:val="center"/>
          </w:tcPr>
          <w:p>
            <w:pPr>
              <w:rPr>
                <w:color w:val="auto"/>
                <w:szCs w:val="21"/>
                <w:highlight w:val="none"/>
              </w:rPr>
            </w:pPr>
          </w:p>
        </w:tc>
        <w:tc>
          <w:tcPr>
            <w:tcW w:w="1155" w:type="dxa"/>
            <w:vAlign w:val="center"/>
          </w:tcPr>
          <w:p>
            <w:pPr>
              <w:rPr>
                <w:color w:val="auto"/>
                <w:szCs w:val="21"/>
                <w:highlight w:val="none"/>
              </w:rPr>
            </w:pPr>
          </w:p>
        </w:tc>
        <w:tc>
          <w:tcPr>
            <w:tcW w:w="1155" w:type="dxa"/>
          </w:tcPr>
          <w:p>
            <w:pPr>
              <w:rPr>
                <w:color w:val="auto"/>
                <w:szCs w:val="21"/>
                <w:highlight w:val="none"/>
              </w:rPr>
            </w:pPr>
          </w:p>
        </w:tc>
        <w:tc>
          <w:tcPr>
            <w:tcW w:w="1080"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681" w:type="dxa"/>
            <w:vAlign w:val="center"/>
          </w:tcPr>
          <w:p>
            <w:pPr>
              <w:jc w:val="center"/>
              <w:rPr>
                <w:color w:val="auto"/>
                <w:szCs w:val="21"/>
                <w:highlight w:val="none"/>
              </w:rPr>
            </w:pPr>
          </w:p>
        </w:tc>
        <w:tc>
          <w:tcPr>
            <w:tcW w:w="2160" w:type="dxa"/>
            <w:vAlign w:val="center"/>
          </w:tcPr>
          <w:p>
            <w:pPr>
              <w:ind w:firstLine="415" w:firstLineChars="198"/>
              <w:rPr>
                <w:color w:val="auto"/>
                <w:szCs w:val="21"/>
                <w:highlight w:val="none"/>
              </w:rPr>
            </w:pPr>
          </w:p>
        </w:tc>
        <w:tc>
          <w:tcPr>
            <w:tcW w:w="1470" w:type="dxa"/>
            <w:vAlign w:val="center"/>
          </w:tcPr>
          <w:p>
            <w:pPr>
              <w:rPr>
                <w:color w:val="auto"/>
                <w:szCs w:val="21"/>
                <w:highlight w:val="none"/>
              </w:rPr>
            </w:pPr>
          </w:p>
        </w:tc>
        <w:tc>
          <w:tcPr>
            <w:tcW w:w="1200" w:type="dxa"/>
            <w:vAlign w:val="center"/>
          </w:tcPr>
          <w:p>
            <w:pPr>
              <w:rPr>
                <w:color w:val="auto"/>
                <w:szCs w:val="21"/>
                <w:highlight w:val="none"/>
              </w:rPr>
            </w:pPr>
          </w:p>
        </w:tc>
        <w:tc>
          <w:tcPr>
            <w:tcW w:w="1155" w:type="dxa"/>
            <w:vAlign w:val="center"/>
          </w:tcPr>
          <w:p>
            <w:pPr>
              <w:rPr>
                <w:color w:val="auto"/>
                <w:szCs w:val="21"/>
                <w:highlight w:val="none"/>
              </w:rPr>
            </w:pPr>
          </w:p>
        </w:tc>
        <w:tc>
          <w:tcPr>
            <w:tcW w:w="1155" w:type="dxa"/>
          </w:tcPr>
          <w:p>
            <w:pPr>
              <w:jc w:val="center"/>
              <w:rPr>
                <w:color w:val="auto"/>
                <w:szCs w:val="21"/>
                <w:highlight w:val="none"/>
              </w:rPr>
            </w:pPr>
          </w:p>
        </w:tc>
        <w:tc>
          <w:tcPr>
            <w:tcW w:w="1080"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681" w:type="dxa"/>
            <w:vAlign w:val="center"/>
          </w:tcPr>
          <w:p>
            <w:pPr>
              <w:jc w:val="center"/>
              <w:rPr>
                <w:color w:val="auto"/>
                <w:szCs w:val="21"/>
                <w:highlight w:val="none"/>
              </w:rPr>
            </w:pPr>
          </w:p>
        </w:tc>
        <w:tc>
          <w:tcPr>
            <w:tcW w:w="2160" w:type="dxa"/>
            <w:vAlign w:val="center"/>
          </w:tcPr>
          <w:p>
            <w:pPr>
              <w:ind w:firstLine="415" w:firstLineChars="198"/>
              <w:rPr>
                <w:color w:val="auto"/>
                <w:szCs w:val="21"/>
                <w:highlight w:val="none"/>
              </w:rPr>
            </w:pPr>
          </w:p>
        </w:tc>
        <w:tc>
          <w:tcPr>
            <w:tcW w:w="1470" w:type="dxa"/>
            <w:vAlign w:val="center"/>
          </w:tcPr>
          <w:p>
            <w:pPr>
              <w:rPr>
                <w:color w:val="auto"/>
                <w:szCs w:val="21"/>
                <w:highlight w:val="none"/>
              </w:rPr>
            </w:pPr>
          </w:p>
        </w:tc>
        <w:tc>
          <w:tcPr>
            <w:tcW w:w="1200" w:type="dxa"/>
            <w:vAlign w:val="center"/>
          </w:tcPr>
          <w:p>
            <w:pPr>
              <w:rPr>
                <w:color w:val="auto"/>
                <w:szCs w:val="21"/>
                <w:highlight w:val="none"/>
              </w:rPr>
            </w:pPr>
          </w:p>
        </w:tc>
        <w:tc>
          <w:tcPr>
            <w:tcW w:w="1155" w:type="dxa"/>
            <w:vAlign w:val="center"/>
          </w:tcPr>
          <w:p>
            <w:pPr>
              <w:rPr>
                <w:color w:val="auto"/>
                <w:szCs w:val="21"/>
                <w:highlight w:val="none"/>
              </w:rPr>
            </w:pPr>
          </w:p>
        </w:tc>
        <w:tc>
          <w:tcPr>
            <w:tcW w:w="1155" w:type="dxa"/>
          </w:tcPr>
          <w:p>
            <w:pPr>
              <w:jc w:val="center"/>
              <w:rPr>
                <w:color w:val="auto"/>
                <w:szCs w:val="21"/>
                <w:highlight w:val="none"/>
              </w:rPr>
            </w:pPr>
          </w:p>
        </w:tc>
        <w:tc>
          <w:tcPr>
            <w:tcW w:w="1080"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681" w:type="dxa"/>
            <w:vAlign w:val="center"/>
          </w:tcPr>
          <w:p>
            <w:pPr>
              <w:jc w:val="center"/>
              <w:rPr>
                <w:color w:val="auto"/>
                <w:szCs w:val="21"/>
                <w:highlight w:val="none"/>
              </w:rPr>
            </w:pPr>
          </w:p>
        </w:tc>
        <w:tc>
          <w:tcPr>
            <w:tcW w:w="2160" w:type="dxa"/>
            <w:vAlign w:val="center"/>
          </w:tcPr>
          <w:p>
            <w:pPr>
              <w:rPr>
                <w:color w:val="auto"/>
                <w:szCs w:val="21"/>
                <w:highlight w:val="none"/>
              </w:rPr>
            </w:pPr>
          </w:p>
        </w:tc>
        <w:tc>
          <w:tcPr>
            <w:tcW w:w="1470" w:type="dxa"/>
            <w:vAlign w:val="center"/>
          </w:tcPr>
          <w:p>
            <w:pPr>
              <w:rPr>
                <w:color w:val="auto"/>
                <w:szCs w:val="21"/>
                <w:highlight w:val="none"/>
              </w:rPr>
            </w:pPr>
          </w:p>
        </w:tc>
        <w:tc>
          <w:tcPr>
            <w:tcW w:w="1200" w:type="dxa"/>
            <w:vAlign w:val="center"/>
          </w:tcPr>
          <w:p>
            <w:pPr>
              <w:rPr>
                <w:color w:val="auto"/>
                <w:szCs w:val="21"/>
                <w:highlight w:val="none"/>
              </w:rPr>
            </w:pPr>
          </w:p>
        </w:tc>
        <w:tc>
          <w:tcPr>
            <w:tcW w:w="1155" w:type="dxa"/>
            <w:vAlign w:val="center"/>
          </w:tcPr>
          <w:p>
            <w:pPr>
              <w:rPr>
                <w:color w:val="auto"/>
                <w:szCs w:val="21"/>
                <w:highlight w:val="none"/>
              </w:rPr>
            </w:pPr>
          </w:p>
        </w:tc>
        <w:tc>
          <w:tcPr>
            <w:tcW w:w="1155" w:type="dxa"/>
          </w:tcPr>
          <w:p>
            <w:pPr>
              <w:jc w:val="center"/>
              <w:rPr>
                <w:color w:val="auto"/>
                <w:szCs w:val="21"/>
                <w:highlight w:val="none"/>
              </w:rPr>
            </w:pPr>
          </w:p>
        </w:tc>
        <w:tc>
          <w:tcPr>
            <w:tcW w:w="1080"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681" w:type="dxa"/>
            <w:vAlign w:val="center"/>
          </w:tcPr>
          <w:p>
            <w:pPr>
              <w:jc w:val="center"/>
              <w:rPr>
                <w:color w:val="auto"/>
                <w:szCs w:val="21"/>
                <w:highlight w:val="none"/>
              </w:rPr>
            </w:pPr>
          </w:p>
        </w:tc>
        <w:tc>
          <w:tcPr>
            <w:tcW w:w="2160" w:type="dxa"/>
            <w:vAlign w:val="center"/>
          </w:tcPr>
          <w:p>
            <w:pPr>
              <w:rPr>
                <w:color w:val="auto"/>
                <w:szCs w:val="21"/>
                <w:highlight w:val="none"/>
              </w:rPr>
            </w:pPr>
          </w:p>
        </w:tc>
        <w:tc>
          <w:tcPr>
            <w:tcW w:w="1470" w:type="dxa"/>
            <w:vAlign w:val="center"/>
          </w:tcPr>
          <w:p>
            <w:pPr>
              <w:rPr>
                <w:color w:val="auto"/>
                <w:szCs w:val="21"/>
                <w:highlight w:val="none"/>
              </w:rPr>
            </w:pPr>
          </w:p>
        </w:tc>
        <w:tc>
          <w:tcPr>
            <w:tcW w:w="1200" w:type="dxa"/>
            <w:vAlign w:val="center"/>
          </w:tcPr>
          <w:p>
            <w:pPr>
              <w:rPr>
                <w:color w:val="auto"/>
                <w:szCs w:val="21"/>
                <w:highlight w:val="none"/>
              </w:rPr>
            </w:pPr>
          </w:p>
        </w:tc>
        <w:tc>
          <w:tcPr>
            <w:tcW w:w="1155" w:type="dxa"/>
            <w:vAlign w:val="center"/>
          </w:tcPr>
          <w:p>
            <w:pPr>
              <w:rPr>
                <w:color w:val="auto"/>
                <w:szCs w:val="21"/>
                <w:highlight w:val="none"/>
              </w:rPr>
            </w:pPr>
          </w:p>
        </w:tc>
        <w:tc>
          <w:tcPr>
            <w:tcW w:w="1155" w:type="dxa"/>
          </w:tcPr>
          <w:p>
            <w:pPr>
              <w:jc w:val="center"/>
              <w:rPr>
                <w:color w:val="auto"/>
                <w:szCs w:val="21"/>
                <w:highlight w:val="none"/>
              </w:rPr>
            </w:pPr>
          </w:p>
        </w:tc>
        <w:tc>
          <w:tcPr>
            <w:tcW w:w="1080"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681" w:type="dxa"/>
            <w:vAlign w:val="center"/>
          </w:tcPr>
          <w:p>
            <w:pPr>
              <w:jc w:val="center"/>
              <w:rPr>
                <w:color w:val="auto"/>
                <w:szCs w:val="21"/>
                <w:highlight w:val="none"/>
              </w:rPr>
            </w:pPr>
          </w:p>
        </w:tc>
        <w:tc>
          <w:tcPr>
            <w:tcW w:w="2160" w:type="dxa"/>
            <w:vAlign w:val="center"/>
          </w:tcPr>
          <w:p>
            <w:pPr>
              <w:jc w:val="center"/>
              <w:rPr>
                <w:color w:val="auto"/>
                <w:szCs w:val="21"/>
                <w:highlight w:val="none"/>
              </w:rPr>
            </w:pPr>
          </w:p>
        </w:tc>
        <w:tc>
          <w:tcPr>
            <w:tcW w:w="1470" w:type="dxa"/>
            <w:vAlign w:val="center"/>
          </w:tcPr>
          <w:p>
            <w:pPr>
              <w:rPr>
                <w:color w:val="auto"/>
                <w:szCs w:val="21"/>
                <w:highlight w:val="none"/>
              </w:rPr>
            </w:pPr>
          </w:p>
        </w:tc>
        <w:tc>
          <w:tcPr>
            <w:tcW w:w="1200" w:type="dxa"/>
            <w:vAlign w:val="center"/>
          </w:tcPr>
          <w:p>
            <w:pPr>
              <w:rPr>
                <w:color w:val="auto"/>
                <w:szCs w:val="21"/>
                <w:highlight w:val="none"/>
              </w:rPr>
            </w:pPr>
          </w:p>
        </w:tc>
        <w:tc>
          <w:tcPr>
            <w:tcW w:w="1155" w:type="dxa"/>
            <w:vAlign w:val="center"/>
          </w:tcPr>
          <w:p>
            <w:pPr>
              <w:rPr>
                <w:color w:val="auto"/>
                <w:szCs w:val="21"/>
                <w:highlight w:val="none"/>
              </w:rPr>
            </w:pPr>
          </w:p>
        </w:tc>
        <w:tc>
          <w:tcPr>
            <w:tcW w:w="1155" w:type="dxa"/>
          </w:tcPr>
          <w:p>
            <w:pPr>
              <w:rPr>
                <w:color w:val="auto"/>
                <w:szCs w:val="21"/>
                <w:highlight w:val="none"/>
              </w:rPr>
            </w:pPr>
          </w:p>
        </w:tc>
        <w:tc>
          <w:tcPr>
            <w:tcW w:w="1080"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681" w:type="dxa"/>
            <w:vAlign w:val="center"/>
          </w:tcPr>
          <w:p>
            <w:pPr>
              <w:jc w:val="center"/>
              <w:rPr>
                <w:color w:val="auto"/>
                <w:szCs w:val="21"/>
                <w:highlight w:val="none"/>
              </w:rPr>
            </w:pPr>
          </w:p>
        </w:tc>
        <w:tc>
          <w:tcPr>
            <w:tcW w:w="2160" w:type="dxa"/>
            <w:vAlign w:val="center"/>
          </w:tcPr>
          <w:p>
            <w:pPr>
              <w:jc w:val="center"/>
              <w:rPr>
                <w:color w:val="auto"/>
                <w:szCs w:val="21"/>
                <w:highlight w:val="none"/>
              </w:rPr>
            </w:pPr>
          </w:p>
        </w:tc>
        <w:tc>
          <w:tcPr>
            <w:tcW w:w="1470" w:type="dxa"/>
            <w:vAlign w:val="center"/>
          </w:tcPr>
          <w:p>
            <w:pPr>
              <w:rPr>
                <w:color w:val="auto"/>
                <w:szCs w:val="21"/>
                <w:highlight w:val="none"/>
              </w:rPr>
            </w:pPr>
          </w:p>
        </w:tc>
        <w:tc>
          <w:tcPr>
            <w:tcW w:w="1200" w:type="dxa"/>
            <w:vAlign w:val="center"/>
          </w:tcPr>
          <w:p>
            <w:pPr>
              <w:rPr>
                <w:color w:val="auto"/>
                <w:szCs w:val="21"/>
                <w:highlight w:val="none"/>
              </w:rPr>
            </w:pPr>
          </w:p>
        </w:tc>
        <w:tc>
          <w:tcPr>
            <w:tcW w:w="1155" w:type="dxa"/>
            <w:vAlign w:val="center"/>
          </w:tcPr>
          <w:p>
            <w:pPr>
              <w:rPr>
                <w:color w:val="auto"/>
                <w:szCs w:val="21"/>
                <w:highlight w:val="none"/>
              </w:rPr>
            </w:pPr>
          </w:p>
        </w:tc>
        <w:tc>
          <w:tcPr>
            <w:tcW w:w="1155" w:type="dxa"/>
          </w:tcPr>
          <w:p>
            <w:pPr>
              <w:rPr>
                <w:color w:val="auto"/>
                <w:szCs w:val="21"/>
                <w:highlight w:val="none"/>
              </w:rPr>
            </w:pPr>
          </w:p>
        </w:tc>
        <w:tc>
          <w:tcPr>
            <w:tcW w:w="1080"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681" w:type="dxa"/>
            <w:vAlign w:val="center"/>
          </w:tcPr>
          <w:p>
            <w:pPr>
              <w:jc w:val="center"/>
              <w:rPr>
                <w:color w:val="auto"/>
                <w:szCs w:val="21"/>
                <w:highlight w:val="none"/>
              </w:rPr>
            </w:pPr>
          </w:p>
        </w:tc>
        <w:tc>
          <w:tcPr>
            <w:tcW w:w="2160" w:type="dxa"/>
            <w:vAlign w:val="center"/>
          </w:tcPr>
          <w:p>
            <w:pPr>
              <w:jc w:val="center"/>
              <w:rPr>
                <w:color w:val="auto"/>
                <w:szCs w:val="21"/>
                <w:highlight w:val="none"/>
              </w:rPr>
            </w:pPr>
          </w:p>
        </w:tc>
        <w:tc>
          <w:tcPr>
            <w:tcW w:w="1470" w:type="dxa"/>
            <w:vAlign w:val="center"/>
          </w:tcPr>
          <w:p>
            <w:pPr>
              <w:rPr>
                <w:color w:val="auto"/>
                <w:szCs w:val="21"/>
                <w:highlight w:val="none"/>
              </w:rPr>
            </w:pPr>
          </w:p>
        </w:tc>
        <w:tc>
          <w:tcPr>
            <w:tcW w:w="1200" w:type="dxa"/>
            <w:vAlign w:val="center"/>
          </w:tcPr>
          <w:p>
            <w:pPr>
              <w:rPr>
                <w:color w:val="auto"/>
                <w:szCs w:val="21"/>
                <w:highlight w:val="none"/>
              </w:rPr>
            </w:pPr>
          </w:p>
        </w:tc>
        <w:tc>
          <w:tcPr>
            <w:tcW w:w="1155" w:type="dxa"/>
            <w:vAlign w:val="center"/>
          </w:tcPr>
          <w:p>
            <w:pPr>
              <w:rPr>
                <w:color w:val="auto"/>
                <w:szCs w:val="21"/>
                <w:highlight w:val="none"/>
              </w:rPr>
            </w:pPr>
          </w:p>
        </w:tc>
        <w:tc>
          <w:tcPr>
            <w:tcW w:w="1155" w:type="dxa"/>
          </w:tcPr>
          <w:p>
            <w:pPr>
              <w:rPr>
                <w:color w:val="auto"/>
                <w:szCs w:val="21"/>
                <w:highlight w:val="none"/>
              </w:rPr>
            </w:pPr>
          </w:p>
        </w:tc>
        <w:tc>
          <w:tcPr>
            <w:tcW w:w="1080"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681" w:type="dxa"/>
            <w:vAlign w:val="center"/>
          </w:tcPr>
          <w:p>
            <w:pPr>
              <w:jc w:val="center"/>
              <w:rPr>
                <w:color w:val="auto"/>
                <w:szCs w:val="21"/>
                <w:highlight w:val="none"/>
              </w:rPr>
            </w:pPr>
          </w:p>
        </w:tc>
        <w:tc>
          <w:tcPr>
            <w:tcW w:w="2160" w:type="dxa"/>
            <w:vAlign w:val="center"/>
          </w:tcPr>
          <w:p>
            <w:pPr>
              <w:jc w:val="center"/>
              <w:rPr>
                <w:color w:val="auto"/>
                <w:szCs w:val="21"/>
                <w:highlight w:val="none"/>
              </w:rPr>
            </w:pPr>
          </w:p>
        </w:tc>
        <w:tc>
          <w:tcPr>
            <w:tcW w:w="1470" w:type="dxa"/>
            <w:vAlign w:val="center"/>
          </w:tcPr>
          <w:p>
            <w:pPr>
              <w:rPr>
                <w:color w:val="auto"/>
                <w:szCs w:val="21"/>
                <w:highlight w:val="none"/>
              </w:rPr>
            </w:pPr>
          </w:p>
        </w:tc>
        <w:tc>
          <w:tcPr>
            <w:tcW w:w="1200" w:type="dxa"/>
            <w:vAlign w:val="center"/>
          </w:tcPr>
          <w:p>
            <w:pPr>
              <w:rPr>
                <w:color w:val="auto"/>
                <w:szCs w:val="21"/>
                <w:highlight w:val="none"/>
              </w:rPr>
            </w:pPr>
          </w:p>
        </w:tc>
        <w:tc>
          <w:tcPr>
            <w:tcW w:w="1155" w:type="dxa"/>
            <w:vAlign w:val="center"/>
          </w:tcPr>
          <w:p>
            <w:pPr>
              <w:rPr>
                <w:color w:val="auto"/>
                <w:szCs w:val="21"/>
                <w:highlight w:val="none"/>
              </w:rPr>
            </w:pPr>
          </w:p>
        </w:tc>
        <w:tc>
          <w:tcPr>
            <w:tcW w:w="1155" w:type="dxa"/>
          </w:tcPr>
          <w:p>
            <w:pPr>
              <w:rPr>
                <w:color w:val="auto"/>
                <w:szCs w:val="21"/>
                <w:highlight w:val="none"/>
              </w:rPr>
            </w:pPr>
          </w:p>
        </w:tc>
        <w:tc>
          <w:tcPr>
            <w:tcW w:w="1080" w:type="dxa"/>
            <w:vAlign w:val="center"/>
          </w:tcPr>
          <w:p>
            <w:pP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681" w:type="dxa"/>
            <w:vAlign w:val="center"/>
          </w:tcPr>
          <w:p>
            <w:pPr>
              <w:jc w:val="center"/>
              <w:rPr>
                <w:color w:val="auto"/>
                <w:szCs w:val="21"/>
                <w:highlight w:val="none"/>
              </w:rPr>
            </w:pPr>
          </w:p>
        </w:tc>
        <w:tc>
          <w:tcPr>
            <w:tcW w:w="2160" w:type="dxa"/>
            <w:vAlign w:val="center"/>
          </w:tcPr>
          <w:p>
            <w:pPr>
              <w:jc w:val="center"/>
              <w:rPr>
                <w:color w:val="auto"/>
                <w:szCs w:val="21"/>
                <w:highlight w:val="none"/>
              </w:rPr>
            </w:pPr>
          </w:p>
        </w:tc>
        <w:tc>
          <w:tcPr>
            <w:tcW w:w="1470" w:type="dxa"/>
            <w:vAlign w:val="center"/>
          </w:tcPr>
          <w:p>
            <w:pPr>
              <w:rPr>
                <w:color w:val="auto"/>
                <w:szCs w:val="21"/>
                <w:highlight w:val="none"/>
              </w:rPr>
            </w:pPr>
          </w:p>
        </w:tc>
        <w:tc>
          <w:tcPr>
            <w:tcW w:w="1200" w:type="dxa"/>
            <w:vAlign w:val="center"/>
          </w:tcPr>
          <w:p>
            <w:pPr>
              <w:rPr>
                <w:color w:val="auto"/>
                <w:szCs w:val="21"/>
                <w:highlight w:val="none"/>
              </w:rPr>
            </w:pPr>
          </w:p>
        </w:tc>
        <w:tc>
          <w:tcPr>
            <w:tcW w:w="1155" w:type="dxa"/>
            <w:vAlign w:val="center"/>
          </w:tcPr>
          <w:p>
            <w:pPr>
              <w:rPr>
                <w:color w:val="auto"/>
                <w:szCs w:val="21"/>
                <w:highlight w:val="none"/>
              </w:rPr>
            </w:pPr>
          </w:p>
        </w:tc>
        <w:tc>
          <w:tcPr>
            <w:tcW w:w="1155" w:type="dxa"/>
          </w:tcPr>
          <w:p>
            <w:pPr>
              <w:rPr>
                <w:color w:val="auto"/>
                <w:szCs w:val="21"/>
                <w:highlight w:val="none"/>
              </w:rPr>
            </w:pPr>
          </w:p>
        </w:tc>
        <w:tc>
          <w:tcPr>
            <w:tcW w:w="1080" w:type="dxa"/>
            <w:vAlign w:val="center"/>
          </w:tcPr>
          <w:p>
            <w:pPr>
              <w:rPr>
                <w:color w:val="auto"/>
                <w:szCs w:val="21"/>
                <w:highlight w:val="none"/>
              </w:rPr>
            </w:pPr>
          </w:p>
        </w:tc>
      </w:tr>
    </w:tbl>
    <w:p>
      <w:pPr>
        <w:rPr>
          <w:color w:val="auto"/>
          <w:sz w:val="18"/>
          <w:szCs w:val="18"/>
          <w:highlight w:val="none"/>
        </w:rPr>
      </w:pPr>
      <w:r>
        <w:rPr>
          <w:rFonts w:hAnsi="宋体"/>
          <w:color w:val="auto"/>
          <w:sz w:val="18"/>
          <w:szCs w:val="18"/>
          <w:highlight w:val="none"/>
        </w:rPr>
        <w:t>注：此表项目名称、服务内容由招标人填写，投标时，费率及金额由投标人自主报价，计入投标总价中。</w:t>
      </w:r>
    </w:p>
    <w:p>
      <w:pPr>
        <w:jc w:val="right"/>
        <w:rPr>
          <w:color w:val="auto"/>
          <w:sz w:val="18"/>
          <w:szCs w:val="18"/>
          <w:highlight w:val="none"/>
        </w:rPr>
      </w:pPr>
      <w:r>
        <w:rPr>
          <w:rFonts w:hAnsi="宋体"/>
          <w:color w:val="auto"/>
          <w:sz w:val="18"/>
          <w:szCs w:val="18"/>
          <w:highlight w:val="none"/>
        </w:rPr>
        <w:t>表</w:t>
      </w:r>
      <w:r>
        <w:rPr>
          <w:color w:val="auto"/>
          <w:sz w:val="18"/>
          <w:szCs w:val="18"/>
          <w:highlight w:val="none"/>
        </w:rPr>
        <w:t>—12—5</w:t>
      </w:r>
    </w:p>
    <w:p>
      <w:pPr>
        <w:jc w:val="right"/>
        <w:rPr>
          <w:color w:val="auto"/>
          <w:sz w:val="18"/>
          <w:szCs w:val="18"/>
          <w:highlight w:val="none"/>
        </w:rPr>
      </w:pPr>
    </w:p>
    <w:p>
      <w:pPr>
        <w:pStyle w:val="14"/>
        <w:spacing w:line="360" w:lineRule="auto"/>
        <w:ind w:firstLine="0"/>
        <w:rPr>
          <w:color w:val="auto"/>
          <w:sz w:val="25"/>
          <w:highlight w:val="none"/>
        </w:rPr>
      </w:pPr>
    </w:p>
    <w:p>
      <w:pPr>
        <w:pStyle w:val="80"/>
        <w:tabs>
          <w:tab w:val="left" w:pos="484"/>
          <w:tab w:val="left" w:pos="1449"/>
        </w:tabs>
        <w:spacing w:line="419" w:lineRule="exact"/>
        <w:ind w:right="62"/>
        <w:jc w:val="center"/>
        <w:outlineLvl w:val="1"/>
        <w:rPr>
          <w:rFonts w:ascii="Times New Roman" w:hAnsi="Times New Roman" w:cs="Times New Roman"/>
          <w:b/>
          <w:color w:val="auto"/>
          <w:highlight w:val="none"/>
          <w:lang w:eastAsia="zh-CN"/>
        </w:rPr>
      </w:pPr>
    </w:p>
    <w:p>
      <w:pPr>
        <w:pStyle w:val="80"/>
        <w:tabs>
          <w:tab w:val="left" w:pos="484"/>
          <w:tab w:val="left" w:pos="1449"/>
        </w:tabs>
        <w:spacing w:line="419" w:lineRule="exact"/>
        <w:ind w:right="62"/>
        <w:outlineLvl w:val="1"/>
        <w:rPr>
          <w:rFonts w:ascii="Times New Roman" w:hAnsi="Times New Roman" w:cs="Times New Roman"/>
          <w:b/>
          <w:color w:val="auto"/>
          <w:highlight w:val="none"/>
          <w:lang w:eastAsia="zh-CN"/>
        </w:rPr>
      </w:pPr>
    </w:p>
    <w:p>
      <w:pPr>
        <w:pStyle w:val="80"/>
        <w:tabs>
          <w:tab w:val="left" w:pos="484"/>
          <w:tab w:val="left" w:pos="1449"/>
        </w:tabs>
        <w:spacing w:line="419" w:lineRule="exact"/>
        <w:ind w:right="62"/>
        <w:jc w:val="center"/>
        <w:outlineLvl w:val="1"/>
        <w:rPr>
          <w:rFonts w:ascii="Times New Roman" w:hAnsi="Times New Roman" w:cs="Times New Roman"/>
          <w:b/>
          <w:color w:val="auto"/>
          <w:highlight w:val="none"/>
          <w:lang w:eastAsia="zh-CN"/>
        </w:rPr>
      </w:pPr>
      <w:r>
        <w:rPr>
          <w:rFonts w:ascii="Times New Roman" w:cs="Times New Roman"/>
          <w:b/>
          <w:color w:val="auto"/>
          <w:highlight w:val="none"/>
          <w:lang w:eastAsia="zh-CN"/>
        </w:rPr>
        <w:t>规费、税金项目计价表</w:t>
      </w:r>
      <w:bookmarkEnd w:id="578"/>
      <w:bookmarkEnd w:id="579"/>
      <w:bookmarkEnd w:id="580"/>
    </w:p>
    <w:p>
      <w:pPr>
        <w:spacing w:before="19" w:line="200" w:lineRule="exact"/>
        <w:rPr>
          <w:color w:val="auto"/>
          <w:sz w:val="20"/>
          <w:szCs w:val="20"/>
          <w:highlight w:val="none"/>
        </w:rPr>
      </w:pPr>
    </w:p>
    <w:p>
      <w:pPr>
        <w:pStyle w:val="2"/>
        <w:tabs>
          <w:tab w:val="left" w:pos="4094"/>
          <w:tab w:val="left" w:pos="7455"/>
          <w:tab w:val="left" w:pos="7981"/>
          <w:tab w:val="left" w:pos="8715"/>
        </w:tabs>
        <w:ind w:firstLine="115" w:firstLineChars="50"/>
        <w:rPr>
          <w:rFonts w:eastAsia="宋体"/>
          <w:color w:val="auto"/>
          <w:highlight w:val="none"/>
        </w:rPr>
      </w:pPr>
      <w:r>
        <w:rPr>
          <w:rFonts w:hAnsi="宋体" w:eastAsia="宋体"/>
          <w:color w:val="auto"/>
          <w:highlight w:val="none"/>
        </w:rPr>
        <w:t>工</w:t>
      </w:r>
      <w:r>
        <w:rPr>
          <w:rFonts w:hAnsi="宋体" w:eastAsia="宋体"/>
          <w:color w:val="auto"/>
          <w:spacing w:val="-3"/>
          <w:highlight w:val="none"/>
        </w:rPr>
        <w:t>程</w:t>
      </w:r>
      <w:r>
        <w:rPr>
          <w:rFonts w:hAnsi="宋体" w:eastAsia="宋体"/>
          <w:color w:val="auto"/>
          <w:highlight w:val="none"/>
        </w:rPr>
        <w:t>名</w:t>
      </w:r>
      <w:r>
        <w:rPr>
          <w:rFonts w:hAnsi="宋体" w:eastAsia="宋体"/>
          <w:color w:val="auto"/>
          <w:spacing w:val="-3"/>
          <w:highlight w:val="none"/>
        </w:rPr>
        <w:t>称</w:t>
      </w:r>
      <w:r>
        <w:rPr>
          <w:rFonts w:hAnsi="宋体" w:eastAsia="宋体"/>
          <w:color w:val="auto"/>
          <w:highlight w:val="none"/>
        </w:rPr>
        <w:t>：标</w:t>
      </w:r>
      <w:r>
        <w:rPr>
          <w:rFonts w:hAnsi="宋体" w:eastAsia="宋体"/>
          <w:color w:val="auto"/>
          <w:spacing w:val="-3"/>
          <w:highlight w:val="none"/>
        </w:rPr>
        <w:t>段</w:t>
      </w:r>
      <w:r>
        <w:rPr>
          <w:rFonts w:hAnsi="宋体" w:eastAsia="宋体"/>
          <w:color w:val="auto"/>
          <w:highlight w:val="none"/>
        </w:rPr>
        <w:t>：第</w:t>
      </w:r>
      <w:r>
        <w:rPr>
          <w:rFonts w:hAnsi="宋体" w:eastAsia="宋体"/>
          <w:color w:val="auto"/>
          <w:spacing w:val="-3"/>
          <w:highlight w:val="none"/>
        </w:rPr>
        <w:t>页</w:t>
      </w:r>
      <w:r>
        <w:rPr>
          <w:rFonts w:hAnsi="宋体" w:eastAsia="宋体"/>
          <w:color w:val="auto"/>
          <w:highlight w:val="none"/>
        </w:rPr>
        <w:t>共页</w:t>
      </w:r>
    </w:p>
    <w:p>
      <w:pPr>
        <w:spacing w:before="9" w:line="40" w:lineRule="exact"/>
        <w:rPr>
          <w:color w:val="auto"/>
          <w:sz w:val="4"/>
          <w:szCs w:val="4"/>
          <w:highlight w:val="none"/>
        </w:rPr>
      </w:pPr>
    </w:p>
    <w:tbl>
      <w:tblPr>
        <w:tblStyle w:val="57"/>
        <w:tblW w:w="8973" w:type="dxa"/>
        <w:jc w:val="center"/>
        <w:tblLayout w:type="fixed"/>
        <w:tblCellMar>
          <w:top w:w="0" w:type="dxa"/>
          <w:left w:w="0" w:type="dxa"/>
          <w:bottom w:w="0" w:type="dxa"/>
          <w:right w:w="0" w:type="dxa"/>
        </w:tblCellMar>
      </w:tblPr>
      <w:tblGrid>
        <w:gridCol w:w="762"/>
        <w:gridCol w:w="2529"/>
        <w:gridCol w:w="2275"/>
        <w:gridCol w:w="1167"/>
        <w:gridCol w:w="1167"/>
        <w:gridCol w:w="1073"/>
      </w:tblGrid>
      <w:tr>
        <w:tblPrEx>
          <w:tblCellMar>
            <w:top w:w="0" w:type="dxa"/>
            <w:left w:w="0" w:type="dxa"/>
            <w:bottom w:w="0" w:type="dxa"/>
            <w:right w:w="0" w:type="dxa"/>
          </w:tblCellMar>
        </w:tblPrEx>
        <w:trPr>
          <w:trHeight w:val="709" w:hRule="exact"/>
          <w:jc w:val="center"/>
        </w:trPr>
        <w:tc>
          <w:tcPr>
            <w:tcW w:w="762"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序号</w:t>
            </w:r>
          </w:p>
        </w:tc>
        <w:tc>
          <w:tcPr>
            <w:tcW w:w="2529"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项目名称</w:t>
            </w:r>
          </w:p>
        </w:tc>
        <w:tc>
          <w:tcPr>
            <w:tcW w:w="2275"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计算基础</w:t>
            </w:r>
          </w:p>
        </w:tc>
        <w:tc>
          <w:tcPr>
            <w:tcW w:w="1167" w:type="dxa"/>
            <w:tcBorders>
              <w:top w:val="single" w:color="000000" w:sz="4" w:space="0"/>
              <w:left w:val="single" w:color="000000" w:sz="4" w:space="0"/>
              <w:bottom w:val="single" w:color="000000" w:sz="4" w:space="0"/>
              <w:right w:val="single" w:color="000000" w:sz="6" w:space="0"/>
            </w:tcBorders>
            <w:tcMar>
              <w:top w:w="108" w:type="dxa"/>
              <w:left w:w="108" w:type="dxa"/>
              <w:bottom w:w="108" w:type="dxa"/>
              <w:right w:w="108" w:type="dxa"/>
            </w:tcMar>
            <w:vAlign w:val="center"/>
          </w:tcPr>
          <w:p>
            <w:pPr>
              <w:pStyle w:val="79"/>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计算基数</w:t>
            </w:r>
          </w:p>
          <w:p>
            <w:pPr>
              <w:pStyle w:val="79"/>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（元）</w:t>
            </w:r>
          </w:p>
        </w:tc>
        <w:tc>
          <w:tcPr>
            <w:tcW w:w="1167" w:type="dxa"/>
            <w:tcBorders>
              <w:top w:val="single" w:color="000000" w:sz="4" w:space="0"/>
              <w:left w:val="single" w:color="000000" w:sz="6" w:space="0"/>
              <w:bottom w:val="single" w:color="000000" w:sz="4" w:space="0"/>
              <w:right w:val="single" w:color="000000" w:sz="4" w:space="0"/>
            </w:tcBorders>
            <w:tcMar>
              <w:top w:w="108" w:type="dxa"/>
              <w:left w:w="108" w:type="dxa"/>
              <w:bottom w:w="108" w:type="dxa"/>
              <w:right w:w="108" w:type="dxa"/>
            </w:tcMar>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lang w:eastAsia="zh-CN"/>
              </w:rPr>
              <w:t>计算</w:t>
            </w:r>
            <w:r>
              <w:rPr>
                <w:rFonts w:ascii="Times New Roman" w:hAnsi="宋体" w:cs="Times New Roman"/>
                <w:color w:val="auto"/>
                <w:sz w:val="18"/>
                <w:szCs w:val="18"/>
                <w:highlight w:val="none"/>
              </w:rPr>
              <w:t>费率（</w:t>
            </w:r>
            <w:r>
              <w:rPr>
                <w:rFonts w:ascii="Times New Roman" w:hAnsi="Times New Roman" w:cs="Times New Roman"/>
                <w:color w:val="auto"/>
                <w:spacing w:val="1"/>
                <w:sz w:val="18"/>
                <w:szCs w:val="18"/>
                <w:highlight w:val="none"/>
              </w:rPr>
              <w:t>%</w:t>
            </w:r>
            <w:r>
              <w:rPr>
                <w:rFonts w:ascii="Times New Roman" w:hAnsi="宋体" w:cs="Times New Roman"/>
                <w:color w:val="auto"/>
                <w:sz w:val="18"/>
                <w:szCs w:val="18"/>
                <w:highlight w:val="none"/>
              </w:rPr>
              <w:t>）</w:t>
            </w:r>
          </w:p>
        </w:tc>
        <w:tc>
          <w:tcPr>
            <w:tcW w:w="1073"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pStyle w:val="79"/>
              <w:jc w:val="center"/>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金额（元）</w:t>
            </w:r>
          </w:p>
        </w:tc>
      </w:tr>
      <w:tr>
        <w:tblPrEx>
          <w:tblCellMar>
            <w:top w:w="0" w:type="dxa"/>
            <w:left w:w="0" w:type="dxa"/>
            <w:bottom w:w="0" w:type="dxa"/>
            <w:right w:w="0" w:type="dxa"/>
          </w:tblCellMar>
        </w:tblPrEx>
        <w:trPr>
          <w:trHeight w:val="931" w:hRule="exact"/>
          <w:jc w:val="center"/>
        </w:trPr>
        <w:tc>
          <w:tcPr>
            <w:tcW w:w="762"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pStyle w:val="79"/>
              <w:jc w:val="center"/>
              <w:rPr>
                <w:rFonts w:ascii="Times New Roman" w:hAnsi="Times New Roman" w:cs="Times New Roman"/>
                <w:color w:val="auto"/>
                <w:sz w:val="18"/>
                <w:szCs w:val="18"/>
                <w:highlight w:val="none"/>
              </w:rPr>
            </w:pPr>
            <w:r>
              <w:rPr>
                <w:rFonts w:ascii="Times New Roman" w:hAnsi="Times New Roman" w:cs="Times New Roman"/>
                <w:color w:val="auto"/>
                <w:sz w:val="18"/>
                <w:szCs w:val="18"/>
                <w:highlight w:val="none"/>
              </w:rPr>
              <w:t>1</w:t>
            </w:r>
          </w:p>
        </w:tc>
        <w:tc>
          <w:tcPr>
            <w:tcW w:w="2529"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pStyle w:val="79"/>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规费</w:t>
            </w:r>
          </w:p>
        </w:tc>
        <w:tc>
          <w:tcPr>
            <w:tcW w:w="2275" w:type="dxa"/>
            <w:vMerge w:val="restart"/>
            <w:tcBorders>
              <w:top w:val="single" w:color="000000" w:sz="4" w:space="0"/>
              <w:left w:val="single" w:color="000000" w:sz="4" w:space="0"/>
              <w:right w:val="single" w:color="000000" w:sz="4" w:space="0"/>
            </w:tcBorders>
            <w:tcMar>
              <w:top w:w="108" w:type="dxa"/>
              <w:left w:w="108" w:type="dxa"/>
              <w:bottom w:w="108" w:type="dxa"/>
              <w:right w:w="108" w:type="dxa"/>
            </w:tcMar>
            <w:vAlign w:val="center"/>
          </w:tcPr>
          <w:p>
            <w:pPr>
              <w:ind w:firstLine="180" w:firstLineChars="100"/>
              <w:jc w:val="center"/>
              <w:rPr>
                <w:color w:val="auto"/>
                <w:sz w:val="18"/>
                <w:szCs w:val="18"/>
                <w:highlight w:val="none"/>
              </w:rPr>
            </w:pPr>
            <w:r>
              <w:rPr>
                <w:rFonts w:hAnsi="宋体"/>
                <w:color w:val="auto"/>
                <w:sz w:val="18"/>
                <w:szCs w:val="18"/>
                <w:highlight w:val="none"/>
              </w:rPr>
              <w:t>分部分项工程费</w:t>
            </w:r>
            <w:r>
              <w:rPr>
                <w:color w:val="auto"/>
                <w:spacing w:val="6"/>
                <w:sz w:val="18"/>
                <w:szCs w:val="18"/>
                <w:highlight w:val="none"/>
              </w:rPr>
              <w:t>+</w:t>
            </w:r>
            <w:r>
              <w:rPr>
                <w:rFonts w:hAnsi="宋体"/>
                <w:color w:val="auto"/>
                <w:spacing w:val="7"/>
                <w:sz w:val="18"/>
                <w:szCs w:val="18"/>
                <w:highlight w:val="none"/>
              </w:rPr>
              <w:t>措</w:t>
            </w:r>
            <w:r>
              <w:rPr>
                <w:rFonts w:hAnsi="宋体"/>
                <w:color w:val="auto"/>
                <w:spacing w:val="4"/>
                <w:sz w:val="18"/>
                <w:szCs w:val="18"/>
                <w:highlight w:val="none"/>
              </w:rPr>
              <w:t>施项目</w:t>
            </w:r>
            <w:r>
              <w:rPr>
                <w:rFonts w:hAnsi="宋体"/>
                <w:color w:val="auto"/>
                <w:spacing w:val="5"/>
                <w:sz w:val="18"/>
                <w:szCs w:val="18"/>
                <w:highlight w:val="none"/>
              </w:rPr>
              <w:t>费</w:t>
            </w:r>
            <w:r>
              <w:rPr>
                <w:color w:val="auto"/>
                <w:spacing w:val="8"/>
                <w:sz w:val="18"/>
                <w:szCs w:val="18"/>
                <w:highlight w:val="none"/>
              </w:rPr>
              <w:t>+</w:t>
            </w:r>
            <w:r>
              <w:rPr>
                <w:rFonts w:hAnsi="宋体"/>
                <w:color w:val="auto"/>
                <w:spacing w:val="4"/>
                <w:sz w:val="18"/>
                <w:szCs w:val="18"/>
                <w:highlight w:val="none"/>
              </w:rPr>
              <w:t>其他</w:t>
            </w:r>
            <w:r>
              <w:rPr>
                <w:rFonts w:hAnsi="宋体"/>
                <w:color w:val="auto"/>
                <w:sz w:val="18"/>
                <w:szCs w:val="18"/>
                <w:highlight w:val="none"/>
              </w:rPr>
              <w:t>项目费</w:t>
            </w:r>
          </w:p>
          <w:p>
            <w:pPr>
              <w:ind w:firstLine="180" w:firstLineChars="100"/>
              <w:jc w:val="center"/>
              <w:rPr>
                <w:color w:val="auto"/>
                <w:highlight w:val="none"/>
              </w:rPr>
            </w:pPr>
            <w:r>
              <w:rPr>
                <w:color w:val="auto"/>
                <w:sz w:val="18"/>
                <w:szCs w:val="18"/>
                <w:highlight w:val="none"/>
              </w:rPr>
              <w:t>-</w:t>
            </w:r>
            <w:r>
              <w:rPr>
                <w:rFonts w:hAnsi="宋体"/>
                <w:color w:val="auto"/>
                <w:sz w:val="18"/>
                <w:szCs w:val="18"/>
                <w:highlight w:val="none"/>
              </w:rPr>
              <w:t>工程设备费</w:t>
            </w:r>
          </w:p>
        </w:tc>
        <w:tc>
          <w:tcPr>
            <w:tcW w:w="1167" w:type="dxa"/>
            <w:tcBorders>
              <w:top w:val="single" w:color="000000" w:sz="4" w:space="0"/>
              <w:left w:val="single" w:color="000000" w:sz="4" w:space="0"/>
              <w:bottom w:val="single" w:color="000000" w:sz="4" w:space="0"/>
              <w:right w:val="single" w:color="000000" w:sz="6" w:space="0"/>
            </w:tcBorders>
            <w:tcMar>
              <w:top w:w="108" w:type="dxa"/>
              <w:left w:w="108" w:type="dxa"/>
              <w:bottom w:w="108" w:type="dxa"/>
              <w:right w:w="108" w:type="dxa"/>
            </w:tcMar>
            <w:vAlign w:val="center"/>
          </w:tcPr>
          <w:p>
            <w:pPr>
              <w:rPr>
                <w:color w:val="auto"/>
                <w:highlight w:val="none"/>
              </w:rPr>
            </w:pPr>
          </w:p>
        </w:tc>
        <w:tc>
          <w:tcPr>
            <w:tcW w:w="1167" w:type="dxa"/>
            <w:tcBorders>
              <w:top w:val="single" w:color="000000" w:sz="4" w:space="0"/>
              <w:left w:val="single" w:color="000000" w:sz="6" w:space="0"/>
              <w:bottom w:val="single" w:color="000000" w:sz="4" w:space="0"/>
              <w:right w:val="single" w:color="000000" w:sz="4" w:space="0"/>
            </w:tcBorders>
            <w:tcMar>
              <w:top w:w="108" w:type="dxa"/>
              <w:left w:w="108" w:type="dxa"/>
              <w:bottom w:w="108" w:type="dxa"/>
              <w:right w:w="108" w:type="dxa"/>
            </w:tcMar>
            <w:vAlign w:val="center"/>
          </w:tcPr>
          <w:p>
            <w:pPr>
              <w:rPr>
                <w:color w:val="auto"/>
                <w:highlight w:val="none"/>
              </w:rPr>
            </w:pPr>
          </w:p>
        </w:tc>
        <w:tc>
          <w:tcPr>
            <w:tcW w:w="1073"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rPr>
                <w:color w:val="auto"/>
                <w:highlight w:val="none"/>
              </w:rPr>
            </w:pPr>
          </w:p>
        </w:tc>
      </w:tr>
      <w:tr>
        <w:tblPrEx>
          <w:tblCellMar>
            <w:top w:w="0" w:type="dxa"/>
            <w:left w:w="0" w:type="dxa"/>
            <w:bottom w:w="0" w:type="dxa"/>
            <w:right w:w="0" w:type="dxa"/>
          </w:tblCellMar>
        </w:tblPrEx>
        <w:trPr>
          <w:trHeight w:val="1283" w:hRule="exact"/>
          <w:jc w:val="center"/>
        </w:trPr>
        <w:tc>
          <w:tcPr>
            <w:tcW w:w="762"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pStyle w:val="79"/>
              <w:jc w:val="center"/>
              <w:rPr>
                <w:rFonts w:ascii="Times New Roman" w:hAnsi="Times New Roman" w:cs="Times New Roman"/>
                <w:color w:val="auto"/>
                <w:sz w:val="18"/>
                <w:szCs w:val="18"/>
                <w:highlight w:val="none"/>
              </w:rPr>
            </w:pPr>
            <w:r>
              <w:rPr>
                <w:rFonts w:ascii="Times New Roman" w:hAnsi="Times New Roman" w:cs="Times New Roman"/>
                <w:color w:val="auto"/>
                <w:spacing w:val="1"/>
                <w:sz w:val="18"/>
                <w:szCs w:val="18"/>
                <w:highlight w:val="none"/>
              </w:rPr>
              <w:t>1.1</w:t>
            </w:r>
          </w:p>
        </w:tc>
        <w:tc>
          <w:tcPr>
            <w:tcW w:w="2529"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pStyle w:val="79"/>
              <w:ind w:firstLine="450" w:firstLineChars="250"/>
              <w:rPr>
                <w:rFonts w:ascii="Times New Roman" w:hAnsi="Times New Roman" w:cs="Times New Roman"/>
                <w:color w:val="auto"/>
                <w:sz w:val="18"/>
                <w:szCs w:val="18"/>
                <w:highlight w:val="none"/>
              </w:rPr>
            </w:pPr>
            <w:r>
              <w:rPr>
                <w:rFonts w:ascii="Times New Roman" w:hAnsi="宋体" w:cs="Times New Roman"/>
                <w:color w:val="auto"/>
                <w:sz w:val="18"/>
                <w:szCs w:val="18"/>
                <w:highlight w:val="none"/>
                <w:lang w:eastAsia="zh-CN"/>
              </w:rPr>
              <w:t>社会保险费</w:t>
            </w:r>
          </w:p>
        </w:tc>
        <w:tc>
          <w:tcPr>
            <w:tcW w:w="2275" w:type="dxa"/>
            <w:vMerge w:val="continue"/>
            <w:tcBorders>
              <w:left w:val="single" w:color="000000" w:sz="4" w:space="0"/>
              <w:right w:val="single" w:color="000000" w:sz="4" w:space="0"/>
            </w:tcBorders>
            <w:tcMar>
              <w:top w:w="108" w:type="dxa"/>
              <w:left w:w="108" w:type="dxa"/>
              <w:bottom w:w="108" w:type="dxa"/>
              <w:right w:w="108" w:type="dxa"/>
            </w:tcMar>
            <w:vAlign w:val="center"/>
          </w:tcPr>
          <w:p>
            <w:pPr>
              <w:ind w:firstLine="210" w:firstLineChars="100"/>
              <w:rPr>
                <w:color w:val="auto"/>
                <w:highlight w:val="none"/>
              </w:rPr>
            </w:pPr>
          </w:p>
        </w:tc>
        <w:tc>
          <w:tcPr>
            <w:tcW w:w="1167" w:type="dxa"/>
            <w:tcBorders>
              <w:top w:val="single" w:color="000000" w:sz="4" w:space="0"/>
              <w:left w:val="single" w:color="000000" w:sz="4" w:space="0"/>
              <w:bottom w:val="single" w:color="000000" w:sz="4" w:space="0"/>
              <w:right w:val="single" w:color="000000" w:sz="6" w:space="0"/>
            </w:tcBorders>
            <w:tcMar>
              <w:top w:w="108" w:type="dxa"/>
              <w:left w:w="108" w:type="dxa"/>
              <w:bottom w:w="108" w:type="dxa"/>
              <w:right w:w="108" w:type="dxa"/>
            </w:tcMar>
            <w:vAlign w:val="center"/>
          </w:tcPr>
          <w:p>
            <w:pPr>
              <w:rPr>
                <w:color w:val="auto"/>
                <w:highlight w:val="none"/>
              </w:rPr>
            </w:pPr>
          </w:p>
        </w:tc>
        <w:tc>
          <w:tcPr>
            <w:tcW w:w="1167" w:type="dxa"/>
            <w:tcBorders>
              <w:top w:val="single" w:color="000000" w:sz="4" w:space="0"/>
              <w:left w:val="single" w:color="000000" w:sz="6" w:space="0"/>
              <w:bottom w:val="single" w:color="000000" w:sz="4" w:space="0"/>
              <w:right w:val="single" w:color="000000" w:sz="4" w:space="0"/>
            </w:tcBorders>
            <w:tcMar>
              <w:top w:w="108" w:type="dxa"/>
              <w:left w:w="108" w:type="dxa"/>
              <w:bottom w:w="108" w:type="dxa"/>
              <w:right w:w="108" w:type="dxa"/>
            </w:tcMar>
            <w:vAlign w:val="center"/>
          </w:tcPr>
          <w:p>
            <w:pPr>
              <w:rPr>
                <w:color w:val="auto"/>
                <w:highlight w:val="none"/>
              </w:rPr>
            </w:pPr>
          </w:p>
        </w:tc>
        <w:tc>
          <w:tcPr>
            <w:tcW w:w="1073"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rPr>
                <w:color w:val="auto"/>
                <w:highlight w:val="none"/>
              </w:rPr>
            </w:pPr>
          </w:p>
        </w:tc>
      </w:tr>
      <w:tr>
        <w:tblPrEx>
          <w:tblCellMar>
            <w:top w:w="0" w:type="dxa"/>
            <w:left w:w="0" w:type="dxa"/>
            <w:bottom w:w="0" w:type="dxa"/>
            <w:right w:w="0" w:type="dxa"/>
          </w:tblCellMar>
        </w:tblPrEx>
        <w:trPr>
          <w:trHeight w:val="1414" w:hRule="exact"/>
          <w:jc w:val="center"/>
        </w:trPr>
        <w:tc>
          <w:tcPr>
            <w:tcW w:w="762"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pStyle w:val="79"/>
              <w:jc w:val="center"/>
              <w:rPr>
                <w:rFonts w:ascii="Times New Roman" w:hAnsi="Times New Roman" w:cs="Times New Roman"/>
                <w:color w:val="auto"/>
                <w:sz w:val="18"/>
                <w:szCs w:val="18"/>
                <w:highlight w:val="none"/>
                <w:lang w:eastAsia="zh-CN"/>
              </w:rPr>
            </w:pPr>
            <w:r>
              <w:rPr>
                <w:rFonts w:ascii="Times New Roman" w:hAnsi="Times New Roman" w:cs="Times New Roman"/>
                <w:color w:val="auto"/>
                <w:spacing w:val="1"/>
                <w:sz w:val="18"/>
                <w:szCs w:val="18"/>
                <w:highlight w:val="none"/>
              </w:rPr>
              <w:t>1.</w:t>
            </w:r>
            <w:r>
              <w:rPr>
                <w:rFonts w:ascii="Times New Roman" w:hAnsi="Times New Roman" w:cs="Times New Roman"/>
                <w:color w:val="auto"/>
                <w:spacing w:val="1"/>
                <w:sz w:val="18"/>
                <w:szCs w:val="18"/>
                <w:highlight w:val="none"/>
                <w:lang w:eastAsia="zh-CN"/>
              </w:rPr>
              <w:t>2</w:t>
            </w:r>
          </w:p>
        </w:tc>
        <w:tc>
          <w:tcPr>
            <w:tcW w:w="2529"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pStyle w:val="79"/>
              <w:ind w:firstLine="450" w:firstLineChars="25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住房公积金</w:t>
            </w:r>
          </w:p>
        </w:tc>
        <w:tc>
          <w:tcPr>
            <w:tcW w:w="2275" w:type="dxa"/>
            <w:vMerge w:val="continue"/>
            <w:tcBorders>
              <w:left w:val="single" w:color="000000" w:sz="4" w:space="0"/>
              <w:right w:val="single" w:color="000000" w:sz="4" w:space="0"/>
            </w:tcBorders>
            <w:tcMar>
              <w:top w:w="108" w:type="dxa"/>
              <w:left w:w="108" w:type="dxa"/>
              <w:bottom w:w="108" w:type="dxa"/>
              <w:right w:w="108" w:type="dxa"/>
            </w:tcMar>
            <w:vAlign w:val="center"/>
          </w:tcPr>
          <w:p>
            <w:pPr>
              <w:ind w:firstLine="210" w:firstLineChars="100"/>
              <w:rPr>
                <w:color w:val="auto"/>
                <w:highlight w:val="none"/>
              </w:rPr>
            </w:pPr>
          </w:p>
        </w:tc>
        <w:tc>
          <w:tcPr>
            <w:tcW w:w="1167" w:type="dxa"/>
            <w:tcBorders>
              <w:top w:val="single" w:color="000000" w:sz="4" w:space="0"/>
              <w:left w:val="single" w:color="000000" w:sz="4" w:space="0"/>
              <w:bottom w:val="single" w:color="000000" w:sz="4" w:space="0"/>
              <w:right w:val="single" w:color="000000" w:sz="6" w:space="0"/>
            </w:tcBorders>
            <w:tcMar>
              <w:top w:w="108" w:type="dxa"/>
              <w:left w:w="108" w:type="dxa"/>
              <w:bottom w:w="108" w:type="dxa"/>
              <w:right w:w="108" w:type="dxa"/>
            </w:tcMar>
            <w:vAlign w:val="center"/>
          </w:tcPr>
          <w:p>
            <w:pPr>
              <w:rPr>
                <w:color w:val="auto"/>
                <w:highlight w:val="none"/>
              </w:rPr>
            </w:pPr>
          </w:p>
        </w:tc>
        <w:tc>
          <w:tcPr>
            <w:tcW w:w="1167" w:type="dxa"/>
            <w:tcBorders>
              <w:top w:val="single" w:color="000000" w:sz="4" w:space="0"/>
              <w:left w:val="single" w:color="000000" w:sz="6" w:space="0"/>
              <w:bottom w:val="single" w:color="000000" w:sz="4" w:space="0"/>
              <w:right w:val="single" w:color="000000" w:sz="4" w:space="0"/>
            </w:tcBorders>
            <w:tcMar>
              <w:top w:w="108" w:type="dxa"/>
              <w:left w:w="108" w:type="dxa"/>
              <w:bottom w:w="108" w:type="dxa"/>
              <w:right w:w="108" w:type="dxa"/>
            </w:tcMar>
            <w:vAlign w:val="center"/>
          </w:tcPr>
          <w:p>
            <w:pPr>
              <w:rPr>
                <w:color w:val="auto"/>
                <w:highlight w:val="none"/>
              </w:rPr>
            </w:pPr>
          </w:p>
        </w:tc>
        <w:tc>
          <w:tcPr>
            <w:tcW w:w="1073"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rPr>
                <w:color w:val="auto"/>
                <w:highlight w:val="none"/>
              </w:rPr>
            </w:pPr>
          </w:p>
        </w:tc>
      </w:tr>
      <w:tr>
        <w:tblPrEx>
          <w:tblCellMar>
            <w:top w:w="0" w:type="dxa"/>
            <w:left w:w="0" w:type="dxa"/>
            <w:bottom w:w="0" w:type="dxa"/>
            <w:right w:w="0" w:type="dxa"/>
          </w:tblCellMar>
        </w:tblPrEx>
        <w:trPr>
          <w:trHeight w:val="1231" w:hRule="exact"/>
          <w:jc w:val="center"/>
        </w:trPr>
        <w:tc>
          <w:tcPr>
            <w:tcW w:w="762" w:type="dxa"/>
            <w:tcBorders>
              <w:top w:val="single" w:color="000000" w:sz="4" w:space="0"/>
              <w:left w:val="single" w:color="000000" w:sz="4" w:space="0"/>
              <w:bottom w:val="single" w:color="000000" w:sz="6" w:space="0"/>
              <w:right w:val="single" w:color="000000" w:sz="4" w:space="0"/>
            </w:tcBorders>
            <w:tcMar>
              <w:top w:w="108" w:type="dxa"/>
              <w:left w:w="108" w:type="dxa"/>
              <w:bottom w:w="108" w:type="dxa"/>
              <w:right w:w="108" w:type="dxa"/>
            </w:tcMar>
            <w:vAlign w:val="center"/>
          </w:tcPr>
          <w:p>
            <w:pPr>
              <w:jc w:val="center"/>
              <w:rPr>
                <w:color w:val="auto"/>
                <w:highlight w:val="none"/>
              </w:rPr>
            </w:pPr>
            <w:r>
              <w:rPr>
                <w:color w:val="auto"/>
                <w:spacing w:val="1"/>
                <w:sz w:val="18"/>
                <w:szCs w:val="18"/>
                <w:highlight w:val="none"/>
              </w:rPr>
              <w:t>1.3</w:t>
            </w:r>
          </w:p>
        </w:tc>
        <w:tc>
          <w:tcPr>
            <w:tcW w:w="2529" w:type="dxa"/>
            <w:tcBorders>
              <w:top w:val="single" w:color="000000" w:sz="4" w:space="0"/>
              <w:left w:val="single" w:color="000000" w:sz="4" w:space="0"/>
              <w:bottom w:val="single" w:color="000000" w:sz="6" w:space="0"/>
              <w:right w:val="single" w:color="000000" w:sz="4" w:space="0"/>
            </w:tcBorders>
            <w:tcMar>
              <w:top w:w="108" w:type="dxa"/>
              <w:left w:w="108" w:type="dxa"/>
              <w:bottom w:w="108" w:type="dxa"/>
              <w:right w:w="108" w:type="dxa"/>
            </w:tcMar>
            <w:vAlign w:val="center"/>
          </w:tcPr>
          <w:p>
            <w:pPr>
              <w:pStyle w:val="79"/>
              <w:ind w:firstLine="450" w:firstLineChars="250"/>
              <w:rPr>
                <w:rFonts w:ascii="Times New Roman" w:hAnsi="Times New Roman" w:cs="Times New Roman"/>
                <w:color w:val="auto"/>
                <w:sz w:val="18"/>
                <w:szCs w:val="18"/>
                <w:highlight w:val="none"/>
                <w:lang w:eastAsia="zh-CN"/>
              </w:rPr>
            </w:pPr>
            <w:r>
              <w:rPr>
                <w:rFonts w:hint="eastAsia" w:ascii="宋体" w:hAnsi="宋体" w:cs="宋体"/>
                <w:color w:val="auto"/>
                <w:sz w:val="18"/>
                <w:szCs w:val="18"/>
                <w:highlight w:val="none"/>
                <w:lang w:eastAsia="zh-CN"/>
              </w:rPr>
              <w:t>环境保护税</w:t>
            </w:r>
          </w:p>
        </w:tc>
        <w:tc>
          <w:tcPr>
            <w:tcW w:w="2275" w:type="dxa"/>
            <w:vMerge w:val="continue"/>
            <w:tcBorders>
              <w:left w:val="single" w:color="000000" w:sz="4" w:space="0"/>
              <w:bottom w:val="single" w:color="000000" w:sz="6" w:space="0"/>
              <w:right w:val="single" w:color="000000" w:sz="4" w:space="0"/>
            </w:tcBorders>
            <w:tcMar>
              <w:top w:w="108" w:type="dxa"/>
              <w:left w:w="108" w:type="dxa"/>
              <w:bottom w:w="108" w:type="dxa"/>
              <w:right w:w="108" w:type="dxa"/>
            </w:tcMar>
            <w:vAlign w:val="center"/>
          </w:tcPr>
          <w:p>
            <w:pPr>
              <w:ind w:firstLine="210" w:firstLineChars="100"/>
              <w:rPr>
                <w:color w:val="auto"/>
                <w:highlight w:val="none"/>
              </w:rPr>
            </w:pPr>
          </w:p>
        </w:tc>
        <w:tc>
          <w:tcPr>
            <w:tcW w:w="1167" w:type="dxa"/>
            <w:tcBorders>
              <w:top w:val="single" w:color="000000" w:sz="4" w:space="0"/>
              <w:left w:val="single" w:color="000000" w:sz="4" w:space="0"/>
              <w:bottom w:val="single" w:color="000000" w:sz="6" w:space="0"/>
              <w:right w:val="single" w:color="000000" w:sz="6" w:space="0"/>
            </w:tcBorders>
            <w:tcMar>
              <w:top w:w="108" w:type="dxa"/>
              <w:left w:w="108" w:type="dxa"/>
              <w:bottom w:w="108" w:type="dxa"/>
              <w:right w:w="108" w:type="dxa"/>
            </w:tcMar>
            <w:vAlign w:val="center"/>
          </w:tcPr>
          <w:p>
            <w:pPr>
              <w:rPr>
                <w:color w:val="auto"/>
                <w:highlight w:val="none"/>
              </w:rPr>
            </w:pPr>
          </w:p>
        </w:tc>
        <w:tc>
          <w:tcPr>
            <w:tcW w:w="1167" w:type="dxa"/>
            <w:tcBorders>
              <w:top w:val="single" w:color="000000" w:sz="4" w:space="0"/>
              <w:left w:val="single" w:color="000000" w:sz="6" w:space="0"/>
              <w:bottom w:val="single" w:color="000000" w:sz="6" w:space="0"/>
              <w:right w:val="single" w:color="000000" w:sz="4" w:space="0"/>
            </w:tcBorders>
            <w:tcMar>
              <w:top w:w="108" w:type="dxa"/>
              <w:left w:w="108" w:type="dxa"/>
              <w:bottom w:w="108" w:type="dxa"/>
              <w:right w:w="108" w:type="dxa"/>
            </w:tcMar>
            <w:vAlign w:val="center"/>
          </w:tcPr>
          <w:p>
            <w:pPr>
              <w:rPr>
                <w:color w:val="auto"/>
                <w:highlight w:val="none"/>
              </w:rPr>
            </w:pPr>
          </w:p>
        </w:tc>
        <w:tc>
          <w:tcPr>
            <w:tcW w:w="1073" w:type="dxa"/>
            <w:tcBorders>
              <w:top w:val="single" w:color="000000" w:sz="4" w:space="0"/>
              <w:left w:val="single" w:color="000000" w:sz="4" w:space="0"/>
              <w:bottom w:val="single" w:color="000000" w:sz="6" w:space="0"/>
              <w:right w:val="single" w:color="000000" w:sz="4" w:space="0"/>
            </w:tcBorders>
            <w:tcMar>
              <w:top w:w="108" w:type="dxa"/>
              <w:left w:w="108" w:type="dxa"/>
              <w:bottom w:w="108" w:type="dxa"/>
              <w:right w:w="108" w:type="dxa"/>
            </w:tcMar>
            <w:vAlign w:val="center"/>
          </w:tcPr>
          <w:p>
            <w:pPr>
              <w:rPr>
                <w:color w:val="auto"/>
                <w:highlight w:val="none"/>
              </w:rPr>
            </w:pPr>
          </w:p>
        </w:tc>
      </w:tr>
      <w:tr>
        <w:tblPrEx>
          <w:tblCellMar>
            <w:top w:w="0" w:type="dxa"/>
            <w:left w:w="0" w:type="dxa"/>
            <w:bottom w:w="0" w:type="dxa"/>
            <w:right w:w="0" w:type="dxa"/>
          </w:tblCellMar>
        </w:tblPrEx>
        <w:trPr>
          <w:trHeight w:val="2148" w:hRule="exact"/>
          <w:jc w:val="center"/>
        </w:trPr>
        <w:tc>
          <w:tcPr>
            <w:tcW w:w="762"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pStyle w:val="79"/>
              <w:jc w:val="center"/>
              <w:rPr>
                <w:rFonts w:ascii="Times New Roman" w:hAnsi="Times New Roman" w:cs="Times New Roman"/>
                <w:color w:val="auto"/>
                <w:sz w:val="18"/>
                <w:szCs w:val="18"/>
                <w:highlight w:val="none"/>
              </w:rPr>
            </w:pPr>
            <w:r>
              <w:rPr>
                <w:rFonts w:ascii="Times New Roman" w:hAnsi="Times New Roman" w:cs="Times New Roman"/>
                <w:color w:val="auto"/>
                <w:sz w:val="18"/>
                <w:szCs w:val="18"/>
                <w:highlight w:val="none"/>
              </w:rPr>
              <w:t>2</w:t>
            </w:r>
          </w:p>
        </w:tc>
        <w:tc>
          <w:tcPr>
            <w:tcW w:w="2529"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pStyle w:val="79"/>
              <w:rPr>
                <w:rFonts w:ascii="Times New Roman" w:hAnsi="Times New Roman" w:cs="Times New Roman"/>
                <w:color w:val="auto"/>
                <w:sz w:val="18"/>
                <w:szCs w:val="18"/>
                <w:highlight w:val="none"/>
              </w:rPr>
            </w:pPr>
            <w:r>
              <w:rPr>
                <w:rFonts w:ascii="Times New Roman" w:hAnsi="宋体" w:cs="Times New Roman"/>
                <w:color w:val="auto"/>
                <w:sz w:val="18"/>
                <w:szCs w:val="18"/>
                <w:highlight w:val="none"/>
              </w:rPr>
              <w:t>税金</w:t>
            </w:r>
          </w:p>
        </w:tc>
        <w:tc>
          <w:tcPr>
            <w:tcW w:w="2275"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pStyle w:val="79"/>
              <w:spacing w:line="362" w:lineRule="auto"/>
              <w:ind w:firstLine="188" w:firstLineChars="100"/>
              <w:jc w:val="center"/>
              <w:rPr>
                <w:rFonts w:ascii="Times New Roman" w:hAnsi="Times New Roman" w:cs="Times New Roman"/>
                <w:color w:val="auto"/>
                <w:sz w:val="18"/>
                <w:szCs w:val="18"/>
                <w:highlight w:val="none"/>
                <w:lang w:eastAsia="zh-CN"/>
              </w:rPr>
            </w:pPr>
            <w:r>
              <w:rPr>
                <w:rFonts w:ascii="Times New Roman" w:hAnsi="宋体" w:cs="Times New Roman"/>
                <w:color w:val="auto"/>
                <w:spacing w:val="4"/>
                <w:sz w:val="18"/>
                <w:szCs w:val="18"/>
                <w:highlight w:val="none"/>
                <w:lang w:eastAsia="zh-CN"/>
              </w:rPr>
              <w:t>分部分项工程费</w:t>
            </w:r>
            <w:r>
              <w:rPr>
                <w:rFonts w:ascii="Times New Roman" w:hAnsi="Times New Roman" w:cs="Times New Roman"/>
                <w:color w:val="auto"/>
                <w:spacing w:val="6"/>
                <w:sz w:val="18"/>
                <w:szCs w:val="18"/>
                <w:highlight w:val="none"/>
                <w:lang w:eastAsia="zh-CN"/>
              </w:rPr>
              <w:t>+</w:t>
            </w:r>
            <w:r>
              <w:rPr>
                <w:rFonts w:ascii="Times New Roman" w:hAnsi="宋体" w:cs="Times New Roman"/>
                <w:color w:val="auto"/>
                <w:spacing w:val="7"/>
                <w:sz w:val="18"/>
                <w:szCs w:val="18"/>
                <w:highlight w:val="none"/>
                <w:lang w:eastAsia="zh-CN"/>
              </w:rPr>
              <w:t>措</w:t>
            </w:r>
            <w:r>
              <w:rPr>
                <w:rFonts w:ascii="Times New Roman" w:hAnsi="宋体" w:cs="Times New Roman"/>
                <w:color w:val="auto"/>
                <w:spacing w:val="4"/>
                <w:sz w:val="18"/>
                <w:szCs w:val="18"/>
                <w:highlight w:val="none"/>
                <w:lang w:eastAsia="zh-CN"/>
              </w:rPr>
              <w:t>施项目</w:t>
            </w:r>
            <w:r>
              <w:rPr>
                <w:rFonts w:ascii="Times New Roman" w:hAnsi="宋体" w:cs="Times New Roman"/>
                <w:color w:val="auto"/>
                <w:spacing w:val="5"/>
                <w:sz w:val="18"/>
                <w:szCs w:val="18"/>
                <w:highlight w:val="none"/>
                <w:lang w:eastAsia="zh-CN"/>
              </w:rPr>
              <w:t>费</w:t>
            </w:r>
            <w:r>
              <w:rPr>
                <w:rFonts w:ascii="Times New Roman" w:hAnsi="Times New Roman" w:cs="Times New Roman"/>
                <w:color w:val="auto"/>
                <w:spacing w:val="8"/>
                <w:sz w:val="18"/>
                <w:szCs w:val="18"/>
                <w:highlight w:val="none"/>
                <w:lang w:eastAsia="zh-CN"/>
              </w:rPr>
              <w:t>+</w:t>
            </w:r>
            <w:r>
              <w:rPr>
                <w:rFonts w:ascii="Times New Roman" w:hAnsi="宋体" w:cs="Times New Roman"/>
                <w:color w:val="auto"/>
                <w:spacing w:val="4"/>
                <w:sz w:val="18"/>
                <w:szCs w:val="18"/>
                <w:highlight w:val="none"/>
                <w:lang w:eastAsia="zh-CN"/>
              </w:rPr>
              <w:t>其他</w:t>
            </w:r>
            <w:r>
              <w:rPr>
                <w:rFonts w:ascii="Times New Roman" w:hAnsi="宋体" w:cs="Times New Roman"/>
                <w:color w:val="auto"/>
                <w:sz w:val="18"/>
                <w:szCs w:val="18"/>
                <w:highlight w:val="none"/>
                <w:lang w:eastAsia="zh-CN"/>
              </w:rPr>
              <w:t>项目费</w:t>
            </w:r>
            <w:r>
              <w:rPr>
                <w:rFonts w:ascii="Times New Roman" w:hAnsi="Times New Roman" w:cs="Times New Roman"/>
                <w:color w:val="auto"/>
                <w:spacing w:val="1"/>
                <w:sz w:val="18"/>
                <w:szCs w:val="18"/>
                <w:highlight w:val="none"/>
                <w:lang w:eastAsia="zh-CN"/>
              </w:rPr>
              <w:t>+</w:t>
            </w:r>
            <w:r>
              <w:rPr>
                <w:rFonts w:ascii="Times New Roman" w:hAnsi="宋体" w:cs="Times New Roman"/>
                <w:color w:val="auto"/>
                <w:sz w:val="18"/>
                <w:szCs w:val="18"/>
                <w:highlight w:val="none"/>
                <w:lang w:eastAsia="zh-CN"/>
              </w:rPr>
              <w:t>规费</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lang w:eastAsia="zh-CN"/>
              </w:rPr>
              <w:t>按规定不计税的工程设备金额</w:t>
            </w:r>
          </w:p>
        </w:tc>
        <w:tc>
          <w:tcPr>
            <w:tcW w:w="1167" w:type="dxa"/>
            <w:tcBorders>
              <w:top w:val="single" w:color="000000" w:sz="4" w:space="0"/>
              <w:left w:val="single" w:color="000000" w:sz="4" w:space="0"/>
              <w:bottom w:val="single" w:color="000000" w:sz="4" w:space="0"/>
              <w:right w:val="single" w:color="000000" w:sz="6" w:space="0"/>
            </w:tcBorders>
            <w:tcMar>
              <w:top w:w="108" w:type="dxa"/>
              <w:left w:w="108" w:type="dxa"/>
              <w:bottom w:w="108" w:type="dxa"/>
              <w:right w:w="108" w:type="dxa"/>
            </w:tcMar>
            <w:vAlign w:val="center"/>
          </w:tcPr>
          <w:p>
            <w:pPr>
              <w:rPr>
                <w:color w:val="auto"/>
                <w:highlight w:val="none"/>
              </w:rPr>
            </w:pPr>
          </w:p>
        </w:tc>
        <w:tc>
          <w:tcPr>
            <w:tcW w:w="1167" w:type="dxa"/>
            <w:tcBorders>
              <w:top w:val="single" w:color="000000" w:sz="4" w:space="0"/>
              <w:left w:val="single" w:color="000000" w:sz="6" w:space="0"/>
              <w:bottom w:val="single" w:color="000000" w:sz="4" w:space="0"/>
              <w:right w:val="single" w:color="000000" w:sz="4" w:space="0"/>
            </w:tcBorders>
            <w:tcMar>
              <w:top w:w="108" w:type="dxa"/>
              <w:left w:w="108" w:type="dxa"/>
              <w:bottom w:w="108" w:type="dxa"/>
              <w:right w:w="108" w:type="dxa"/>
            </w:tcMar>
            <w:vAlign w:val="center"/>
          </w:tcPr>
          <w:p>
            <w:pPr>
              <w:rPr>
                <w:color w:val="auto"/>
                <w:highlight w:val="none"/>
              </w:rPr>
            </w:pPr>
          </w:p>
        </w:tc>
        <w:tc>
          <w:tcPr>
            <w:tcW w:w="1073" w:type="dxa"/>
            <w:tcBorders>
              <w:top w:val="single" w:color="000000" w:sz="4" w:space="0"/>
              <w:left w:val="single" w:color="000000" w:sz="4" w:space="0"/>
              <w:bottom w:val="single" w:color="000000" w:sz="4" w:space="0"/>
              <w:right w:val="single" w:color="000000" w:sz="4" w:space="0"/>
            </w:tcBorders>
            <w:tcMar>
              <w:top w:w="108" w:type="dxa"/>
              <w:left w:w="108" w:type="dxa"/>
              <w:bottom w:w="108" w:type="dxa"/>
              <w:right w:w="108" w:type="dxa"/>
            </w:tcMar>
            <w:vAlign w:val="center"/>
          </w:tcPr>
          <w:p>
            <w:pPr>
              <w:rPr>
                <w:color w:val="auto"/>
                <w:highlight w:val="none"/>
              </w:rPr>
            </w:pPr>
          </w:p>
        </w:tc>
      </w:tr>
    </w:tbl>
    <w:p>
      <w:pPr>
        <w:pStyle w:val="2"/>
        <w:spacing w:before="21"/>
        <w:jc w:val="left"/>
        <w:rPr>
          <w:rFonts w:eastAsia="宋体"/>
          <w:color w:val="auto"/>
          <w:sz w:val="18"/>
          <w:szCs w:val="18"/>
          <w:highlight w:val="none"/>
        </w:rPr>
      </w:pPr>
    </w:p>
    <w:p>
      <w:pPr>
        <w:pStyle w:val="2"/>
        <w:spacing w:before="21"/>
        <w:jc w:val="left"/>
        <w:rPr>
          <w:rFonts w:eastAsia="宋体"/>
          <w:color w:val="auto"/>
          <w:sz w:val="18"/>
          <w:szCs w:val="18"/>
          <w:highlight w:val="none"/>
        </w:rPr>
      </w:pPr>
    </w:p>
    <w:p>
      <w:pPr>
        <w:pStyle w:val="2"/>
        <w:spacing w:before="21"/>
        <w:jc w:val="left"/>
        <w:rPr>
          <w:rFonts w:eastAsia="宋体"/>
          <w:color w:val="auto"/>
          <w:sz w:val="18"/>
          <w:szCs w:val="18"/>
          <w:highlight w:val="none"/>
        </w:rPr>
      </w:pPr>
    </w:p>
    <w:p>
      <w:pPr>
        <w:pStyle w:val="2"/>
        <w:spacing w:before="21"/>
        <w:jc w:val="left"/>
        <w:rPr>
          <w:rFonts w:eastAsia="宋体"/>
          <w:color w:val="auto"/>
          <w:sz w:val="18"/>
          <w:szCs w:val="18"/>
          <w:highlight w:val="none"/>
        </w:rPr>
      </w:pPr>
    </w:p>
    <w:p>
      <w:pPr>
        <w:pStyle w:val="2"/>
        <w:spacing w:before="21"/>
        <w:jc w:val="left"/>
        <w:rPr>
          <w:rFonts w:eastAsia="宋体"/>
          <w:color w:val="auto"/>
          <w:sz w:val="18"/>
          <w:szCs w:val="18"/>
          <w:highlight w:val="none"/>
        </w:rPr>
      </w:pPr>
    </w:p>
    <w:p>
      <w:pPr>
        <w:pStyle w:val="2"/>
        <w:spacing w:before="21"/>
        <w:ind w:right="360"/>
        <w:jc w:val="right"/>
        <w:rPr>
          <w:rFonts w:eastAsia="宋体"/>
          <w:color w:val="auto"/>
          <w:sz w:val="18"/>
          <w:szCs w:val="18"/>
          <w:highlight w:val="none"/>
        </w:rPr>
      </w:pPr>
      <w:r>
        <w:rPr>
          <w:rFonts w:hAnsi="宋体" w:eastAsia="宋体"/>
          <w:color w:val="auto"/>
          <w:sz w:val="18"/>
          <w:szCs w:val="18"/>
          <w:highlight w:val="none"/>
        </w:rPr>
        <w:t>表</w:t>
      </w:r>
      <w:r>
        <w:rPr>
          <w:rFonts w:eastAsia="宋体"/>
          <w:color w:val="auto"/>
          <w:sz w:val="18"/>
          <w:szCs w:val="18"/>
          <w:highlight w:val="none"/>
        </w:rPr>
        <w:t>-13</w:t>
      </w:r>
    </w:p>
    <w:p>
      <w:pPr>
        <w:pStyle w:val="78"/>
        <w:tabs>
          <w:tab w:val="left" w:pos="707"/>
        </w:tabs>
        <w:jc w:val="center"/>
        <w:outlineLvl w:val="2"/>
        <w:rPr>
          <w:rFonts w:ascii="Times New Roman" w:hAnsi="Times New Roman" w:cs="Times New Roman"/>
          <w:b/>
          <w:color w:val="auto"/>
          <w:spacing w:val="1"/>
          <w:highlight w:val="none"/>
          <w:lang w:eastAsia="zh-CN"/>
        </w:rPr>
      </w:pPr>
    </w:p>
    <w:p>
      <w:pPr>
        <w:pStyle w:val="78"/>
        <w:tabs>
          <w:tab w:val="left" w:pos="707"/>
        </w:tabs>
        <w:jc w:val="center"/>
        <w:outlineLvl w:val="2"/>
        <w:rPr>
          <w:rFonts w:ascii="Times New Roman" w:hAnsi="Times New Roman" w:cs="Times New Roman"/>
          <w:b/>
          <w:color w:val="auto"/>
          <w:spacing w:val="1"/>
          <w:highlight w:val="none"/>
          <w:lang w:eastAsia="zh-CN"/>
        </w:rPr>
      </w:pPr>
      <w:r>
        <w:rPr>
          <w:rFonts w:ascii="Times New Roman" w:cs="Times New Roman"/>
          <w:b/>
          <w:color w:val="auto"/>
          <w:spacing w:val="1"/>
          <w:highlight w:val="none"/>
          <w:lang w:eastAsia="zh-CN"/>
        </w:rPr>
        <w:br w:type="page"/>
      </w:r>
      <w:r>
        <w:rPr>
          <w:rFonts w:ascii="Times New Roman" w:cs="Times New Roman"/>
          <w:b/>
          <w:color w:val="auto"/>
          <w:spacing w:val="1"/>
          <w:highlight w:val="none"/>
          <w:lang w:eastAsia="zh-CN"/>
        </w:rPr>
        <w:t>发包人提供材料和工程设备一览表</w:t>
      </w:r>
      <w:bookmarkEnd w:id="581"/>
      <w:bookmarkEnd w:id="582"/>
      <w:bookmarkEnd w:id="583"/>
    </w:p>
    <w:p>
      <w:pPr>
        <w:spacing w:before="19" w:line="200" w:lineRule="exact"/>
        <w:rPr>
          <w:color w:val="auto"/>
          <w:sz w:val="28"/>
          <w:szCs w:val="28"/>
          <w:highlight w:val="none"/>
        </w:rPr>
      </w:pPr>
    </w:p>
    <w:p>
      <w:pPr>
        <w:pStyle w:val="78"/>
        <w:tabs>
          <w:tab w:val="left" w:pos="707"/>
        </w:tabs>
        <w:jc w:val="center"/>
        <w:outlineLvl w:val="2"/>
        <w:rPr>
          <w:rFonts w:ascii="Times New Roman" w:hAnsi="Times New Roman" w:cs="Times New Roman"/>
          <w:b/>
          <w:color w:val="auto"/>
          <w:spacing w:val="1"/>
          <w:highlight w:val="none"/>
          <w:lang w:eastAsia="zh-CN"/>
        </w:rPr>
      </w:pPr>
      <w:bookmarkStart w:id="584" w:name="_Toc359844005"/>
      <w:bookmarkStart w:id="585" w:name="_Toc359930038"/>
      <w:bookmarkStart w:id="586" w:name="_Toc359843546"/>
    </w:p>
    <w:p>
      <w:pPr>
        <w:pStyle w:val="79"/>
        <w:spacing w:line="362" w:lineRule="auto"/>
        <w:ind w:firstLine="540" w:firstLineChars="30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工程名称：</w:t>
      </w:r>
      <w:r>
        <w:rPr>
          <w:rFonts w:ascii="Times New Roman" w:hAnsi="Times New Roman" w:cs="Times New Roman"/>
          <w:color w:val="auto"/>
          <w:sz w:val="18"/>
          <w:szCs w:val="18"/>
          <w:highlight w:val="none"/>
          <w:lang w:eastAsia="zh-CN"/>
        </w:rPr>
        <w:tab/>
      </w:r>
      <w:r>
        <w:rPr>
          <w:rFonts w:ascii="Times New Roman" w:hAnsi="宋体" w:cs="Times New Roman"/>
          <w:color w:val="auto"/>
          <w:sz w:val="18"/>
          <w:szCs w:val="18"/>
          <w:highlight w:val="none"/>
          <w:lang w:eastAsia="zh-CN"/>
        </w:rPr>
        <w:t>标段</w:t>
      </w:r>
      <w:r>
        <w:rPr>
          <w:rFonts w:ascii="Times New Roman" w:hAnsi="Times New Roman" w:cs="Times New Roman"/>
          <w:color w:val="auto"/>
          <w:sz w:val="18"/>
          <w:szCs w:val="18"/>
          <w:highlight w:val="none"/>
          <w:lang w:eastAsia="zh-CN"/>
        </w:rPr>
        <w:t xml:space="preserve">:                                      </w:t>
      </w:r>
      <w:r>
        <w:rPr>
          <w:rFonts w:ascii="Times New Roman" w:hAnsi="宋体" w:cs="Times New Roman"/>
          <w:color w:val="auto"/>
          <w:sz w:val="18"/>
          <w:szCs w:val="18"/>
          <w:highlight w:val="none"/>
          <w:lang w:eastAsia="zh-CN"/>
        </w:rPr>
        <w:t>第页共页</w:t>
      </w:r>
    </w:p>
    <w:tbl>
      <w:tblPr>
        <w:tblStyle w:val="57"/>
        <w:tblW w:w="8699" w:type="dxa"/>
        <w:jc w:val="center"/>
        <w:tblLayout w:type="fixed"/>
        <w:tblCellMar>
          <w:top w:w="0" w:type="dxa"/>
          <w:left w:w="0" w:type="dxa"/>
          <w:bottom w:w="0" w:type="dxa"/>
          <w:right w:w="0" w:type="dxa"/>
        </w:tblCellMar>
      </w:tblPr>
      <w:tblGrid>
        <w:gridCol w:w="600"/>
        <w:gridCol w:w="1077"/>
        <w:gridCol w:w="2005"/>
        <w:gridCol w:w="735"/>
        <w:gridCol w:w="600"/>
        <w:gridCol w:w="757"/>
        <w:gridCol w:w="735"/>
        <w:gridCol w:w="795"/>
        <w:gridCol w:w="765"/>
        <w:gridCol w:w="630"/>
      </w:tblGrid>
      <w:tr>
        <w:tblPrEx>
          <w:tblCellMar>
            <w:top w:w="0" w:type="dxa"/>
            <w:left w:w="0" w:type="dxa"/>
            <w:bottom w:w="0" w:type="dxa"/>
            <w:right w:w="0" w:type="dxa"/>
          </w:tblCellMar>
        </w:tblPrEx>
        <w:trPr>
          <w:trHeight w:val="1072" w:hRule="exact"/>
          <w:jc w:val="center"/>
        </w:trPr>
        <w:tc>
          <w:tcPr>
            <w:tcW w:w="600"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序号</w:t>
            </w:r>
          </w:p>
        </w:tc>
        <w:tc>
          <w:tcPr>
            <w:tcW w:w="1077" w:type="dxa"/>
            <w:tcBorders>
              <w:top w:val="single" w:color="000000" w:sz="4" w:space="0"/>
              <w:left w:val="single" w:color="000000" w:sz="4" w:space="0"/>
              <w:bottom w:val="single" w:color="000000" w:sz="4" w:space="0"/>
              <w:right w:val="single" w:color="000000" w:sz="4" w:space="0"/>
            </w:tcBorders>
            <w:vAlign w:val="center"/>
          </w:tcPr>
          <w:p>
            <w:pPr>
              <w:rPr>
                <w:color w:val="auto"/>
                <w:sz w:val="18"/>
                <w:szCs w:val="18"/>
                <w:highlight w:val="none"/>
              </w:rPr>
            </w:pPr>
            <w:r>
              <w:rPr>
                <w:rFonts w:hAnsi="宋体"/>
                <w:color w:val="auto"/>
                <w:sz w:val="18"/>
                <w:szCs w:val="18"/>
                <w:highlight w:val="none"/>
              </w:rPr>
              <w:t>材料编码</w:t>
            </w:r>
          </w:p>
        </w:tc>
        <w:tc>
          <w:tcPr>
            <w:tcW w:w="200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材料</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lang w:eastAsia="zh-CN"/>
              </w:rPr>
              <w:t>工程设备</w:t>
            </w:r>
            <w:r>
              <w:rPr>
                <w:rFonts w:ascii="Times New Roman" w:hAnsi="Times New Roman" w:cs="Times New Roman"/>
                <w:color w:val="auto"/>
                <w:sz w:val="18"/>
                <w:szCs w:val="18"/>
                <w:highlight w:val="none"/>
                <w:lang w:eastAsia="zh-CN"/>
              </w:rPr>
              <w:t>)</w:t>
            </w:r>
          </w:p>
          <w:p>
            <w:pPr>
              <w:pStyle w:val="79"/>
              <w:spacing w:line="362" w:lineRule="auto"/>
              <w:ind w:firstLine="180" w:firstLineChars="10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名称、规格、型号</w:t>
            </w:r>
          </w:p>
        </w:tc>
        <w:tc>
          <w:tcPr>
            <w:tcW w:w="73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单位</w:t>
            </w:r>
          </w:p>
        </w:tc>
        <w:tc>
          <w:tcPr>
            <w:tcW w:w="600"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数量</w:t>
            </w:r>
          </w:p>
        </w:tc>
        <w:tc>
          <w:tcPr>
            <w:tcW w:w="757"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单价</w:t>
            </w:r>
          </w:p>
          <w:p>
            <w:pPr>
              <w:pStyle w:val="79"/>
              <w:spacing w:line="362" w:lineRule="auto"/>
              <w:ind w:firstLine="180" w:firstLineChars="10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（元）</w:t>
            </w:r>
          </w:p>
        </w:tc>
        <w:tc>
          <w:tcPr>
            <w:tcW w:w="735"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合价</w:t>
            </w:r>
          </w:p>
          <w:p>
            <w:pPr>
              <w:pStyle w:val="79"/>
              <w:spacing w:line="362" w:lineRule="auto"/>
              <w:ind w:firstLine="180" w:firstLineChars="10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（元）</w:t>
            </w:r>
          </w:p>
        </w:tc>
        <w:tc>
          <w:tcPr>
            <w:tcW w:w="795" w:type="dxa"/>
            <w:tcBorders>
              <w:top w:val="single" w:color="000000" w:sz="4" w:space="0"/>
              <w:left w:val="single" w:color="000000" w:sz="4" w:space="0"/>
              <w:bottom w:val="single" w:color="000000" w:sz="4" w:space="0"/>
              <w:right w:val="single" w:color="000000" w:sz="4" w:space="0"/>
            </w:tcBorders>
            <w:tcMar>
              <w:top w:w="28" w:type="dxa"/>
              <w:left w:w="28" w:type="dxa"/>
              <w:bottom w:w="28" w:type="dxa"/>
              <w:right w:w="28" w:type="dxa"/>
            </w:tcMar>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交货</w:t>
            </w:r>
          </w:p>
          <w:p>
            <w:pPr>
              <w:pStyle w:val="79"/>
              <w:spacing w:line="362" w:lineRule="auto"/>
              <w:ind w:firstLine="180" w:firstLineChars="10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方式</w:t>
            </w:r>
          </w:p>
        </w:tc>
        <w:tc>
          <w:tcPr>
            <w:tcW w:w="765" w:type="dxa"/>
            <w:tcBorders>
              <w:top w:val="single" w:color="000000" w:sz="4" w:space="0"/>
              <w:left w:val="single" w:color="000000" w:sz="4" w:space="0"/>
              <w:bottom w:val="single" w:color="000000" w:sz="4" w:space="0"/>
              <w:right w:val="single" w:color="000000" w:sz="6" w:space="0"/>
            </w:tcBorders>
            <w:tcMar>
              <w:top w:w="28" w:type="dxa"/>
              <w:left w:w="28" w:type="dxa"/>
              <w:bottom w:w="28" w:type="dxa"/>
              <w:right w:w="28" w:type="dxa"/>
            </w:tcMar>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送达</w:t>
            </w:r>
          </w:p>
          <w:p>
            <w:pPr>
              <w:pStyle w:val="79"/>
              <w:spacing w:line="362" w:lineRule="auto"/>
              <w:ind w:firstLine="180" w:firstLineChars="10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地点</w:t>
            </w:r>
          </w:p>
        </w:tc>
        <w:tc>
          <w:tcPr>
            <w:tcW w:w="630" w:type="dxa"/>
            <w:tcBorders>
              <w:top w:val="single" w:color="000000" w:sz="4" w:space="0"/>
              <w:left w:val="single" w:color="000000" w:sz="6" w:space="0"/>
              <w:bottom w:val="single" w:color="000000" w:sz="4" w:space="0"/>
              <w:right w:val="single" w:color="000000" w:sz="4" w:space="0"/>
            </w:tcBorders>
            <w:tcMar>
              <w:top w:w="28" w:type="dxa"/>
              <w:left w:w="28" w:type="dxa"/>
              <w:bottom w:w="28" w:type="dxa"/>
              <w:right w:w="28" w:type="dxa"/>
            </w:tcMar>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备注</w:t>
            </w:r>
          </w:p>
        </w:tc>
      </w:tr>
      <w:tr>
        <w:tblPrEx>
          <w:tblCellMar>
            <w:top w:w="0" w:type="dxa"/>
            <w:left w:w="0" w:type="dxa"/>
            <w:bottom w:w="0" w:type="dxa"/>
            <w:right w:w="0" w:type="dxa"/>
          </w:tblCellMar>
        </w:tblPrEx>
        <w:trPr>
          <w:trHeight w:val="680" w:hRule="exact"/>
          <w:jc w:val="center"/>
        </w:trPr>
        <w:tc>
          <w:tcPr>
            <w:tcW w:w="600"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1077"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200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00"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57"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95"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6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30"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r>
      <w:tr>
        <w:tblPrEx>
          <w:tblCellMar>
            <w:top w:w="0" w:type="dxa"/>
            <w:left w:w="0" w:type="dxa"/>
            <w:bottom w:w="0" w:type="dxa"/>
            <w:right w:w="0" w:type="dxa"/>
          </w:tblCellMar>
        </w:tblPrEx>
        <w:trPr>
          <w:trHeight w:val="680" w:hRule="exact"/>
          <w:jc w:val="center"/>
        </w:trPr>
        <w:tc>
          <w:tcPr>
            <w:tcW w:w="600"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1077"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200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00"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57"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95"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6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30"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r>
      <w:tr>
        <w:tblPrEx>
          <w:tblCellMar>
            <w:top w:w="0" w:type="dxa"/>
            <w:left w:w="0" w:type="dxa"/>
            <w:bottom w:w="0" w:type="dxa"/>
            <w:right w:w="0" w:type="dxa"/>
          </w:tblCellMar>
        </w:tblPrEx>
        <w:trPr>
          <w:trHeight w:val="680" w:hRule="exact"/>
          <w:jc w:val="center"/>
        </w:trPr>
        <w:tc>
          <w:tcPr>
            <w:tcW w:w="600"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1077"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200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00"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57"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95"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6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30"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r>
      <w:tr>
        <w:tblPrEx>
          <w:tblCellMar>
            <w:top w:w="0" w:type="dxa"/>
            <w:left w:w="0" w:type="dxa"/>
            <w:bottom w:w="0" w:type="dxa"/>
            <w:right w:w="0" w:type="dxa"/>
          </w:tblCellMar>
        </w:tblPrEx>
        <w:trPr>
          <w:trHeight w:val="680" w:hRule="exact"/>
          <w:jc w:val="center"/>
        </w:trPr>
        <w:tc>
          <w:tcPr>
            <w:tcW w:w="600"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1077"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200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00"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57"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95"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6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30"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r>
      <w:tr>
        <w:tblPrEx>
          <w:tblCellMar>
            <w:top w:w="0" w:type="dxa"/>
            <w:left w:w="0" w:type="dxa"/>
            <w:bottom w:w="0" w:type="dxa"/>
            <w:right w:w="0" w:type="dxa"/>
          </w:tblCellMar>
        </w:tblPrEx>
        <w:trPr>
          <w:trHeight w:val="680" w:hRule="exact"/>
          <w:jc w:val="center"/>
        </w:trPr>
        <w:tc>
          <w:tcPr>
            <w:tcW w:w="600"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1077"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200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00"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57"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95"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6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30"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r>
      <w:tr>
        <w:tblPrEx>
          <w:tblCellMar>
            <w:top w:w="0" w:type="dxa"/>
            <w:left w:w="0" w:type="dxa"/>
            <w:bottom w:w="0" w:type="dxa"/>
            <w:right w:w="0" w:type="dxa"/>
          </w:tblCellMar>
        </w:tblPrEx>
        <w:trPr>
          <w:trHeight w:val="680" w:hRule="exact"/>
          <w:jc w:val="center"/>
        </w:trPr>
        <w:tc>
          <w:tcPr>
            <w:tcW w:w="600"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1077"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200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00"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57"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95"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6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30"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r>
      <w:tr>
        <w:tblPrEx>
          <w:tblCellMar>
            <w:top w:w="0" w:type="dxa"/>
            <w:left w:w="0" w:type="dxa"/>
            <w:bottom w:w="0" w:type="dxa"/>
            <w:right w:w="0" w:type="dxa"/>
          </w:tblCellMar>
        </w:tblPrEx>
        <w:trPr>
          <w:trHeight w:val="680" w:hRule="exact"/>
          <w:jc w:val="center"/>
        </w:trPr>
        <w:tc>
          <w:tcPr>
            <w:tcW w:w="600"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1077"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200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00"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57"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95"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6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30"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r>
      <w:tr>
        <w:tblPrEx>
          <w:tblCellMar>
            <w:top w:w="0" w:type="dxa"/>
            <w:left w:w="0" w:type="dxa"/>
            <w:bottom w:w="0" w:type="dxa"/>
            <w:right w:w="0" w:type="dxa"/>
          </w:tblCellMar>
        </w:tblPrEx>
        <w:trPr>
          <w:trHeight w:val="680" w:hRule="exact"/>
          <w:jc w:val="center"/>
        </w:trPr>
        <w:tc>
          <w:tcPr>
            <w:tcW w:w="600"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1077"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200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00"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57"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95"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6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30"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r>
      <w:tr>
        <w:tblPrEx>
          <w:tblCellMar>
            <w:top w:w="0" w:type="dxa"/>
            <w:left w:w="0" w:type="dxa"/>
            <w:bottom w:w="0" w:type="dxa"/>
            <w:right w:w="0" w:type="dxa"/>
          </w:tblCellMar>
        </w:tblPrEx>
        <w:trPr>
          <w:trHeight w:val="680" w:hRule="exact"/>
          <w:jc w:val="center"/>
        </w:trPr>
        <w:tc>
          <w:tcPr>
            <w:tcW w:w="600"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1077"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200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00"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57"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95"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6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30"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r>
      <w:tr>
        <w:tblPrEx>
          <w:tblCellMar>
            <w:top w:w="0" w:type="dxa"/>
            <w:left w:w="0" w:type="dxa"/>
            <w:bottom w:w="0" w:type="dxa"/>
            <w:right w:w="0" w:type="dxa"/>
          </w:tblCellMar>
        </w:tblPrEx>
        <w:trPr>
          <w:trHeight w:val="680" w:hRule="exact"/>
          <w:jc w:val="center"/>
        </w:trPr>
        <w:tc>
          <w:tcPr>
            <w:tcW w:w="600"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1077"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200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00"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57"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95"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6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30"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r>
      <w:tr>
        <w:tblPrEx>
          <w:tblCellMar>
            <w:top w:w="0" w:type="dxa"/>
            <w:left w:w="0" w:type="dxa"/>
            <w:bottom w:w="0" w:type="dxa"/>
            <w:right w:w="0" w:type="dxa"/>
          </w:tblCellMar>
        </w:tblPrEx>
        <w:trPr>
          <w:trHeight w:val="680" w:hRule="exact"/>
          <w:jc w:val="center"/>
        </w:trPr>
        <w:tc>
          <w:tcPr>
            <w:tcW w:w="600"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1077" w:type="dxa"/>
            <w:tcBorders>
              <w:top w:val="single" w:color="000000" w:sz="4" w:space="0"/>
              <w:left w:val="single" w:color="000000" w:sz="6" w:space="0"/>
              <w:bottom w:val="single" w:color="000000" w:sz="4" w:space="0"/>
              <w:right w:val="single" w:color="000000" w:sz="6"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2005" w:type="dxa"/>
            <w:tcBorders>
              <w:top w:val="single" w:color="000000" w:sz="4" w:space="0"/>
              <w:left w:val="single" w:color="000000" w:sz="6" w:space="0"/>
              <w:bottom w:val="single" w:color="000000" w:sz="4" w:space="0"/>
              <w:right w:val="single" w:color="auto" w:sz="2"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6" w:space="0"/>
              <w:bottom w:val="single" w:color="000000" w:sz="4" w:space="0"/>
              <w:right w:val="single" w:color="auto" w:sz="2"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00" w:type="dxa"/>
            <w:tcBorders>
              <w:top w:val="single" w:color="000000" w:sz="4" w:space="0"/>
              <w:left w:val="single" w:color="000000" w:sz="6" w:space="0"/>
              <w:bottom w:val="single" w:color="000000" w:sz="4" w:space="0"/>
              <w:right w:val="single" w:color="auto" w:sz="2"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57" w:type="dxa"/>
            <w:tcBorders>
              <w:top w:val="single" w:color="000000" w:sz="4" w:space="0"/>
              <w:left w:val="single" w:color="auto" w:sz="2"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95"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65"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30" w:type="dxa"/>
            <w:tcBorders>
              <w:top w:val="single" w:color="000000" w:sz="4" w:space="0"/>
              <w:left w:val="single" w:color="000000" w:sz="6"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r>
      <w:tr>
        <w:tblPrEx>
          <w:tblCellMar>
            <w:top w:w="0" w:type="dxa"/>
            <w:left w:w="0" w:type="dxa"/>
            <w:bottom w:w="0" w:type="dxa"/>
            <w:right w:w="0" w:type="dxa"/>
          </w:tblCellMar>
        </w:tblPrEx>
        <w:trPr>
          <w:trHeight w:val="680" w:hRule="exact"/>
          <w:jc w:val="center"/>
        </w:trPr>
        <w:tc>
          <w:tcPr>
            <w:tcW w:w="600"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1077" w:type="dxa"/>
            <w:tcBorders>
              <w:top w:val="single" w:color="000000" w:sz="4" w:space="0"/>
              <w:left w:val="single" w:color="000000" w:sz="6" w:space="0"/>
              <w:bottom w:val="single" w:color="000000" w:sz="4" w:space="0"/>
              <w:right w:val="single" w:color="000000" w:sz="6"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2005" w:type="dxa"/>
            <w:tcBorders>
              <w:top w:val="single" w:color="000000" w:sz="4" w:space="0"/>
              <w:left w:val="single" w:color="000000" w:sz="6" w:space="0"/>
              <w:bottom w:val="single" w:color="000000" w:sz="4" w:space="0"/>
              <w:right w:val="single" w:color="auto" w:sz="2"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6" w:space="0"/>
              <w:bottom w:val="single" w:color="000000" w:sz="4" w:space="0"/>
              <w:right w:val="single" w:color="auto" w:sz="2"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00" w:type="dxa"/>
            <w:tcBorders>
              <w:top w:val="single" w:color="000000" w:sz="4" w:space="0"/>
              <w:left w:val="single" w:color="000000" w:sz="6" w:space="0"/>
              <w:bottom w:val="single" w:color="000000" w:sz="4" w:space="0"/>
              <w:right w:val="single" w:color="auto" w:sz="2"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57" w:type="dxa"/>
            <w:tcBorders>
              <w:top w:val="single" w:color="000000" w:sz="4" w:space="0"/>
              <w:left w:val="single" w:color="auto" w:sz="2"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95"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65" w:type="dxa"/>
            <w:tcBorders>
              <w:top w:val="single" w:color="000000" w:sz="4" w:space="0"/>
              <w:left w:val="single" w:color="000000" w:sz="4" w:space="0"/>
              <w:bottom w:val="single" w:color="000000" w:sz="4" w:space="0"/>
              <w:right w:val="single" w:color="000000" w:sz="6" w:space="0"/>
            </w:tcBorders>
            <w:vAlign w:val="center"/>
          </w:tcPr>
          <w:p>
            <w:pPr>
              <w:rPr>
                <w:color w:val="auto"/>
                <w:sz w:val="18"/>
                <w:szCs w:val="18"/>
                <w:highlight w:val="none"/>
              </w:rPr>
            </w:pPr>
          </w:p>
        </w:tc>
        <w:tc>
          <w:tcPr>
            <w:tcW w:w="630" w:type="dxa"/>
            <w:tcBorders>
              <w:top w:val="single" w:color="000000" w:sz="4" w:space="0"/>
              <w:left w:val="single" w:color="000000" w:sz="6" w:space="0"/>
              <w:bottom w:val="single" w:color="000000" w:sz="4" w:space="0"/>
              <w:right w:val="single" w:color="000000" w:sz="4" w:space="0"/>
            </w:tcBorders>
            <w:vAlign w:val="center"/>
          </w:tcPr>
          <w:p>
            <w:pPr>
              <w:rPr>
                <w:color w:val="auto"/>
                <w:sz w:val="18"/>
                <w:szCs w:val="18"/>
                <w:highlight w:val="none"/>
              </w:rPr>
            </w:pPr>
          </w:p>
        </w:tc>
      </w:tr>
      <w:tr>
        <w:tblPrEx>
          <w:tblCellMar>
            <w:top w:w="0" w:type="dxa"/>
            <w:left w:w="0" w:type="dxa"/>
            <w:bottom w:w="0" w:type="dxa"/>
            <w:right w:w="0" w:type="dxa"/>
          </w:tblCellMar>
        </w:tblPrEx>
        <w:trPr>
          <w:trHeight w:val="680" w:hRule="exact"/>
          <w:jc w:val="center"/>
        </w:trPr>
        <w:tc>
          <w:tcPr>
            <w:tcW w:w="600" w:type="dxa"/>
            <w:tcBorders>
              <w:top w:val="single" w:color="000000" w:sz="4" w:space="0"/>
              <w:left w:val="single" w:color="000000" w:sz="4" w:space="0"/>
              <w:bottom w:val="single" w:color="000000" w:sz="4" w:space="0"/>
              <w:right w:val="single" w:color="000000" w:sz="6"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1077" w:type="dxa"/>
            <w:tcBorders>
              <w:top w:val="single" w:color="000000" w:sz="4" w:space="0"/>
              <w:left w:val="single" w:color="000000" w:sz="6" w:space="0"/>
              <w:bottom w:val="single" w:color="000000" w:sz="4" w:space="0"/>
              <w:right w:val="single" w:color="000000" w:sz="6"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2005" w:type="dxa"/>
            <w:tcBorders>
              <w:top w:val="single" w:color="000000" w:sz="4" w:space="0"/>
              <w:left w:val="single" w:color="000000" w:sz="6" w:space="0"/>
              <w:bottom w:val="single" w:color="000000" w:sz="4" w:space="0"/>
              <w:right w:val="single" w:color="auto" w:sz="2"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6" w:space="0"/>
              <w:bottom w:val="single" w:color="000000" w:sz="4" w:space="0"/>
              <w:right w:val="single" w:color="auto" w:sz="2"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600" w:type="dxa"/>
            <w:tcBorders>
              <w:top w:val="single" w:color="000000" w:sz="4" w:space="0"/>
              <w:left w:val="single" w:color="000000" w:sz="6" w:space="0"/>
              <w:bottom w:val="single" w:color="000000" w:sz="4" w:space="0"/>
              <w:right w:val="single" w:color="auto" w:sz="2"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57" w:type="dxa"/>
            <w:tcBorders>
              <w:top w:val="single" w:color="000000" w:sz="4" w:space="0"/>
              <w:left w:val="single" w:color="auto" w:sz="2"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35" w:type="dxa"/>
            <w:tcBorders>
              <w:top w:val="single" w:color="000000" w:sz="4" w:space="0"/>
              <w:left w:val="single" w:color="000000" w:sz="4" w:space="0"/>
              <w:bottom w:val="single" w:color="000000" w:sz="4" w:space="0"/>
              <w:right w:val="single" w:color="000000" w:sz="4" w:space="0"/>
            </w:tcBorders>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95"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ind w:firstLine="180" w:firstLineChars="100"/>
              <w:rPr>
                <w:rFonts w:ascii="Times New Roman" w:hAnsi="Times New Roman" w:cs="Times New Roman"/>
                <w:color w:val="auto"/>
                <w:sz w:val="18"/>
                <w:szCs w:val="18"/>
                <w:highlight w:val="none"/>
                <w:lang w:eastAsia="zh-CN"/>
              </w:rPr>
            </w:pPr>
          </w:p>
        </w:tc>
        <w:tc>
          <w:tcPr>
            <w:tcW w:w="765" w:type="dxa"/>
            <w:tcBorders>
              <w:top w:val="single" w:color="000000" w:sz="4" w:space="0"/>
              <w:left w:val="single" w:color="000000" w:sz="4" w:space="0"/>
              <w:bottom w:val="single" w:color="000000" w:sz="4" w:space="0"/>
              <w:right w:val="single" w:color="000000" w:sz="6" w:space="0"/>
            </w:tcBorders>
            <w:vAlign w:val="center"/>
          </w:tcPr>
          <w:p>
            <w:pPr>
              <w:rPr>
                <w:color w:val="auto"/>
                <w:sz w:val="18"/>
                <w:szCs w:val="18"/>
                <w:highlight w:val="none"/>
              </w:rPr>
            </w:pPr>
          </w:p>
        </w:tc>
        <w:tc>
          <w:tcPr>
            <w:tcW w:w="630" w:type="dxa"/>
            <w:tcBorders>
              <w:top w:val="single" w:color="000000" w:sz="4" w:space="0"/>
              <w:left w:val="single" w:color="000000" w:sz="6" w:space="0"/>
              <w:bottom w:val="single" w:color="000000" w:sz="4" w:space="0"/>
              <w:right w:val="single" w:color="000000" w:sz="4" w:space="0"/>
            </w:tcBorders>
            <w:vAlign w:val="center"/>
          </w:tcPr>
          <w:p>
            <w:pPr>
              <w:rPr>
                <w:color w:val="auto"/>
                <w:sz w:val="18"/>
                <w:szCs w:val="18"/>
                <w:highlight w:val="none"/>
              </w:rPr>
            </w:pPr>
          </w:p>
        </w:tc>
      </w:tr>
    </w:tbl>
    <w:p>
      <w:pPr>
        <w:pStyle w:val="79"/>
        <w:spacing w:line="362" w:lineRule="auto"/>
        <w:ind w:firstLine="180" w:firstLineChars="100"/>
        <w:rPr>
          <w:rFonts w:ascii="Times New Roman" w:hAnsi="Times New Roman" w:cs="Times New Roman"/>
          <w:color w:val="auto"/>
          <w:sz w:val="18"/>
          <w:szCs w:val="18"/>
          <w:highlight w:val="none"/>
          <w:lang w:eastAsia="zh-CN"/>
        </w:rPr>
      </w:pPr>
    </w:p>
    <w:p>
      <w:pPr>
        <w:pStyle w:val="79"/>
        <w:spacing w:line="362" w:lineRule="auto"/>
        <w:ind w:firstLine="180" w:firstLineChars="100"/>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注</w:t>
      </w:r>
      <w:r>
        <w:rPr>
          <w:rFonts w:ascii="Times New Roman" w:hAnsi="Times New Roman" w:cs="Times New Roman"/>
          <w:color w:val="auto"/>
          <w:sz w:val="18"/>
          <w:szCs w:val="18"/>
          <w:highlight w:val="none"/>
          <w:lang w:eastAsia="zh-CN"/>
        </w:rPr>
        <w:t>:1.</w:t>
      </w:r>
      <w:r>
        <w:rPr>
          <w:rFonts w:ascii="Times New Roman" w:hAnsi="宋体" w:cs="Times New Roman"/>
          <w:color w:val="auto"/>
          <w:sz w:val="18"/>
          <w:szCs w:val="18"/>
          <w:highlight w:val="none"/>
          <w:lang w:eastAsia="zh-CN"/>
        </w:rPr>
        <w:t>此表由招标人填写除</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lang w:eastAsia="zh-CN"/>
        </w:rPr>
        <w:t>数量</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lang w:eastAsia="zh-CN"/>
        </w:rPr>
        <w:t>、</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lang w:eastAsia="zh-CN"/>
        </w:rPr>
        <w:t>合价</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lang w:eastAsia="zh-CN"/>
        </w:rPr>
        <w:t>栏之外的内容，</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lang w:eastAsia="zh-CN"/>
        </w:rPr>
        <w:t>数量</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lang w:eastAsia="zh-CN"/>
        </w:rPr>
        <w:t>、</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lang w:eastAsia="zh-CN"/>
        </w:rPr>
        <w:t>合价</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lang w:eastAsia="zh-CN"/>
        </w:rPr>
        <w:t>由投标人填写。</w:t>
      </w:r>
    </w:p>
    <w:p>
      <w:pPr>
        <w:pStyle w:val="79"/>
        <w:spacing w:line="362" w:lineRule="auto"/>
        <w:ind w:firstLine="450" w:firstLineChars="250"/>
        <w:rPr>
          <w:rFonts w:ascii="Times New Roman" w:hAnsi="Times New Roman" w:cs="Times New Roman"/>
          <w:color w:val="auto"/>
          <w:sz w:val="18"/>
          <w:szCs w:val="18"/>
          <w:highlight w:val="none"/>
          <w:lang w:eastAsia="zh-CN"/>
        </w:rPr>
      </w:pPr>
      <w:r>
        <w:rPr>
          <w:rFonts w:ascii="Times New Roman" w:hAnsi="Times New Roman" w:cs="Times New Roman"/>
          <w:color w:val="auto"/>
          <w:sz w:val="18"/>
          <w:szCs w:val="18"/>
          <w:highlight w:val="none"/>
          <w:lang w:eastAsia="zh-CN"/>
        </w:rPr>
        <w:t>2.</w:t>
      </w:r>
      <w:r>
        <w:rPr>
          <w:rFonts w:ascii="Times New Roman" w:hAnsi="宋体" w:cs="Times New Roman"/>
          <w:color w:val="auto"/>
          <w:sz w:val="18"/>
          <w:szCs w:val="18"/>
          <w:highlight w:val="none"/>
          <w:lang w:eastAsia="zh-CN"/>
        </w:rPr>
        <w:t>结算时，</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lang w:eastAsia="zh-CN"/>
        </w:rPr>
        <w:t>单价</w:t>
      </w:r>
      <w:r>
        <w:rPr>
          <w:rFonts w:ascii="Times New Roman" w:hAnsi="Times New Roman" w:cs="Times New Roman"/>
          <w:color w:val="auto"/>
          <w:sz w:val="18"/>
          <w:szCs w:val="18"/>
          <w:highlight w:val="none"/>
          <w:lang w:eastAsia="zh-CN"/>
        </w:rPr>
        <w:t>”</w:t>
      </w:r>
      <w:r>
        <w:rPr>
          <w:rFonts w:ascii="Times New Roman" w:hAnsi="宋体" w:cs="Times New Roman"/>
          <w:color w:val="auto"/>
          <w:sz w:val="18"/>
          <w:szCs w:val="18"/>
          <w:highlight w:val="none"/>
          <w:lang w:eastAsia="zh-CN"/>
        </w:rPr>
        <w:t>栏按招标人实际采购价（包含采保费）列入。</w:t>
      </w:r>
    </w:p>
    <w:p>
      <w:pPr>
        <w:pStyle w:val="79"/>
        <w:spacing w:line="362" w:lineRule="auto"/>
        <w:jc w:val="right"/>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表</w:t>
      </w:r>
      <w:r>
        <w:rPr>
          <w:rFonts w:ascii="Times New Roman" w:hAnsi="Times New Roman" w:cs="Times New Roman"/>
          <w:color w:val="auto"/>
          <w:sz w:val="18"/>
          <w:szCs w:val="18"/>
          <w:highlight w:val="none"/>
          <w:lang w:eastAsia="zh-CN"/>
        </w:rPr>
        <w:t>-20</w:t>
      </w:r>
    </w:p>
    <w:p>
      <w:pPr>
        <w:pStyle w:val="78"/>
        <w:tabs>
          <w:tab w:val="left" w:pos="707"/>
        </w:tabs>
        <w:jc w:val="center"/>
        <w:outlineLvl w:val="2"/>
        <w:rPr>
          <w:rFonts w:ascii="Times New Roman" w:hAnsi="Times New Roman" w:cs="Times New Roman"/>
          <w:b/>
          <w:color w:val="auto"/>
          <w:spacing w:val="1"/>
          <w:highlight w:val="none"/>
          <w:lang w:eastAsia="zh-CN"/>
        </w:rPr>
      </w:pPr>
      <w:r>
        <w:rPr>
          <w:rFonts w:ascii="Times New Roman" w:cs="Times New Roman"/>
          <w:b/>
          <w:color w:val="auto"/>
          <w:spacing w:val="1"/>
          <w:highlight w:val="none"/>
          <w:lang w:eastAsia="zh-CN"/>
        </w:rPr>
        <w:br w:type="page"/>
      </w:r>
      <w:r>
        <w:rPr>
          <w:rFonts w:ascii="Times New Roman" w:cs="Times New Roman"/>
          <w:b/>
          <w:color w:val="auto"/>
          <w:spacing w:val="1"/>
          <w:highlight w:val="none"/>
          <w:lang w:eastAsia="zh-CN"/>
        </w:rPr>
        <w:t>承包人提供主要材料和工程设备一览表</w:t>
      </w:r>
      <w:bookmarkEnd w:id="584"/>
      <w:bookmarkEnd w:id="585"/>
      <w:bookmarkEnd w:id="586"/>
    </w:p>
    <w:p>
      <w:pPr>
        <w:pStyle w:val="80"/>
        <w:spacing w:before="8"/>
        <w:jc w:val="center"/>
        <w:rPr>
          <w:rFonts w:ascii="Times New Roman" w:hAnsi="Times New Roman" w:cs="Times New Roman"/>
          <w:color w:val="auto"/>
          <w:sz w:val="24"/>
          <w:szCs w:val="24"/>
          <w:highlight w:val="none"/>
          <w:lang w:eastAsia="zh-CN"/>
        </w:rPr>
      </w:pPr>
      <w:r>
        <w:rPr>
          <w:rFonts w:ascii="Times New Roman" w:hAnsi="Times New Roman" w:cs="Times New Roman"/>
          <w:color w:val="auto"/>
          <w:spacing w:val="1"/>
          <w:sz w:val="24"/>
          <w:szCs w:val="24"/>
          <w:highlight w:val="none"/>
          <w:lang w:eastAsia="zh-CN"/>
        </w:rPr>
        <w:t>(</w:t>
      </w:r>
      <w:r>
        <w:rPr>
          <w:rFonts w:ascii="Times New Roman" w:cs="Times New Roman"/>
          <w:color w:val="auto"/>
          <w:spacing w:val="1"/>
          <w:sz w:val="24"/>
          <w:szCs w:val="24"/>
          <w:highlight w:val="none"/>
          <w:lang w:eastAsia="zh-CN"/>
        </w:rPr>
        <w:t>适用于造价信息差额调整法</w:t>
      </w:r>
      <w:r>
        <w:rPr>
          <w:rFonts w:ascii="Times New Roman" w:hAnsi="Times New Roman" w:cs="Times New Roman"/>
          <w:color w:val="auto"/>
          <w:spacing w:val="1"/>
          <w:sz w:val="24"/>
          <w:szCs w:val="24"/>
          <w:highlight w:val="none"/>
          <w:lang w:eastAsia="zh-CN"/>
        </w:rPr>
        <w:t>)</w:t>
      </w:r>
    </w:p>
    <w:p>
      <w:pPr>
        <w:spacing w:before="19" w:line="200" w:lineRule="exact"/>
        <w:rPr>
          <w:color w:val="auto"/>
          <w:sz w:val="20"/>
          <w:szCs w:val="20"/>
          <w:highlight w:val="none"/>
        </w:rPr>
      </w:pPr>
    </w:p>
    <w:p>
      <w:pPr>
        <w:pStyle w:val="2"/>
        <w:tabs>
          <w:tab w:val="left" w:pos="4094"/>
          <w:tab w:val="left" w:pos="7455"/>
          <w:tab w:val="left" w:pos="7981"/>
          <w:tab w:val="left" w:pos="8715"/>
        </w:tabs>
        <w:rPr>
          <w:rFonts w:eastAsia="宋体"/>
          <w:color w:val="auto"/>
          <w:highlight w:val="none"/>
        </w:rPr>
      </w:pPr>
      <w:r>
        <w:rPr>
          <w:rFonts w:hAnsi="宋体" w:eastAsia="宋体"/>
          <w:color w:val="auto"/>
          <w:highlight w:val="none"/>
        </w:rPr>
        <w:t>工</w:t>
      </w:r>
      <w:r>
        <w:rPr>
          <w:rFonts w:hAnsi="宋体" w:eastAsia="宋体"/>
          <w:color w:val="auto"/>
          <w:spacing w:val="-3"/>
          <w:highlight w:val="none"/>
        </w:rPr>
        <w:t>程</w:t>
      </w:r>
      <w:r>
        <w:rPr>
          <w:rFonts w:hAnsi="宋体" w:eastAsia="宋体"/>
          <w:color w:val="auto"/>
          <w:highlight w:val="none"/>
        </w:rPr>
        <w:t>名</w:t>
      </w:r>
      <w:r>
        <w:rPr>
          <w:rFonts w:hAnsi="宋体" w:eastAsia="宋体"/>
          <w:color w:val="auto"/>
          <w:spacing w:val="-3"/>
          <w:highlight w:val="none"/>
        </w:rPr>
        <w:t>称</w:t>
      </w:r>
      <w:r>
        <w:rPr>
          <w:rFonts w:hAnsi="宋体" w:eastAsia="宋体"/>
          <w:color w:val="auto"/>
          <w:highlight w:val="none"/>
        </w:rPr>
        <w:t>：标</w:t>
      </w:r>
      <w:r>
        <w:rPr>
          <w:rFonts w:hAnsi="宋体" w:eastAsia="宋体"/>
          <w:color w:val="auto"/>
          <w:spacing w:val="-3"/>
          <w:highlight w:val="none"/>
        </w:rPr>
        <w:t>段</w:t>
      </w:r>
      <w:r>
        <w:rPr>
          <w:rFonts w:hAnsi="宋体" w:eastAsia="宋体"/>
          <w:color w:val="auto"/>
          <w:highlight w:val="none"/>
        </w:rPr>
        <w:t>：第</w:t>
      </w:r>
      <w:r>
        <w:rPr>
          <w:rFonts w:hAnsi="宋体" w:eastAsia="宋体"/>
          <w:color w:val="auto"/>
          <w:spacing w:val="-3"/>
          <w:highlight w:val="none"/>
        </w:rPr>
        <w:t>页</w:t>
      </w:r>
      <w:r>
        <w:rPr>
          <w:rFonts w:hAnsi="宋体" w:eastAsia="宋体"/>
          <w:color w:val="auto"/>
          <w:highlight w:val="none"/>
        </w:rPr>
        <w:t>共页</w:t>
      </w:r>
    </w:p>
    <w:p>
      <w:pPr>
        <w:spacing w:before="9" w:line="40" w:lineRule="exact"/>
        <w:rPr>
          <w:color w:val="auto"/>
          <w:sz w:val="4"/>
          <w:szCs w:val="4"/>
          <w:highlight w:val="none"/>
        </w:rPr>
      </w:pPr>
    </w:p>
    <w:tbl>
      <w:tblPr>
        <w:tblStyle w:val="57"/>
        <w:tblW w:w="9252" w:type="dxa"/>
        <w:jc w:val="center"/>
        <w:tblLayout w:type="fixed"/>
        <w:tblCellMar>
          <w:top w:w="0" w:type="dxa"/>
          <w:left w:w="0" w:type="dxa"/>
          <w:bottom w:w="0" w:type="dxa"/>
          <w:right w:w="0" w:type="dxa"/>
        </w:tblCellMar>
      </w:tblPr>
      <w:tblGrid>
        <w:gridCol w:w="649"/>
        <w:gridCol w:w="1341"/>
        <w:gridCol w:w="1575"/>
        <w:gridCol w:w="758"/>
        <w:gridCol w:w="758"/>
        <w:gridCol w:w="850"/>
        <w:gridCol w:w="851"/>
        <w:gridCol w:w="851"/>
        <w:gridCol w:w="851"/>
        <w:gridCol w:w="768"/>
      </w:tblGrid>
      <w:tr>
        <w:tblPrEx>
          <w:tblCellMar>
            <w:top w:w="0" w:type="dxa"/>
            <w:left w:w="0" w:type="dxa"/>
            <w:bottom w:w="0" w:type="dxa"/>
            <w:right w:w="0" w:type="dxa"/>
          </w:tblCellMar>
        </w:tblPrEx>
        <w:trPr>
          <w:trHeight w:val="1238" w:hRule="exact"/>
          <w:jc w:val="center"/>
        </w:trPr>
        <w:tc>
          <w:tcPr>
            <w:tcW w:w="64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序号</w:t>
            </w:r>
          </w:p>
        </w:tc>
        <w:tc>
          <w:tcPr>
            <w:tcW w:w="1341"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材料编码</w:t>
            </w:r>
          </w:p>
        </w:tc>
        <w:tc>
          <w:tcPr>
            <w:tcW w:w="1575"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名称、规格、型号</w:t>
            </w:r>
          </w:p>
        </w:tc>
        <w:tc>
          <w:tcPr>
            <w:tcW w:w="758"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单位</w:t>
            </w:r>
          </w:p>
        </w:tc>
        <w:tc>
          <w:tcPr>
            <w:tcW w:w="758" w:type="dxa"/>
            <w:tcBorders>
              <w:top w:val="single" w:color="000000" w:sz="4" w:space="0"/>
              <w:left w:val="single" w:color="000000" w:sz="4" w:space="0"/>
              <w:bottom w:val="single" w:color="000000" w:sz="4" w:space="0"/>
              <w:right w:val="single" w:color="000000" w:sz="4" w:space="0"/>
            </w:tcBorders>
            <w:vAlign w:val="center"/>
          </w:tcPr>
          <w:p>
            <w:pPr>
              <w:pStyle w:val="79"/>
              <w:spacing w:line="362" w:lineRule="auto"/>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数量</w:t>
            </w:r>
          </w:p>
        </w:tc>
        <w:tc>
          <w:tcPr>
            <w:tcW w:w="850"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风险系数</w:t>
            </w:r>
            <w:r>
              <w:rPr>
                <w:rFonts w:ascii="Times New Roman" w:hAnsi="宋体" w:cs="Times New Roman"/>
                <w:color w:val="auto"/>
                <w:sz w:val="18"/>
                <w:szCs w:val="18"/>
                <w:highlight w:val="none"/>
              </w:rPr>
              <w:t>（</w:t>
            </w:r>
            <w:r>
              <w:rPr>
                <w:rFonts w:ascii="Times New Roman" w:hAnsi="Times New Roman" w:cs="Times New Roman"/>
                <w:color w:val="auto"/>
                <w:spacing w:val="1"/>
                <w:sz w:val="18"/>
                <w:szCs w:val="18"/>
                <w:highlight w:val="none"/>
              </w:rPr>
              <w:t>%</w:t>
            </w:r>
            <w:r>
              <w:rPr>
                <w:rFonts w:ascii="Times New Roman" w:hAnsi="宋体" w:cs="Times New Roman"/>
                <w:color w:val="auto"/>
                <w:sz w:val="18"/>
                <w:szCs w:val="18"/>
                <w:highlight w:val="none"/>
              </w:rPr>
              <w:t>）</w:t>
            </w:r>
          </w:p>
        </w:tc>
        <w:tc>
          <w:tcPr>
            <w:tcW w:w="851"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基准单价</w:t>
            </w:r>
            <w:r>
              <w:rPr>
                <w:rFonts w:ascii="Times New Roman" w:hAnsi="宋体" w:cs="Times New Roman"/>
                <w:color w:val="auto"/>
                <w:sz w:val="18"/>
                <w:szCs w:val="18"/>
                <w:highlight w:val="none"/>
              </w:rPr>
              <w:t>（元）</w:t>
            </w:r>
          </w:p>
        </w:tc>
        <w:tc>
          <w:tcPr>
            <w:tcW w:w="851"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投标单价</w:t>
            </w:r>
            <w:r>
              <w:rPr>
                <w:rFonts w:ascii="Times New Roman" w:hAnsi="宋体" w:cs="Times New Roman"/>
                <w:color w:val="auto"/>
                <w:sz w:val="18"/>
                <w:szCs w:val="18"/>
                <w:highlight w:val="none"/>
              </w:rPr>
              <w:t>（元）</w:t>
            </w:r>
          </w:p>
        </w:tc>
        <w:tc>
          <w:tcPr>
            <w:tcW w:w="851"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发承包人确认单价（元）</w:t>
            </w:r>
          </w:p>
        </w:tc>
        <w:tc>
          <w:tcPr>
            <w:tcW w:w="768"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r>
              <w:rPr>
                <w:rFonts w:ascii="Times New Roman" w:hAnsi="宋体" w:cs="Times New Roman"/>
                <w:color w:val="auto"/>
                <w:sz w:val="18"/>
                <w:szCs w:val="18"/>
                <w:highlight w:val="none"/>
                <w:lang w:eastAsia="zh-CN"/>
              </w:rPr>
              <w:t>备注</w:t>
            </w:r>
          </w:p>
        </w:tc>
      </w:tr>
      <w:tr>
        <w:tblPrEx>
          <w:tblCellMar>
            <w:top w:w="0" w:type="dxa"/>
            <w:left w:w="0" w:type="dxa"/>
            <w:bottom w:w="0" w:type="dxa"/>
            <w:right w:w="0" w:type="dxa"/>
          </w:tblCellMar>
        </w:tblPrEx>
        <w:trPr>
          <w:trHeight w:val="680" w:hRule="exact"/>
          <w:jc w:val="center"/>
        </w:trPr>
        <w:tc>
          <w:tcPr>
            <w:tcW w:w="64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p>
        </w:tc>
        <w:tc>
          <w:tcPr>
            <w:tcW w:w="1341"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575"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6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680" w:hRule="exact"/>
          <w:jc w:val="center"/>
        </w:trPr>
        <w:tc>
          <w:tcPr>
            <w:tcW w:w="64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p>
        </w:tc>
        <w:tc>
          <w:tcPr>
            <w:tcW w:w="1341"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575"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6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680" w:hRule="exact"/>
          <w:jc w:val="center"/>
        </w:trPr>
        <w:tc>
          <w:tcPr>
            <w:tcW w:w="64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p>
        </w:tc>
        <w:tc>
          <w:tcPr>
            <w:tcW w:w="1341"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575"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6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680" w:hRule="exact"/>
          <w:jc w:val="center"/>
        </w:trPr>
        <w:tc>
          <w:tcPr>
            <w:tcW w:w="64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p>
        </w:tc>
        <w:tc>
          <w:tcPr>
            <w:tcW w:w="1341"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575"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6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680" w:hRule="exact"/>
          <w:jc w:val="center"/>
        </w:trPr>
        <w:tc>
          <w:tcPr>
            <w:tcW w:w="64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p>
        </w:tc>
        <w:tc>
          <w:tcPr>
            <w:tcW w:w="1341"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575"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6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680" w:hRule="exact"/>
          <w:jc w:val="center"/>
        </w:trPr>
        <w:tc>
          <w:tcPr>
            <w:tcW w:w="64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p>
        </w:tc>
        <w:tc>
          <w:tcPr>
            <w:tcW w:w="1341"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575"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6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680" w:hRule="exact"/>
          <w:jc w:val="center"/>
        </w:trPr>
        <w:tc>
          <w:tcPr>
            <w:tcW w:w="64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p>
        </w:tc>
        <w:tc>
          <w:tcPr>
            <w:tcW w:w="1341"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575"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6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680" w:hRule="exact"/>
          <w:jc w:val="center"/>
        </w:trPr>
        <w:tc>
          <w:tcPr>
            <w:tcW w:w="64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p>
        </w:tc>
        <w:tc>
          <w:tcPr>
            <w:tcW w:w="1341"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575"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6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680" w:hRule="exact"/>
          <w:jc w:val="center"/>
        </w:trPr>
        <w:tc>
          <w:tcPr>
            <w:tcW w:w="64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p>
        </w:tc>
        <w:tc>
          <w:tcPr>
            <w:tcW w:w="1341"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575"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6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680" w:hRule="exact"/>
          <w:jc w:val="center"/>
        </w:trPr>
        <w:tc>
          <w:tcPr>
            <w:tcW w:w="64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p>
        </w:tc>
        <w:tc>
          <w:tcPr>
            <w:tcW w:w="1341"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575"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6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680" w:hRule="exact"/>
          <w:jc w:val="center"/>
        </w:trPr>
        <w:tc>
          <w:tcPr>
            <w:tcW w:w="649"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lang w:eastAsia="zh-CN"/>
              </w:rPr>
            </w:pPr>
          </w:p>
        </w:tc>
        <w:tc>
          <w:tcPr>
            <w:tcW w:w="1341" w:type="dxa"/>
            <w:tcBorders>
              <w:top w:val="single" w:color="000000" w:sz="4" w:space="0"/>
              <w:left w:val="single" w:color="000000" w:sz="4" w:space="0"/>
              <w:bottom w:val="single" w:color="000000" w:sz="4" w:space="0"/>
              <w:right w:val="single" w:color="000000" w:sz="4" w:space="0"/>
            </w:tcBorders>
          </w:tcPr>
          <w:p>
            <w:pPr>
              <w:rPr>
                <w:color w:val="auto"/>
                <w:highlight w:val="none"/>
              </w:rPr>
            </w:pPr>
          </w:p>
        </w:tc>
        <w:tc>
          <w:tcPr>
            <w:tcW w:w="1575"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58" w:type="dxa"/>
            <w:tcBorders>
              <w:top w:val="single" w:color="000000" w:sz="4" w:space="0"/>
              <w:left w:val="single" w:color="000000" w:sz="4" w:space="0"/>
              <w:bottom w:val="single" w:color="000000" w:sz="4" w:space="0"/>
              <w:right w:val="single" w:color="000000" w:sz="6" w:space="0"/>
            </w:tcBorders>
            <w:vAlign w:val="center"/>
          </w:tcPr>
          <w:p>
            <w:pPr>
              <w:rPr>
                <w:color w:val="auto"/>
                <w:highlight w:val="none"/>
              </w:rPr>
            </w:pPr>
          </w:p>
        </w:tc>
        <w:tc>
          <w:tcPr>
            <w:tcW w:w="758" w:type="dxa"/>
            <w:tcBorders>
              <w:top w:val="single" w:color="000000" w:sz="4" w:space="0"/>
              <w:left w:val="single" w:color="000000" w:sz="6" w:space="0"/>
              <w:bottom w:val="single" w:color="000000" w:sz="4" w:space="0"/>
              <w:right w:val="single" w:color="000000" w:sz="4" w:space="0"/>
            </w:tcBorders>
            <w:vAlign w:val="center"/>
          </w:tcPr>
          <w:p>
            <w:pPr>
              <w:rPr>
                <w:color w:val="auto"/>
                <w:highlight w:val="none"/>
              </w:rPr>
            </w:pPr>
          </w:p>
        </w:tc>
        <w:tc>
          <w:tcPr>
            <w:tcW w:w="850"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c>
          <w:tcPr>
            <w:tcW w:w="768" w:type="dxa"/>
            <w:tcBorders>
              <w:top w:val="single" w:color="000000" w:sz="4" w:space="0"/>
              <w:left w:val="single" w:color="000000" w:sz="4" w:space="0"/>
              <w:bottom w:val="single" w:color="000000" w:sz="4" w:space="0"/>
              <w:right w:val="single" w:color="000000" w:sz="4" w:space="0"/>
            </w:tcBorders>
            <w:vAlign w:val="center"/>
          </w:tcPr>
          <w:p>
            <w:pPr>
              <w:rPr>
                <w:color w:val="auto"/>
                <w:highlight w:val="none"/>
              </w:rPr>
            </w:pPr>
          </w:p>
        </w:tc>
      </w:tr>
      <w:tr>
        <w:tblPrEx>
          <w:tblCellMar>
            <w:top w:w="0" w:type="dxa"/>
            <w:left w:w="0" w:type="dxa"/>
            <w:bottom w:w="0" w:type="dxa"/>
            <w:right w:w="0" w:type="dxa"/>
          </w:tblCellMar>
        </w:tblPrEx>
        <w:trPr>
          <w:trHeight w:val="680" w:hRule="exact"/>
          <w:jc w:val="center"/>
        </w:trPr>
        <w:tc>
          <w:tcPr>
            <w:tcW w:w="649" w:type="dxa"/>
            <w:tcBorders>
              <w:top w:val="single" w:color="000000" w:sz="4" w:space="0"/>
              <w:left w:val="single" w:color="000000" w:sz="4" w:space="0"/>
              <w:bottom w:val="single" w:color="000000" w:sz="4" w:space="0"/>
              <w:right w:val="single" w:color="000000" w:sz="4" w:space="0"/>
            </w:tcBorders>
            <w:vAlign w:val="center"/>
          </w:tcPr>
          <w:p>
            <w:pPr>
              <w:pStyle w:val="79"/>
              <w:spacing w:before="4" w:line="140" w:lineRule="exact"/>
              <w:rPr>
                <w:rFonts w:ascii="Times New Roman" w:hAnsi="Times New Roman" w:cs="Times New Roman"/>
                <w:color w:val="auto"/>
                <w:sz w:val="14"/>
                <w:szCs w:val="14"/>
                <w:highlight w:val="none"/>
                <w:lang w:eastAsia="zh-CN"/>
              </w:rPr>
            </w:pPr>
          </w:p>
        </w:tc>
        <w:tc>
          <w:tcPr>
            <w:tcW w:w="1341" w:type="dxa"/>
            <w:tcBorders>
              <w:top w:val="single" w:color="000000" w:sz="4" w:space="0"/>
              <w:left w:val="single" w:color="000000" w:sz="4" w:space="0"/>
              <w:bottom w:val="single" w:color="000000" w:sz="4" w:space="0"/>
              <w:right w:val="single" w:color="000000" w:sz="4" w:space="0"/>
            </w:tcBorders>
          </w:tcPr>
          <w:p>
            <w:pPr>
              <w:pStyle w:val="79"/>
              <w:tabs>
                <w:tab w:val="left" w:pos="542"/>
              </w:tabs>
              <w:jc w:val="center"/>
              <w:rPr>
                <w:rFonts w:ascii="Times New Roman" w:hAnsi="Times New Roman" w:cs="Times New Roman"/>
                <w:color w:val="auto"/>
                <w:sz w:val="18"/>
                <w:szCs w:val="18"/>
                <w:highlight w:val="none"/>
                <w:lang w:eastAsia="zh-CN"/>
              </w:rPr>
            </w:pPr>
          </w:p>
        </w:tc>
        <w:tc>
          <w:tcPr>
            <w:tcW w:w="1575" w:type="dxa"/>
            <w:tcBorders>
              <w:top w:val="single" w:color="000000" w:sz="4" w:space="0"/>
              <w:left w:val="single" w:color="000000" w:sz="4" w:space="0"/>
              <w:bottom w:val="single" w:color="000000" w:sz="4" w:space="0"/>
              <w:right w:val="single" w:color="000000" w:sz="6" w:space="0"/>
            </w:tcBorders>
            <w:vAlign w:val="center"/>
          </w:tcPr>
          <w:p>
            <w:pPr>
              <w:pStyle w:val="79"/>
              <w:tabs>
                <w:tab w:val="left" w:pos="542"/>
              </w:tabs>
              <w:jc w:val="center"/>
              <w:rPr>
                <w:rFonts w:ascii="Times New Roman" w:hAnsi="Times New Roman" w:cs="Times New Roman"/>
                <w:color w:val="auto"/>
                <w:sz w:val="18"/>
                <w:szCs w:val="18"/>
                <w:highlight w:val="none"/>
                <w:lang w:eastAsia="zh-CN"/>
              </w:rPr>
            </w:pPr>
          </w:p>
        </w:tc>
        <w:tc>
          <w:tcPr>
            <w:tcW w:w="758" w:type="dxa"/>
            <w:tcBorders>
              <w:top w:val="single" w:color="000000" w:sz="4" w:space="0"/>
              <w:left w:val="single" w:color="000000" w:sz="6" w:space="0"/>
              <w:bottom w:val="single" w:color="000000" w:sz="4" w:space="0"/>
              <w:right w:val="single" w:color="000000" w:sz="4" w:space="0"/>
            </w:tcBorders>
            <w:vAlign w:val="center"/>
          </w:tcPr>
          <w:p>
            <w:pPr>
              <w:pStyle w:val="79"/>
              <w:tabs>
                <w:tab w:val="left" w:pos="542"/>
              </w:tabs>
              <w:jc w:val="center"/>
              <w:rPr>
                <w:rFonts w:ascii="Times New Roman" w:hAnsi="Times New Roman" w:cs="Times New Roman"/>
                <w:color w:val="auto"/>
                <w:sz w:val="18"/>
                <w:szCs w:val="18"/>
                <w:highlight w:val="none"/>
                <w:lang w:eastAsia="zh-CN"/>
              </w:rPr>
            </w:pPr>
          </w:p>
        </w:tc>
        <w:tc>
          <w:tcPr>
            <w:tcW w:w="758" w:type="dxa"/>
            <w:tcBorders>
              <w:top w:val="single" w:color="000000" w:sz="4" w:space="0"/>
              <w:left w:val="single" w:color="000000" w:sz="6" w:space="0"/>
              <w:bottom w:val="single" w:color="000000" w:sz="4" w:space="0"/>
              <w:right w:val="single" w:color="000000" w:sz="4" w:space="0"/>
            </w:tcBorders>
            <w:vAlign w:val="center"/>
          </w:tcPr>
          <w:p>
            <w:pPr>
              <w:pStyle w:val="79"/>
              <w:tabs>
                <w:tab w:val="left" w:pos="542"/>
              </w:tabs>
              <w:ind w:left="199"/>
              <w:jc w:val="center"/>
              <w:rPr>
                <w:rFonts w:ascii="Times New Roman" w:hAnsi="Times New Roman" w:cs="Times New Roman"/>
                <w:color w:val="auto"/>
                <w:sz w:val="18"/>
                <w:szCs w:val="18"/>
                <w:highlight w:val="none"/>
                <w:lang w:eastAsia="zh-CN"/>
              </w:rPr>
            </w:pPr>
          </w:p>
        </w:tc>
        <w:tc>
          <w:tcPr>
            <w:tcW w:w="850" w:type="dxa"/>
            <w:tcBorders>
              <w:top w:val="single" w:color="000000" w:sz="4" w:space="0"/>
              <w:left w:val="single" w:color="000000" w:sz="4" w:space="0"/>
              <w:bottom w:val="single" w:color="000000" w:sz="4" w:space="0"/>
              <w:right w:val="single" w:color="000000" w:sz="4" w:space="0"/>
            </w:tcBorders>
            <w:vAlign w:val="center"/>
          </w:tcPr>
          <w:p>
            <w:pPr>
              <w:pStyle w:val="79"/>
              <w:rPr>
                <w:rFonts w:ascii="Times New Roman" w:hAnsi="Times New Roman" w:cs="Times New Roman"/>
                <w:color w:val="auto"/>
                <w:highlight w:val="none"/>
                <w:lang w:eastAsia="zh-CN"/>
              </w:rPr>
            </w:pPr>
          </w:p>
        </w:tc>
        <w:tc>
          <w:tcPr>
            <w:tcW w:w="851" w:type="dxa"/>
            <w:tcBorders>
              <w:top w:val="single" w:color="000000" w:sz="4" w:space="0"/>
              <w:left w:val="single" w:color="000000" w:sz="4" w:space="0"/>
              <w:bottom w:val="single" w:color="000000" w:sz="4"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851" w:type="dxa"/>
            <w:tcBorders>
              <w:top w:val="single" w:color="000000" w:sz="4" w:space="0"/>
              <w:left w:val="single" w:color="000000" w:sz="4" w:space="0"/>
              <w:bottom w:val="single" w:color="000000" w:sz="4" w:space="0"/>
              <w:right w:val="single" w:color="000000" w:sz="4" w:space="0"/>
            </w:tcBorders>
            <w:vAlign w:val="center"/>
          </w:tcPr>
          <w:p>
            <w:pPr>
              <w:pStyle w:val="79"/>
              <w:spacing w:before="4" w:line="140" w:lineRule="exact"/>
              <w:rPr>
                <w:rFonts w:ascii="Times New Roman" w:hAnsi="Times New Roman" w:cs="Times New Roman"/>
                <w:color w:val="auto"/>
                <w:sz w:val="14"/>
                <w:szCs w:val="14"/>
                <w:highlight w:val="none"/>
                <w:lang w:eastAsia="zh-CN"/>
              </w:rPr>
            </w:pPr>
          </w:p>
        </w:tc>
        <w:tc>
          <w:tcPr>
            <w:tcW w:w="851" w:type="dxa"/>
            <w:tcBorders>
              <w:top w:val="single" w:color="000000" w:sz="4" w:space="0"/>
              <w:left w:val="single" w:color="000000" w:sz="4" w:space="0"/>
              <w:bottom w:val="single" w:color="000000" w:sz="4" w:space="0"/>
              <w:right w:val="single" w:color="000000" w:sz="4" w:space="0"/>
            </w:tcBorders>
            <w:vAlign w:val="center"/>
          </w:tcPr>
          <w:p>
            <w:pPr>
              <w:pStyle w:val="79"/>
              <w:spacing w:before="4" w:line="140" w:lineRule="exact"/>
              <w:rPr>
                <w:rFonts w:ascii="Times New Roman" w:hAnsi="Times New Roman" w:cs="Times New Roman"/>
                <w:color w:val="auto"/>
                <w:sz w:val="14"/>
                <w:szCs w:val="14"/>
                <w:highlight w:val="none"/>
                <w:lang w:eastAsia="zh-CN"/>
              </w:rPr>
            </w:pPr>
          </w:p>
        </w:tc>
        <w:tc>
          <w:tcPr>
            <w:tcW w:w="768" w:type="dxa"/>
            <w:tcBorders>
              <w:top w:val="single" w:color="000000" w:sz="4" w:space="0"/>
              <w:left w:val="single" w:color="000000" w:sz="4" w:space="0"/>
              <w:bottom w:val="single" w:color="000000" w:sz="4" w:space="0"/>
              <w:right w:val="single" w:color="000000" w:sz="4" w:space="0"/>
            </w:tcBorders>
            <w:vAlign w:val="center"/>
          </w:tcPr>
          <w:p>
            <w:pPr>
              <w:pStyle w:val="79"/>
              <w:spacing w:before="4" w:line="140" w:lineRule="exact"/>
              <w:rPr>
                <w:rFonts w:ascii="Times New Roman" w:hAnsi="Times New Roman" w:cs="Times New Roman"/>
                <w:color w:val="auto"/>
                <w:sz w:val="14"/>
                <w:szCs w:val="14"/>
                <w:highlight w:val="none"/>
                <w:lang w:eastAsia="zh-CN"/>
              </w:rPr>
            </w:pPr>
          </w:p>
        </w:tc>
      </w:tr>
      <w:tr>
        <w:tblPrEx>
          <w:tblCellMar>
            <w:top w:w="0" w:type="dxa"/>
            <w:left w:w="0" w:type="dxa"/>
            <w:bottom w:w="0" w:type="dxa"/>
            <w:right w:w="0" w:type="dxa"/>
          </w:tblCellMar>
        </w:tblPrEx>
        <w:trPr>
          <w:trHeight w:val="680" w:hRule="exact"/>
          <w:jc w:val="center"/>
        </w:trPr>
        <w:tc>
          <w:tcPr>
            <w:tcW w:w="649" w:type="dxa"/>
            <w:tcBorders>
              <w:top w:val="single" w:color="000000" w:sz="4" w:space="0"/>
              <w:left w:val="single" w:color="000000" w:sz="4" w:space="0"/>
              <w:bottom w:val="single" w:color="auto" w:sz="2" w:space="0"/>
              <w:right w:val="single" w:color="000000" w:sz="4" w:space="0"/>
            </w:tcBorders>
            <w:vAlign w:val="center"/>
          </w:tcPr>
          <w:p>
            <w:pPr>
              <w:pStyle w:val="79"/>
              <w:spacing w:before="4" w:line="140" w:lineRule="exact"/>
              <w:rPr>
                <w:rFonts w:ascii="Times New Roman" w:hAnsi="Times New Roman" w:cs="Times New Roman"/>
                <w:color w:val="auto"/>
                <w:sz w:val="14"/>
                <w:szCs w:val="14"/>
                <w:highlight w:val="none"/>
                <w:lang w:eastAsia="zh-CN"/>
              </w:rPr>
            </w:pPr>
          </w:p>
          <w:p>
            <w:pPr>
              <w:pStyle w:val="79"/>
              <w:spacing w:before="4" w:line="140" w:lineRule="exact"/>
              <w:rPr>
                <w:rFonts w:ascii="Times New Roman" w:hAnsi="Times New Roman" w:cs="Times New Roman"/>
                <w:color w:val="auto"/>
                <w:sz w:val="14"/>
                <w:szCs w:val="14"/>
                <w:highlight w:val="none"/>
                <w:lang w:eastAsia="zh-CN"/>
              </w:rPr>
            </w:pPr>
          </w:p>
        </w:tc>
        <w:tc>
          <w:tcPr>
            <w:tcW w:w="1341" w:type="dxa"/>
            <w:tcBorders>
              <w:top w:val="single" w:color="000000" w:sz="4" w:space="0"/>
              <w:left w:val="single" w:color="000000" w:sz="4" w:space="0"/>
              <w:bottom w:val="single" w:color="auto" w:sz="2" w:space="0"/>
              <w:right w:val="single" w:color="000000" w:sz="4" w:space="0"/>
            </w:tcBorders>
          </w:tcPr>
          <w:p>
            <w:pPr>
              <w:pStyle w:val="79"/>
              <w:tabs>
                <w:tab w:val="left" w:pos="542"/>
              </w:tabs>
              <w:jc w:val="center"/>
              <w:rPr>
                <w:rFonts w:ascii="Times New Roman" w:hAnsi="Times New Roman" w:cs="Times New Roman"/>
                <w:color w:val="auto"/>
                <w:sz w:val="18"/>
                <w:szCs w:val="18"/>
                <w:highlight w:val="none"/>
                <w:lang w:eastAsia="zh-CN"/>
              </w:rPr>
            </w:pPr>
          </w:p>
        </w:tc>
        <w:tc>
          <w:tcPr>
            <w:tcW w:w="1575" w:type="dxa"/>
            <w:tcBorders>
              <w:top w:val="single" w:color="000000" w:sz="4" w:space="0"/>
              <w:left w:val="single" w:color="000000" w:sz="4" w:space="0"/>
              <w:bottom w:val="single" w:color="auto" w:sz="2" w:space="0"/>
              <w:right w:val="single" w:color="000000" w:sz="6" w:space="0"/>
            </w:tcBorders>
            <w:vAlign w:val="center"/>
          </w:tcPr>
          <w:p>
            <w:pPr>
              <w:pStyle w:val="79"/>
              <w:tabs>
                <w:tab w:val="left" w:pos="542"/>
              </w:tabs>
              <w:jc w:val="center"/>
              <w:rPr>
                <w:rFonts w:ascii="Times New Roman" w:hAnsi="Times New Roman" w:cs="Times New Roman"/>
                <w:color w:val="auto"/>
                <w:sz w:val="18"/>
                <w:szCs w:val="18"/>
                <w:highlight w:val="none"/>
                <w:lang w:eastAsia="zh-CN"/>
              </w:rPr>
            </w:pPr>
          </w:p>
        </w:tc>
        <w:tc>
          <w:tcPr>
            <w:tcW w:w="758" w:type="dxa"/>
            <w:tcBorders>
              <w:top w:val="single" w:color="000000" w:sz="4" w:space="0"/>
              <w:left w:val="single" w:color="000000" w:sz="6" w:space="0"/>
              <w:bottom w:val="single" w:color="auto" w:sz="2" w:space="0"/>
              <w:right w:val="single" w:color="000000" w:sz="4" w:space="0"/>
            </w:tcBorders>
            <w:vAlign w:val="center"/>
          </w:tcPr>
          <w:p>
            <w:pPr>
              <w:pStyle w:val="79"/>
              <w:tabs>
                <w:tab w:val="left" w:pos="542"/>
              </w:tabs>
              <w:jc w:val="center"/>
              <w:rPr>
                <w:rFonts w:ascii="Times New Roman" w:hAnsi="Times New Roman" w:cs="Times New Roman"/>
                <w:color w:val="auto"/>
                <w:sz w:val="18"/>
                <w:szCs w:val="18"/>
                <w:highlight w:val="none"/>
                <w:lang w:eastAsia="zh-CN"/>
              </w:rPr>
            </w:pPr>
          </w:p>
        </w:tc>
        <w:tc>
          <w:tcPr>
            <w:tcW w:w="758" w:type="dxa"/>
            <w:tcBorders>
              <w:top w:val="single" w:color="000000" w:sz="4" w:space="0"/>
              <w:left w:val="single" w:color="000000" w:sz="6" w:space="0"/>
              <w:bottom w:val="single" w:color="auto" w:sz="2" w:space="0"/>
              <w:right w:val="single" w:color="000000" w:sz="4" w:space="0"/>
            </w:tcBorders>
            <w:vAlign w:val="center"/>
          </w:tcPr>
          <w:p>
            <w:pPr>
              <w:pStyle w:val="79"/>
              <w:tabs>
                <w:tab w:val="left" w:pos="542"/>
              </w:tabs>
              <w:ind w:left="199"/>
              <w:jc w:val="center"/>
              <w:rPr>
                <w:rFonts w:ascii="Times New Roman" w:hAnsi="Times New Roman" w:cs="Times New Roman"/>
                <w:color w:val="auto"/>
                <w:sz w:val="18"/>
                <w:szCs w:val="18"/>
                <w:highlight w:val="none"/>
                <w:lang w:eastAsia="zh-CN"/>
              </w:rPr>
            </w:pPr>
          </w:p>
        </w:tc>
        <w:tc>
          <w:tcPr>
            <w:tcW w:w="850" w:type="dxa"/>
            <w:tcBorders>
              <w:top w:val="single" w:color="000000" w:sz="4" w:space="0"/>
              <w:left w:val="single" w:color="000000" w:sz="4" w:space="0"/>
              <w:bottom w:val="single" w:color="auto" w:sz="2" w:space="0"/>
              <w:right w:val="single" w:color="000000" w:sz="4" w:space="0"/>
            </w:tcBorders>
            <w:vAlign w:val="center"/>
          </w:tcPr>
          <w:p>
            <w:pPr>
              <w:pStyle w:val="79"/>
              <w:rPr>
                <w:rFonts w:ascii="Times New Roman" w:hAnsi="Times New Roman" w:cs="Times New Roman"/>
                <w:color w:val="auto"/>
                <w:highlight w:val="none"/>
                <w:lang w:eastAsia="zh-CN"/>
              </w:rPr>
            </w:pPr>
          </w:p>
        </w:tc>
        <w:tc>
          <w:tcPr>
            <w:tcW w:w="851" w:type="dxa"/>
            <w:tcBorders>
              <w:top w:val="single" w:color="000000" w:sz="4" w:space="0"/>
              <w:left w:val="single" w:color="000000" w:sz="4" w:space="0"/>
              <w:bottom w:val="single" w:color="auto" w:sz="2" w:space="0"/>
              <w:right w:val="single" w:color="000000" w:sz="4" w:space="0"/>
            </w:tcBorders>
            <w:vAlign w:val="center"/>
          </w:tcPr>
          <w:p>
            <w:pPr>
              <w:pStyle w:val="79"/>
              <w:jc w:val="center"/>
              <w:rPr>
                <w:rFonts w:ascii="Times New Roman" w:hAnsi="Times New Roman" w:cs="Times New Roman"/>
                <w:color w:val="auto"/>
                <w:sz w:val="18"/>
                <w:szCs w:val="18"/>
                <w:highlight w:val="none"/>
              </w:rPr>
            </w:pPr>
          </w:p>
        </w:tc>
        <w:tc>
          <w:tcPr>
            <w:tcW w:w="851" w:type="dxa"/>
            <w:tcBorders>
              <w:top w:val="single" w:color="000000" w:sz="4" w:space="0"/>
              <w:left w:val="single" w:color="000000" w:sz="4" w:space="0"/>
              <w:bottom w:val="single" w:color="auto" w:sz="2" w:space="0"/>
              <w:right w:val="single" w:color="000000" w:sz="4" w:space="0"/>
            </w:tcBorders>
            <w:vAlign w:val="center"/>
          </w:tcPr>
          <w:p>
            <w:pPr>
              <w:pStyle w:val="79"/>
              <w:spacing w:before="4" w:line="140" w:lineRule="exact"/>
              <w:rPr>
                <w:rFonts w:ascii="Times New Roman" w:hAnsi="Times New Roman" w:cs="Times New Roman"/>
                <w:color w:val="auto"/>
                <w:sz w:val="14"/>
                <w:szCs w:val="14"/>
                <w:highlight w:val="none"/>
                <w:lang w:eastAsia="zh-CN"/>
              </w:rPr>
            </w:pPr>
          </w:p>
        </w:tc>
        <w:tc>
          <w:tcPr>
            <w:tcW w:w="851" w:type="dxa"/>
            <w:tcBorders>
              <w:top w:val="single" w:color="000000" w:sz="4" w:space="0"/>
              <w:left w:val="single" w:color="000000" w:sz="4" w:space="0"/>
              <w:bottom w:val="single" w:color="auto" w:sz="2" w:space="0"/>
              <w:right w:val="single" w:color="000000" w:sz="4" w:space="0"/>
            </w:tcBorders>
            <w:vAlign w:val="center"/>
          </w:tcPr>
          <w:p>
            <w:pPr>
              <w:pStyle w:val="79"/>
              <w:spacing w:before="4" w:line="140" w:lineRule="exact"/>
              <w:rPr>
                <w:rFonts w:ascii="Times New Roman" w:hAnsi="Times New Roman" w:cs="Times New Roman"/>
                <w:color w:val="auto"/>
                <w:sz w:val="14"/>
                <w:szCs w:val="14"/>
                <w:highlight w:val="none"/>
                <w:lang w:eastAsia="zh-CN"/>
              </w:rPr>
            </w:pPr>
          </w:p>
        </w:tc>
        <w:tc>
          <w:tcPr>
            <w:tcW w:w="768" w:type="dxa"/>
            <w:tcBorders>
              <w:top w:val="single" w:color="000000" w:sz="4" w:space="0"/>
              <w:left w:val="single" w:color="000000" w:sz="4" w:space="0"/>
              <w:bottom w:val="single" w:color="auto" w:sz="2" w:space="0"/>
              <w:right w:val="single" w:color="000000" w:sz="4" w:space="0"/>
            </w:tcBorders>
            <w:vAlign w:val="center"/>
          </w:tcPr>
          <w:p>
            <w:pPr>
              <w:pStyle w:val="79"/>
              <w:spacing w:before="4" w:line="140" w:lineRule="exact"/>
              <w:rPr>
                <w:rFonts w:ascii="Times New Roman" w:hAnsi="Times New Roman" w:cs="Times New Roman"/>
                <w:color w:val="auto"/>
                <w:sz w:val="14"/>
                <w:szCs w:val="14"/>
                <w:highlight w:val="none"/>
                <w:lang w:eastAsia="zh-CN"/>
              </w:rPr>
            </w:pPr>
          </w:p>
        </w:tc>
      </w:tr>
    </w:tbl>
    <w:p>
      <w:pPr>
        <w:spacing w:line="243" w:lineRule="exact"/>
        <w:ind w:firstLine="90" w:firstLineChars="50"/>
        <w:rPr>
          <w:color w:val="auto"/>
          <w:sz w:val="18"/>
          <w:szCs w:val="18"/>
          <w:highlight w:val="none"/>
        </w:rPr>
      </w:pPr>
      <w:r>
        <w:rPr>
          <w:rFonts w:hAnsi="宋体"/>
          <w:color w:val="auto"/>
          <w:sz w:val="18"/>
          <w:szCs w:val="18"/>
          <w:highlight w:val="none"/>
        </w:rPr>
        <w:t>注：</w:t>
      </w:r>
      <w:r>
        <w:rPr>
          <w:color w:val="auto"/>
          <w:sz w:val="18"/>
          <w:szCs w:val="18"/>
          <w:highlight w:val="none"/>
        </w:rPr>
        <w:t>1.</w:t>
      </w:r>
      <w:r>
        <w:rPr>
          <w:rFonts w:hAnsi="宋体"/>
          <w:color w:val="auto"/>
          <w:sz w:val="18"/>
          <w:szCs w:val="18"/>
          <w:highlight w:val="none"/>
        </w:rPr>
        <w:t>此表应由招标人填写除</w:t>
      </w:r>
      <w:r>
        <w:rPr>
          <w:color w:val="auto"/>
          <w:sz w:val="18"/>
          <w:szCs w:val="18"/>
          <w:highlight w:val="none"/>
        </w:rPr>
        <w:t>“</w:t>
      </w:r>
      <w:r>
        <w:rPr>
          <w:rFonts w:hAnsi="宋体"/>
          <w:color w:val="auto"/>
          <w:sz w:val="18"/>
          <w:szCs w:val="18"/>
          <w:highlight w:val="none"/>
        </w:rPr>
        <w:t>数量</w:t>
      </w:r>
      <w:r>
        <w:rPr>
          <w:color w:val="auto"/>
          <w:sz w:val="18"/>
          <w:szCs w:val="18"/>
          <w:highlight w:val="none"/>
        </w:rPr>
        <w:t>”</w:t>
      </w:r>
      <w:r>
        <w:rPr>
          <w:rFonts w:hAnsi="宋体"/>
          <w:color w:val="auto"/>
          <w:sz w:val="18"/>
          <w:szCs w:val="18"/>
          <w:highlight w:val="none"/>
        </w:rPr>
        <w:t>、</w:t>
      </w:r>
      <w:r>
        <w:rPr>
          <w:color w:val="auto"/>
          <w:sz w:val="18"/>
          <w:szCs w:val="18"/>
          <w:highlight w:val="none"/>
        </w:rPr>
        <w:t>“</w:t>
      </w:r>
      <w:r>
        <w:rPr>
          <w:rFonts w:hAnsi="宋体"/>
          <w:color w:val="auto"/>
          <w:sz w:val="18"/>
          <w:szCs w:val="18"/>
          <w:highlight w:val="none"/>
        </w:rPr>
        <w:t>投标单价</w:t>
      </w:r>
      <w:r>
        <w:rPr>
          <w:color w:val="auto"/>
          <w:sz w:val="18"/>
          <w:szCs w:val="18"/>
          <w:highlight w:val="none"/>
        </w:rPr>
        <w:t>”</w:t>
      </w:r>
      <w:r>
        <w:rPr>
          <w:rFonts w:hAnsi="宋体"/>
          <w:color w:val="auto"/>
          <w:sz w:val="18"/>
          <w:szCs w:val="18"/>
          <w:highlight w:val="none"/>
        </w:rPr>
        <w:t>栏之外的内容，投标人在投标时自主确定投标数量和单价。</w:t>
      </w:r>
    </w:p>
    <w:p>
      <w:pPr>
        <w:spacing w:line="243" w:lineRule="exact"/>
        <w:ind w:left="520" w:leftChars="205" w:hanging="90" w:hangingChars="50"/>
        <w:rPr>
          <w:color w:val="auto"/>
          <w:sz w:val="18"/>
          <w:szCs w:val="18"/>
          <w:highlight w:val="none"/>
        </w:rPr>
      </w:pPr>
      <w:r>
        <w:rPr>
          <w:color w:val="auto"/>
          <w:sz w:val="18"/>
          <w:szCs w:val="18"/>
          <w:highlight w:val="none"/>
        </w:rPr>
        <w:t>2.</w:t>
      </w:r>
      <w:r>
        <w:rPr>
          <w:rFonts w:hAnsi="宋体"/>
          <w:color w:val="auto"/>
          <w:sz w:val="18"/>
          <w:szCs w:val="18"/>
          <w:highlight w:val="none"/>
        </w:rPr>
        <w:t>招标人应优先采用工程造价管理机构发布的单价作为基准单价，未发布的，通过市场调查确定其基准单价。</w:t>
      </w:r>
    </w:p>
    <w:p>
      <w:pPr>
        <w:spacing w:line="243" w:lineRule="exact"/>
        <w:ind w:left="520" w:leftChars="205" w:hanging="90" w:hangingChars="50"/>
        <w:rPr>
          <w:color w:val="auto"/>
          <w:sz w:val="18"/>
          <w:szCs w:val="18"/>
          <w:highlight w:val="none"/>
        </w:rPr>
      </w:pPr>
      <w:r>
        <w:rPr>
          <w:color w:val="auto"/>
          <w:sz w:val="18"/>
          <w:szCs w:val="18"/>
          <w:highlight w:val="none"/>
        </w:rPr>
        <w:t>3.</w:t>
      </w:r>
      <w:r>
        <w:rPr>
          <w:rFonts w:hAnsi="宋体"/>
          <w:color w:val="auto"/>
          <w:sz w:val="18"/>
          <w:szCs w:val="18"/>
          <w:highlight w:val="none"/>
        </w:rPr>
        <w:t>此表中不包含暂估单价的材料（工程设备）。</w:t>
      </w:r>
    </w:p>
    <w:p>
      <w:pPr>
        <w:pStyle w:val="2"/>
        <w:spacing w:line="299" w:lineRule="exact"/>
        <w:jc w:val="right"/>
        <w:rPr>
          <w:rFonts w:eastAsia="宋体"/>
          <w:color w:val="auto"/>
          <w:sz w:val="18"/>
          <w:szCs w:val="18"/>
          <w:highlight w:val="none"/>
        </w:rPr>
      </w:pPr>
      <w:r>
        <w:rPr>
          <w:rFonts w:hAnsi="宋体" w:eastAsia="宋体"/>
          <w:color w:val="auto"/>
          <w:sz w:val="18"/>
          <w:szCs w:val="18"/>
          <w:highlight w:val="none"/>
        </w:rPr>
        <w:t>表</w:t>
      </w:r>
      <w:r>
        <w:rPr>
          <w:rFonts w:eastAsia="宋体"/>
          <w:color w:val="auto"/>
          <w:sz w:val="18"/>
          <w:szCs w:val="18"/>
          <w:highlight w:val="none"/>
        </w:rPr>
        <w:t>-21</w:t>
      </w:r>
    </w:p>
    <w:p>
      <w:pPr>
        <w:jc w:val="left"/>
        <w:rPr>
          <w:color w:val="auto"/>
          <w:szCs w:val="21"/>
          <w:highlight w:val="none"/>
        </w:rPr>
      </w:pPr>
    </w:p>
    <w:p>
      <w:pPr>
        <w:jc w:val="right"/>
        <w:rPr>
          <w:color w:val="auto"/>
          <w:szCs w:val="21"/>
          <w:highlight w:val="none"/>
        </w:rPr>
      </w:pPr>
    </w:p>
    <w:p>
      <w:pPr>
        <w:jc w:val="right"/>
        <w:rPr>
          <w:color w:val="auto"/>
          <w:szCs w:val="21"/>
          <w:highlight w:val="none"/>
        </w:rPr>
      </w:pPr>
    </w:p>
    <w:p>
      <w:pPr>
        <w:pStyle w:val="14"/>
        <w:snapToGrid w:val="0"/>
        <w:spacing w:line="440" w:lineRule="exact"/>
        <w:ind w:firstLine="0"/>
        <w:jc w:val="center"/>
        <w:outlineLvl w:val="1"/>
        <w:rPr>
          <w:rFonts w:hAnsi="宋体"/>
          <w:color w:val="auto"/>
          <w:sz w:val="28"/>
          <w:szCs w:val="28"/>
          <w:highlight w:val="none"/>
        </w:rPr>
      </w:pPr>
      <w:r>
        <w:rPr>
          <w:rFonts w:hint="eastAsia" w:hAnsi="宋体"/>
          <w:color w:val="auto"/>
          <w:sz w:val="28"/>
          <w:szCs w:val="28"/>
          <w:highlight w:val="none"/>
        </w:rPr>
        <w:t>五、计划投入的主要施工机械设备表</w:t>
      </w:r>
    </w:p>
    <w:tbl>
      <w:tblPr>
        <w:tblStyle w:val="57"/>
        <w:tblpPr w:leftFromText="180" w:rightFromText="180" w:vertAnchor="text" w:horzAnchor="page" w:tblpX="1348" w:tblpY="47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8"/>
        <w:gridCol w:w="2300"/>
        <w:gridCol w:w="700"/>
        <w:gridCol w:w="700"/>
        <w:gridCol w:w="900"/>
        <w:gridCol w:w="900"/>
        <w:gridCol w:w="1100"/>
        <w:gridCol w:w="1100"/>
        <w:gridCol w:w="7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 w:type="dxa"/>
          </w:tcPr>
          <w:p>
            <w:pPr>
              <w:pStyle w:val="14"/>
              <w:spacing w:line="360" w:lineRule="auto"/>
              <w:ind w:firstLine="0"/>
              <w:jc w:val="center"/>
              <w:rPr>
                <w:rFonts w:ascii="宋体" w:hAnsi="宋体"/>
                <w:color w:val="auto"/>
                <w:position w:val="-32"/>
                <w:sz w:val="23"/>
                <w:highlight w:val="none"/>
              </w:rPr>
            </w:pPr>
            <w:r>
              <w:rPr>
                <w:rFonts w:hint="eastAsia" w:ascii="宋体" w:hAnsi="宋体"/>
                <w:color w:val="auto"/>
                <w:position w:val="-32"/>
                <w:sz w:val="23"/>
                <w:highlight w:val="none"/>
              </w:rPr>
              <w:t>序号</w:t>
            </w:r>
          </w:p>
        </w:tc>
        <w:tc>
          <w:tcPr>
            <w:tcW w:w="2300" w:type="dxa"/>
          </w:tcPr>
          <w:p>
            <w:pPr>
              <w:pStyle w:val="14"/>
              <w:spacing w:line="360" w:lineRule="auto"/>
              <w:ind w:firstLine="0"/>
              <w:jc w:val="center"/>
              <w:rPr>
                <w:rFonts w:ascii="宋体" w:hAnsi="宋体"/>
                <w:color w:val="auto"/>
                <w:position w:val="-50"/>
                <w:sz w:val="23"/>
                <w:highlight w:val="none"/>
              </w:rPr>
            </w:pPr>
            <w:r>
              <w:rPr>
                <w:rFonts w:hint="eastAsia" w:ascii="宋体" w:hAnsi="宋体"/>
                <w:color w:val="auto"/>
                <w:position w:val="-50"/>
                <w:sz w:val="23"/>
                <w:highlight w:val="none"/>
              </w:rPr>
              <w:t>机械设备名称</w:t>
            </w:r>
          </w:p>
        </w:tc>
        <w:tc>
          <w:tcPr>
            <w:tcW w:w="700" w:type="dxa"/>
          </w:tcPr>
          <w:p>
            <w:pPr>
              <w:pStyle w:val="14"/>
              <w:spacing w:line="360" w:lineRule="auto"/>
              <w:ind w:firstLine="0"/>
              <w:jc w:val="center"/>
              <w:rPr>
                <w:rFonts w:ascii="宋体" w:hAnsi="宋体"/>
                <w:color w:val="auto"/>
                <w:position w:val="-30"/>
                <w:sz w:val="23"/>
                <w:highlight w:val="none"/>
              </w:rPr>
            </w:pPr>
            <w:r>
              <w:rPr>
                <w:rFonts w:hint="eastAsia" w:ascii="宋体" w:hAnsi="宋体"/>
                <w:color w:val="auto"/>
                <w:position w:val="-30"/>
                <w:sz w:val="23"/>
                <w:highlight w:val="none"/>
              </w:rPr>
              <w:t>型号规格</w:t>
            </w:r>
          </w:p>
        </w:tc>
        <w:tc>
          <w:tcPr>
            <w:tcW w:w="700" w:type="dxa"/>
          </w:tcPr>
          <w:p>
            <w:pPr>
              <w:pStyle w:val="14"/>
              <w:spacing w:line="360" w:lineRule="auto"/>
              <w:ind w:firstLine="0"/>
              <w:jc w:val="center"/>
              <w:rPr>
                <w:rFonts w:ascii="宋体" w:hAnsi="宋体"/>
                <w:color w:val="auto"/>
                <w:position w:val="-50"/>
                <w:sz w:val="23"/>
                <w:highlight w:val="none"/>
              </w:rPr>
            </w:pPr>
            <w:r>
              <w:rPr>
                <w:rFonts w:hint="eastAsia" w:ascii="宋体" w:hAnsi="宋体"/>
                <w:color w:val="auto"/>
                <w:position w:val="-50"/>
                <w:sz w:val="23"/>
                <w:highlight w:val="none"/>
              </w:rPr>
              <w:t>数量</w:t>
            </w:r>
          </w:p>
        </w:tc>
        <w:tc>
          <w:tcPr>
            <w:tcW w:w="900" w:type="dxa"/>
          </w:tcPr>
          <w:p>
            <w:pPr>
              <w:pStyle w:val="14"/>
              <w:spacing w:line="360" w:lineRule="auto"/>
              <w:ind w:firstLine="0"/>
              <w:jc w:val="center"/>
              <w:rPr>
                <w:rFonts w:ascii="宋体" w:hAnsi="宋体"/>
                <w:color w:val="auto"/>
                <w:position w:val="-30"/>
                <w:sz w:val="23"/>
                <w:highlight w:val="none"/>
              </w:rPr>
            </w:pPr>
            <w:r>
              <w:rPr>
                <w:rFonts w:hint="eastAsia" w:ascii="宋体" w:hAnsi="宋体"/>
                <w:color w:val="auto"/>
                <w:position w:val="-30"/>
                <w:sz w:val="23"/>
                <w:highlight w:val="none"/>
              </w:rPr>
              <w:t>国 别</w:t>
            </w:r>
          </w:p>
          <w:p>
            <w:pPr>
              <w:pStyle w:val="14"/>
              <w:spacing w:line="360" w:lineRule="auto"/>
              <w:ind w:firstLine="0"/>
              <w:jc w:val="center"/>
              <w:rPr>
                <w:rFonts w:ascii="宋体" w:hAnsi="宋体"/>
                <w:color w:val="auto"/>
                <w:position w:val="-30"/>
                <w:sz w:val="23"/>
                <w:highlight w:val="none"/>
              </w:rPr>
            </w:pPr>
            <w:r>
              <w:rPr>
                <w:rFonts w:hint="eastAsia" w:ascii="宋体" w:hAnsi="宋体"/>
                <w:color w:val="auto"/>
                <w:position w:val="-30"/>
                <w:sz w:val="23"/>
                <w:highlight w:val="none"/>
              </w:rPr>
              <w:t>产 地</w:t>
            </w:r>
          </w:p>
        </w:tc>
        <w:tc>
          <w:tcPr>
            <w:tcW w:w="900" w:type="dxa"/>
          </w:tcPr>
          <w:p>
            <w:pPr>
              <w:pStyle w:val="14"/>
              <w:spacing w:line="360" w:lineRule="auto"/>
              <w:ind w:firstLine="0"/>
              <w:jc w:val="center"/>
              <w:rPr>
                <w:rFonts w:ascii="宋体" w:hAnsi="宋体"/>
                <w:color w:val="auto"/>
                <w:position w:val="-30"/>
                <w:sz w:val="23"/>
                <w:highlight w:val="none"/>
              </w:rPr>
            </w:pPr>
            <w:r>
              <w:rPr>
                <w:rFonts w:hint="eastAsia" w:ascii="宋体" w:hAnsi="宋体"/>
                <w:color w:val="auto"/>
                <w:position w:val="-30"/>
                <w:sz w:val="23"/>
                <w:highlight w:val="none"/>
              </w:rPr>
              <w:t>制 造</w:t>
            </w:r>
          </w:p>
          <w:p>
            <w:pPr>
              <w:pStyle w:val="14"/>
              <w:spacing w:line="360" w:lineRule="auto"/>
              <w:ind w:firstLine="0"/>
              <w:jc w:val="center"/>
              <w:rPr>
                <w:rFonts w:ascii="宋体" w:hAnsi="宋体"/>
                <w:color w:val="auto"/>
                <w:position w:val="-30"/>
                <w:sz w:val="23"/>
                <w:highlight w:val="none"/>
              </w:rPr>
            </w:pPr>
            <w:r>
              <w:rPr>
                <w:rFonts w:hint="eastAsia" w:ascii="宋体" w:hAnsi="宋体"/>
                <w:color w:val="auto"/>
                <w:position w:val="-30"/>
                <w:sz w:val="23"/>
                <w:highlight w:val="none"/>
              </w:rPr>
              <w:t>年 份</w:t>
            </w:r>
          </w:p>
        </w:tc>
        <w:tc>
          <w:tcPr>
            <w:tcW w:w="1100" w:type="dxa"/>
          </w:tcPr>
          <w:p>
            <w:pPr>
              <w:pStyle w:val="14"/>
              <w:spacing w:line="360" w:lineRule="auto"/>
              <w:ind w:firstLine="0"/>
              <w:jc w:val="center"/>
              <w:rPr>
                <w:rFonts w:ascii="宋体" w:hAnsi="宋体"/>
                <w:color w:val="auto"/>
                <w:position w:val="-30"/>
                <w:sz w:val="21"/>
                <w:highlight w:val="none"/>
              </w:rPr>
            </w:pPr>
            <w:r>
              <w:rPr>
                <w:rFonts w:hint="eastAsia" w:ascii="宋体" w:hAnsi="宋体"/>
                <w:color w:val="auto"/>
                <w:position w:val="-30"/>
                <w:sz w:val="21"/>
                <w:highlight w:val="none"/>
              </w:rPr>
              <w:t>额定功率(KW)</w:t>
            </w:r>
          </w:p>
        </w:tc>
        <w:tc>
          <w:tcPr>
            <w:tcW w:w="1100" w:type="dxa"/>
          </w:tcPr>
          <w:p>
            <w:pPr>
              <w:pStyle w:val="14"/>
              <w:spacing w:line="360" w:lineRule="auto"/>
              <w:ind w:firstLine="0"/>
              <w:jc w:val="center"/>
              <w:rPr>
                <w:rFonts w:ascii="宋体" w:hAnsi="宋体"/>
                <w:color w:val="auto"/>
                <w:position w:val="-30"/>
                <w:sz w:val="21"/>
                <w:highlight w:val="none"/>
              </w:rPr>
            </w:pPr>
            <w:r>
              <w:rPr>
                <w:rFonts w:hint="eastAsia" w:ascii="宋体" w:hAnsi="宋体"/>
                <w:color w:val="auto"/>
                <w:position w:val="-30"/>
                <w:sz w:val="21"/>
                <w:highlight w:val="none"/>
              </w:rPr>
              <w:t>生产能力(MH)</w:t>
            </w:r>
          </w:p>
        </w:tc>
        <w:tc>
          <w:tcPr>
            <w:tcW w:w="700" w:type="dxa"/>
          </w:tcPr>
          <w:p>
            <w:pPr>
              <w:pStyle w:val="14"/>
              <w:spacing w:line="360" w:lineRule="auto"/>
              <w:ind w:firstLine="0"/>
              <w:jc w:val="center"/>
              <w:rPr>
                <w:rFonts w:ascii="宋体" w:hAnsi="宋体"/>
                <w:color w:val="auto"/>
                <w:position w:val="-50"/>
                <w:sz w:val="23"/>
                <w:highlight w:val="none"/>
              </w:rPr>
            </w:pPr>
            <w:r>
              <w:rPr>
                <w:rFonts w:hint="eastAsia" w:ascii="宋体" w:hAnsi="宋体"/>
                <w:color w:val="auto"/>
                <w:position w:val="-50"/>
                <w:sz w:val="23"/>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pStyle w:val="14"/>
              <w:spacing w:line="360" w:lineRule="auto"/>
              <w:ind w:firstLine="0"/>
              <w:rPr>
                <w:rFonts w:ascii="宋体" w:hAnsi="宋体"/>
                <w:color w:val="auto"/>
                <w:sz w:val="25"/>
                <w:highlight w:val="none"/>
              </w:rPr>
            </w:pPr>
          </w:p>
        </w:tc>
        <w:tc>
          <w:tcPr>
            <w:tcW w:w="23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pStyle w:val="14"/>
              <w:spacing w:line="360" w:lineRule="auto"/>
              <w:ind w:firstLine="0"/>
              <w:rPr>
                <w:rFonts w:ascii="宋体" w:hAnsi="宋体"/>
                <w:color w:val="auto"/>
                <w:sz w:val="25"/>
                <w:highlight w:val="none"/>
              </w:rPr>
            </w:pPr>
          </w:p>
        </w:tc>
        <w:tc>
          <w:tcPr>
            <w:tcW w:w="23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pStyle w:val="14"/>
              <w:spacing w:line="360" w:lineRule="auto"/>
              <w:ind w:firstLine="0"/>
              <w:rPr>
                <w:rFonts w:ascii="宋体" w:hAnsi="宋体"/>
                <w:color w:val="auto"/>
                <w:sz w:val="25"/>
                <w:highlight w:val="none"/>
              </w:rPr>
            </w:pPr>
          </w:p>
        </w:tc>
        <w:tc>
          <w:tcPr>
            <w:tcW w:w="23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pStyle w:val="14"/>
              <w:spacing w:line="360" w:lineRule="auto"/>
              <w:ind w:firstLine="0"/>
              <w:rPr>
                <w:rFonts w:ascii="宋体" w:hAnsi="宋体"/>
                <w:color w:val="auto"/>
                <w:sz w:val="25"/>
                <w:highlight w:val="none"/>
              </w:rPr>
            </w:pPr>
          </w:p>
        </w:tc>
        <w:tc>
          <w:tcPr>
            <w:tcW w:w="23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pStyle w:val="14"/>
              <w:spacing w:line="360" w:lineRule="auto"/>
              <w:ind w:firstLine="0"/>
              <w:rPr>
                <w:rFonts w:ascii="宋体" w:hAnsi="宋体"/>
                <w:color w:val="auto"/>
                <w:sz w:val="25"/>
                <w:highlight w:val="none"/>
              </w:rPr>
            </w:pPr>
          </w:p>
        </w:tc>
        <w:tc>
          <w:tcPr>
            <w:tcW w:w="23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pStyle w:val="14"/>
              <w:spacing w:line="360" w:lineRule="auto"/>
              <w:ind w:firstLine="0"/>
              <w:rPr>
                <w:rFonts w:ascii="宋体" w:hAnsi="宋体"/>
                <w:color w:val="auto"/>
                <w:sz w:val="25"/>
                <w:highlight w:val="none"/>
              </w:rPr>
            </w:pPr>
          </w:p>
        </w:tc>
        <w:tc>
          <w:tcPr>
            <w:tcW w:w="23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pStyle w:val="14"/>
              <w:spacing w:line="360" w:lineRule="auto"/>
              <w:ind w:firstLine="0"/>
              <w:rPr>
                <w:rFonts w:ascii="宋体" w:hAnsi="宋体"/>
                <w:color w:val="auto"/>
                <w:sz w:val="25"/>
                <w:highlight w:val="none"/>
              </w:rPr>
            </w:pPr>
          </w:p>
        </w:tc>
        <w:tc>
          <w:tcPr>
            <w:tcW w:w="23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pStyle w:val="14"/>
              <w:spacing w:line="360" w:lineRule="auto"/>
              <w:ind w:firstLine="0"/>
              <w:rPr>
                <w:rFonts w:ascii="宋体" w:hAnsi="宋体"/>
                <w:color w:val="auto"/>
                <w:sz w:val="25"/>
                <w:highlight w:val="none"/>
              </w:rPr>
            </w:pPr>
          </w:p>
        </w:tc>
        <w:tc>
          <w:tcPr>
            <w:tcW w:w="23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pStyle w:val="14"/>
              <w:spacing w:line="360" w:lineRule="auto"/>
              <w:ind w:firstLine="0"/>
              <w:rPr>
                <w:rFonts w:ascii="宋体" w:hAnsi="宋体"/>
                <w:color w:val="auto"/>
                <w:sz w:val="25"/>
                <w:highlight w:val="none"/>
              </w:rPr>
            </w:pPr>
          </w:p>
        </w:tc>
        <w:tc>
          <w:tcPr>
            <w:tcW w:w="23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pStyle w:val="14"/>
              <w:spacing w:line="360" w:lineRule="auto"/>
              <w:ind w:firstLine="0"/>
              <w:rPr>
                <w:rFonts w:ascii="宋体" w:hAnsi="宋体"/>
                <w:color w:val="auto"/>
                <w:sz w:val="25"/>
                <w:highlight w:val="none"/>
              </w:rPr>
            </w:pPr>
          </w:p>
        </w:tc>
        <w:tc>
          <w:tcPr>
            <w:tcW w:w="23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pStyle w:val="14"/>
              <w:spacing w:line="360" w:lineRule="auto"/>
              <w:ind w:firstLine="0"/>
              <w:rPr>
                <w:rFonts w:ascii="宋体" w:hAnsi="宋体"/>
                <w:color w:val="auto"/>
                <w:sz w:val="25"/>
                <w:highlight w:val="none"/>
              </w:rPr>
            </w:pPr>
          </w:p>
        </w:tc>
        <w:tc>
          <w:tcPr>
            <w:tcW w:w="23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pStyle w:val="14"/>
              <w:spacing w:line="360" w:lineRule="auto"/>
              <w:ind w:firstLine="0"/>
              <w:rPr>
                <w:rFonts w:ascii="宋体" w:hAnsi="宋体"/>
                <w:color w:val="auto"/>
                <w:sz w:val="25"/>
                <w:highlight w:val="none"/>
              </w:rPr>
            </w:pPr>
          </w:p>
        </w:tc>
        <w:tc>
          <w:tcPr>
            <w:tcW w:w="23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pStyle w:val="14"/>
              <w:spacing w:line="360" w:lineRule="auto"/>
              <w:ind w:firstLine="0"/>
              <w:rPr>
                <w:rFonts w:ascii="宋体" w:hAnsi="宋体"/>
                <w:color w:val="auto"/>
                <w:sz w:val="25"/>
                <w:highlight w:val="none"/>
              </w:rPr>
            </w:pPr>
          </w:p>
        </w:tc>
        <w:tc>
          <w:tcPr>
            <w:tcW w:w="23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pStyle w:val="14"/>
              <w:spacing w:line="360" w:lineRule="auto"/>
              <w:ind w:firstLine="0"/>
              <w:rPr>
                <w:rFonts w:ascii="宋体" w:hAnsi="宋体"/>
                <w:color w:val="auto"/>
                <w:sz w:val="25"/>
                <w:highlight w:val="none"/>
              </w:rPr>
            </w:pPr>
          </w:p>
        </w:tc>
        <w:tc>
          <w:tcPr>
            <w:tcW w:w="23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pStyle w:val="14"/>
              <w:spacing w:line="360" w:lineRule="auto"/>
              <w:ind w:firstLine="0"/>
              <w:rPr>
                <w:rFonts w:ascii="宋体" w:hAnsi="宋体"/>
                <w:color w:val="auto"/>
                <w:sz w:val="25"/>
                <w:highlight w:val="none"/>
              </w:rPr>
            </w:pPr>
          </w:p>
        </w:tc>
        <w:tc>
          <w:tcPr>
            <w:tcW w:w="23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pPr>
              <w:pStyle w:val="14"/>
              <w:spacing w:line="360" w:lineRule="auto"/>
              <w:ind w:firstLine="0"/>
              <w:rPr>
                <w:rFonts w:ascii="宋体" w:hAnsi="宋体"/>
                <w:color w:val="auto"/>
                <w:sz w:val="25"/>
                <w:highlight w:val="none"/>
              </w:rPr>
            </w:pPr>
          </w:p>
        </w:tc>
        <w:tc>
          <w:tcPr>
            <w:tcW w:w="23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9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1100" w:type="dxa"/>
          </w:tcPr>
          <w:p>
            <w:pPr>
              <w:pStyle w:val="14"/>
              <w:spacing w:line="360" w:lineRule="auto"/>
              <w:ind w:firstLine="0"/>
              <w:rPr>
                <w:rFonts w:ascii="宋体" w:hAnsi="宋体"/>
                <w:color w:val="auto"/>
                <w:sz w:val="25"/>
                <w:highlight w:val="none"/>
              </w:rPr>
            </w:pPr>
          </w:p>
        </w:tc>
        <w:tc>
          <w:tcPr>
            <w:tcW w:w="700" w:type="dxa"/>
          </w:tcPr>
          <w:p>
            <w:pPr>
              <w:pStyle w:val="14"/>
              <w:spacing w:line="360" w:lineRule="auto"/>
              <w:ind w:firstLine="0"/>
              <w:rPr>
                <w:rFonts w:ascii="宋体" w:hAnsi="宋体"/>
                <w:color w:val="auto"/>
                <w:sz w:val="25"/>
                <w:highlight w:val="none"/>
              </w:rPr>
            </w:pPr>
          </w:p>
        </w:tc>
      </w:tr>
    </w:tbl>
    <w:p>
      <w:pPr>
        <w:pStyle w:val="14"/>
        <w:spacing w:line="360" w:lineRule="auto"/>
        <w:ind w:firstLine="0"/>
        <w:jc w:val="center"/>
        <w:rPr>
          <w:rFonts w:ascii="宋体" w:hAnsi="宋体"/>
          <w:color w:val="auto"/>
          <w:sz w:val="25"/>
          <w:highlight w:val="none"/>
        </w:rPr>
      </w:pPr>
    </w:p>
    <w:p>
      <w:pPr>
        <w:rPr>
          <w:rFonts w:hAnsi="宋体"/>
          <w:color w:val="auto"/>
          <w:sz w:val="28"/>
          <w:szCs w:val="28"/>
          <w:highlight w:val="none"/>
        </w:rPr>
      </w:pPr>
      <w:r>
        <w:rPr>
          <w:rFonts w:hint="eastAsia" w:hAnsi="宋体"/>
          <w:color w:val="auto"/>
          <w:sz w:val="28"/>
          <w:szCs w:val="28"/>
          <w:highlight w:val="none"/>
        </w:rPr>
        <w:br w:type="page"/>
      </w:r>
    </w:p>
    <w:p>
      <w:pPr>
        <w:pStyle w:val="14"/>
        <w:snapToGrid w:val="0"/>
        <w:spacing w:line="440" w:lineRule="exact"/>
        <w:ind w:firstLine="0"/>
        <w:jc w:val="center"/>
        <w:outlineLvl w:val="1"/>
        <w:rPr>
          <w:color w:val="auto"/>
          <w:sz w:val="28"/>
          <w:szCs w:val="28"/>
          <w:highlight w:val="none"/>
        </w:rPr>
      </w:pPr>
      <w:r>
        <w:rPr>
          <w:rFonts w:hint="eastAsia" w:hAnsi="宋体"/>
          <w:color w:val="auto"/>
          <w:sz w:val="28"/>
          <w:szCs w:val="28"/>
          <w:highlight w:val="none"/>
        </w:rPr>
        <w:t>六</w:t>
      </w:r>
      <w:r>
        <w:rPr>
          <w:rFonts w:hAnsi="宋体"/>
          <w:color w:val="auto"/>
          <w:sz w:val="28"/>
          <w:szCs w:val="28"/>
          <w:highlight w:val="none"/>
        </w:rPr>
        <w:t>、主要施工管理人员表</w:t>
      </w:r>
    </w:p>
    <w:p>
      <w:pPr>
        <w:pStyle w:val="14"/>
        <w:spacing w:line="360" w:lineRule="auto"/>
        <w:ind w:firstLine="0"/>
        <w:jc w:val="center"/>
        <w:rPr>
          <w:color w:val="auto"/>
          <w:sz w:val="25"/>
          <w:highlight w:val="none"/>
        </w:rPr>
      </w:pPr>
    </w:p>
    <w:tbl>
      <w:tblPr>
        <w:tblStyle w:val="57"/>
        <w:tblW w:w="83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
        <w:gridCol w:w="1500"/>
        <w:gridCol w:w="799"/>
        <w:gridCol w:w="800"/>
        <w:gridCol w:w="800"/>
        <w:gridCol w:w="37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8" w:type="dxa"/>
          </w:tcPr>
          <w:p>
            <w:pPr>
              <w:spacing w:line="420" w:lineRule="atLeast"/>
              <w:rPr>
                <w:color w:val="auto"/>
                <w:kern w:val="0"/>
                <w:sz w:val="24"/>
                <w:highlight w:val="none"/>
              </w:rPr>
            </w:pPr>
            <w:r>
              <w:rPr>
                <w:rFonts w:hAnsi="宋体"/>
                <w:color w:val="auto"/>
                <w:kern w:val="0"/>
                <w:sz w:val="24"/>
                <w:highlight w:val="none"/>
              </w:rPr>
              <w:t>机构</w:t>
            </w:r>
          </w:p>
        </w:tc>
        <w:tc>
          <w:tcPr>
            <w:tcW w:w="1500" w:type="dxa"/>
          </w:tcPr>
          <w:p>
            <w:pPr>
              <w:spacing w:line="420" w:lineRule="atLeast"/>
              <w:rPr>
                <w:color w:val="auto"/>
                <w:kern w:val="0"/>
                <w:sz w:val="24"/>
                <w:highlight w:val="none"/>
              </w:rPr>
            </w:pPr>
            <w:r>
              <w:rPr>
                <w:rFonts w:hAnsi="宋体"/>
                <w:color w:val="auto"/>
                <w:kern w:val="0"/>
                <w:sz w:val="24"/>
                <w:highlight w:val="none"/>
              </w:rPr>
              <w:t>项目工程师</w:t>
            </w:r>
          </w:p>
        </w:tc>
        <w:tc>
          <w:tcPr>
            <w:tcW w:w="799" w:type="dxa"/>
          </w:tcPr>
          <w:p>
            <w:pPr>
              <w:spacing w:line="420" w:lineRule="atLeast"/>
              <w:rPr>
                <w:color w:val="auto"/>
                <w:kern w:val="0"/>
                <w:sz w:val="24"/>
                <w:highlight w:val="none"/>
              </w:rPr>
            </w:pPr>
            <w:r>
              <w:rPr>
                <w:rFonts w:hAnsi="宋体"/>
                <w:color w:val="auto"/>
                <w:kern w:val="0"/>
                <w:sz w:val="24"/>
                <w:highlight w:val="none"/>
              </w:rPr>
              <w:t>姓名</w:t>
            </w:r>
          </w:p>
        </w:tc>
        <w:tc>
          <w:tcPr>
            <w:tcW w:w="800" w:type="dxa"/>
          </w:tcPr>
          <w:p>
            <w:pPr>
              <w:spacing w:line="420" w:lineRule="atLeast"/>
              <w:rPr>
                <w:color w:val="auto"/>
                <w:kern w:val="0"/>
                <w:sz w:val="24"/>
                <w:highlight w:val="none"/>
              </w:rPr>
            </w:pPr>
            <w:r>
              <w:rPr>
                <w:rFonts w:hAnsi="宋体"/>
                <w:color w:val="auto"/>
                <w:kern w:val="0"/>
                <w:sz w:val="24"/>
                <w:highlight w:val="none"/>
              </w:rPr>
              <w:t>职务</w:t>
            </w:r>
          </w:p>
        </w:tc>
        <w:tc>
          <w:tcPr>
            <w:tcW w:w="800" w:type="dxa"/>
          </w:tcPr>
          <w:p>
            <w:pPr>
              <w:spacing w:line="420" w:lineRule="atLeast"/>
              <w:rPr>
                <w:color w:val="auto"/>
                <w:kern w:val="0"/>
                <w:sz w:val="24"/>
                <w:highlight w:val="none"/>
              </w:rPr>
            </w:pPr>
            <w:r>
              <w:rPr>
                <w:rFonts w:hAnsi="宋体"/>
                <w:color w:val="auto"/>
                <w:kern w:val="0"/>
                <w:sz w:val="24"/>
                <w:highlight w:val="none"/>
              </w:rPr>
              <w:t>职称</w:t>
            </w:r>
          </w:p>
        </w:tc>
        <w:tc>
          <w:tcPr>
            <w:tcW w:w="3700" w:type="dxa"/>
          </w:tcPr>
          <w:p>
            <w:pPr>
              <w:spacing w:line="420" w:lineRule="atLeast"/>
              <w:rPr>
                <w:color w:val="auto"/>
                <w:kern w:val="0"/>
                <w:sz w:val="24"/>
                <w:highlight w:val="none"/>
              </w:rPr>
            </w:pPr>
            <w:r>
              <w:rPr>
                <w:rFonts w:hAnsi="宋体"/>
                <w:color w:val="auto"/>
                <w:kern w:val="0"/>
                <w:sz w:val="24"/>
                <w:highlight w:val="none"/>
              </w:rPr>
              <w:t>主要资历、经验及承担过的工程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restart"/>
          </w:tcPr>
          <w:p>
            <w:pPr>
              <w:spacing w:line="420" w:lineRule="atLeast"/>
              <w:rPr>
                <w:color w:val="auto"/>
                <w:kern w:val="0"/>
                <w:sz w:val="24"/>
                <w:highlight w:val="none"/>
              </w:rPr>
            </w:pPr>
          </w:p>
          <w:p>
            <w:pPr>
              <w:spacing w:line="420" w:lineRule="atLeast"/>
              <w:rPr>
                <w:color w:val="auto"/>
                <w:kern w:val="0"/>
                <w:sz w:val="24"/>
                <w:highlight w:val="none"/>
              </w:rPr>
            </w:pPr>
          </w:p>
          <w:p>
            <w:pPr>
              <w:spacing w:line="420" w:lineRule="atLeast"/>
              <w:rPr>
                <w:color w:val="auto"/>
                <w:kern w:val="0"/>
                <w:sz w:val="24"/>
                <w:highlight w:val="none"/>
              </w:rPr>
            </w:pPr>
            <w:r>
              <w:rPr>
                <w:rFonts w:hAnsi="宋体"/>
                <w:color w:val="auto"/>
                <w:kern w:val="0"/>
                <w:sz w:val="24"/>
                <w:highlight w:val="none"/>
              </w:rPr>
              <w:t>总</w:t>
            </w:r>
          </w:p>
          <w:p>
            <w:pPr>
              <w:spacing w:line="420" w:lineRule="atLeast"/>
              <w:rPr>
                <w:color w:val="auto"/>
                <w:kern w:val="0"/>
                <w:sz w:val="24"/>
                <w:highlight w:val="none"/>
              </w:rPr>
            </w:pPr>
          </w:p>
          <w:p>
            <w:pPr>
              <w:spacing w:line="420" w:lineRule="atLeast"/>
              <w:rPr>
                <w:color w:val="auto"/>
                <w:kern w:val="0"/>
                <w:sz w:val="24"/>
                <w:highlight w:val="none"/>
              </w:rPr>
            </w:pPr>
            <w:r>
              <w:rPr>
                <w:rFonts w:hAnsi="宋体"/>
                <w:color w:val="auto"/>
                <w:kern w:val="0"/>
                <w:sz w:val="24"/>
                <w:highlight w:val="none"/>
              </w:rPr>
              <w:t>部</w:t>
            </w:r>
          </w:p>
        </w:tc>
        <w:tc>
          <w:tcPr>
            <w:tcW w:w="1500" w:type="dxa"/>
          </w:tcPr>
          <w:p>
            <w:pPr>
              <w:spacing w:line="420" w:lineRule="atLeast"/>
              <w:rPr>
                <w:color w:val="auto"/>
                <w:kern w:val="0"/>
                <w:sz w:val="24"/>
                <w:highlight w:val="none"/>
              </w:rPr>
            </w:pPr>
            <w:r>
              <w:rPr>
                <w:rFonts w:hAnsi="宋体"/>
                <w:color w:val="auto"/>
                <w:kern w:val="0"/>
                <w:sz w:val="24"/>
                <w:highlight w:val="none"/>
              </w:rPr>
              <w:t>项目主管</w:t>
            </w:r>
          </w:p>
        </w:tc>
        <w:tc>
          <w:tcPr>
            <w:tcW w:w="799"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3700" w:type="dxa"/>
          </w:tcPr>
          <w:p>
            <w:pPr>
              <w:spacing w:line="420" w:lineRule="atLeast"/>
              <w:rPr>
                <w:color w:val="auto"/>
                <w:kern w:val="0"/>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pPr>
              <w:spacing w:line="420" w:lineRule="atLeast"/>
              <w:rPr>
                <w:color w:val="auto"/>
                <w:kern w:val="0"/>
                <w:sz w:val="24"/>
                <w:highlight w:val="none"/>
              </w:rPr>
            </w:pPr>
          </w:p>
        </w:tc>
        <w:tc>
          <w:tcPr>
            <w:tcW w:w="1500" w:type="dxa"/>
          </w:tcPr>
          <w:p>
            <w:pPr>
              <w:spacing w:line="420" w:lineRule="atLeast"/>
              <w:rPr>
                <w:color w:val="auto"/>
                <w:kern w:val="0"/>
                <w:sz w:val="24"/>
                <w:highlight w:val="none"/>
              </w:rPr>
            </w:pPr>
            <w:r>
              <w:rPr>
                <w:rFonts w:hAnsi="宋体"/>
                <w:color w:val="auto"/>
                <w:kern w:val="0"/>
                <w:sz w:val="24"/>
                <w:highlight w:val="none"/>
              </w:rPr>
              <w:t>技术负责人</w:t>
            </w:r>
          </w:p>
        </w:tc>
        <w:tc>
          <w:tcPr>
            <w:tcW w:w="799"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3700" w:type="dxa"/>
          </w:tcPr>
          <w:p>
            <w:pPr>
              <w:spacing w:line="420" w:lineRule="atLeast"/>
              <w:rPr>
                <w:color w:val="auto"/>
                <w:kern w:val="0"/>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pPr>
              <w:spacing w:line="420" w:lineRule="atLeast"/>
              <w:rPr>
                <w:color w:val="auto"/>
                <w:kern w:val="0"/>
                <w:sz w:val="24"/>
                <w:highlight w:val="none"/>
              </w:rPr>
            </w:pPr>
          </w:p>
        </w:tc>
        <w:tc>
          <w:tcPr>
            <w:tcW w:w="1500" w:type="dxa"/>
          </w:tcPr>
          <w:p>
            <w:pPr>
              <w:spacing w:line="420" w:lineRule="atLeast"/>
              <w:rPr>
                <w:color w:val="auto"/>
                <w:kern w:val="0"/>
                <w:sz w:val="24"/>
                <w:highlight w:val="none"/>
              </w:rPr>
            </w:pPr>
          </w:p>
        </w:tc>
        <w:tc>
          <w:tcPr>
            <w:tcW w:w="799"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3700" w:type="dxa"/>
          </w:tcPr>
          <w:p>
            <w:pPr>
              <w:spacing w:line="420" w:lineRule="atLeast"/>
              <w:rPr>
                <w:color w:val="auto"/>
                <w:kern w:val="0"/>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pPr>
              <w:spacing w:line="420" w:lineRule="atLeast"/>
              <w:rPr>
                <w:color w:val="auto"/>
                <w:kern w:val="0"/>
                <w:sz w:val="24"/>
                <w:highlight w:val="none"/>
              </w:rPr>
            </w:pPr>
          </w:p>
        </w:tc>
        <w:tc>
          <w:tcPr>
            <w:tcW w:w="1500" w:type="dxa"/>
          </w:tcPr>
          <w:p>
            <w:pPr>
              <w:spacing w:line="420" w:lineRule="atLeast"/>
              <w:rPr>
                <w:color w:val="auto"/>
                <w:kern w:val="0"/>
                <w:sz w:val="24"/>
                <w:highlight w:val="none"/>
              </w:rPr>
            </w:pPr>
          </w:p>
        </w:tc>
        <w:tc>
          <w:tcPr>
            <w:tcW w:w="799"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3700" w:type="dxa"/>
          </w:tcPr>
          <w:p>
            <w:pPr>
              <w:spacing w:line="420" w:lineRule="atLeast"/>
              <w:rPr>
                <w:color w:val="auto"/>
                <w:kern w:val="0"/>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pPr>
              <w:spacing w:line="420" w:lineRule="atLeast"/>
              <w:rPr>
                <w:color w:val="auto"/>
                <w:kern w:val="0"/>
                <w:sz w:val="24"/>
                <w:highlight w:val="none"/>
              </w:rPr>
            </w:pPr>
          </w:p>
        </w:tc>
        <w:tc>
          <w:tcPr>
            <w:tcW w:w="1500" w:type="dxa"/>
          </w:tcPr>
          <w:p>
            <w:pPr>
              <w:spacing w:line="420" w:lineRule="atLeast"/>
              <w:rPr>
                <w:color w:val="auto"/>
                <w:kern w:val="0"/>
                <w:sz w:val="24"/>
                <w:highlight w:val="none"/>
              </w:rPr>
            </w:pPr>
          </w:p>
        </w:tc>
        <w:tc>
          <w:tcPr>
            <w:tcW w:w="799"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3700" w:type="dxa"/>
          </w:tcPr>
          <w:p>
            <w:pPr>
              <w:spacing w:line="420" w:lineRule="atLeast"/>
              <w:rPr>
                <w:color w:val="auto"/>
                <w:kern w:val="0"/>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pPr>
              <w:spacing w:line="420" w:lineRule="atLeast"/>
              <w:rPr>
                <w:color w:val="auto"/>
                <w:kern w:val="0"/>
                <w:sz w:val="24"/>
                <w:highlight w:val="none"/>
              </w:rPr>
            </w:pPr>
          </w:p>
        </w:tc>
        <w:tc>
          <w:tcPr>
            <w:tcW w:w="1500" w:type="dxa"/>
          </w:tcPr>
          <w:p>
            <w:pPr>
              <w:spacing w:line="420" w:lineRule="atLeast"/>
              <w:rPr>
                <w:color w:val="auto"/>
                <w:kern w:val="0"/>
                <w:sz w:val="24"/>
                <w:highlight w:val="none"/>
              </w:rPr>
            </w:pPr>
          </w:p>
        </w:tc>
        <w:tc>
          <w:tcPr>
            <w:tcW w:w="799"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3700" w:type="dxa"/>
          </w:tcPr>
          <w:p>
            <w:pPr>
              <w:spacing w:line="420" w:lineRule="atLeast"/>
              <w:rPr>
                <w:color w:val="auto"/>
                <w:kern w:val="0"/>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pPr>
              <w:spacing w:line="420" w:lineRule="atLeast"/>
              <w:rPr>
                <w:color w:val="auto"/>
                <w:kern w:val="0"/>
                <w:sz w:val="24"/>
                <w:highlight w:val="none"/>
              </w:rPr>
            </w:pPr>
          </w:p>
        </w:tc>
        <w:tc>
          <w:tcPr>
            <w:tcW w:w="1500" w:type="dxa"/>
          </w:tcPr>
          <w:p>
            <w:pPr>
              <w:spacing w:line="420" w:lineRule="atLeast"/>
              <w:rPr>
                <w:color w:val="auto"/>
                <w:kern w:val="0"/>
                <w:sz w:val="24"/>
                <w:highlight w:val="none"/>
              </w:rPr>
            </w:pPr>
          </w:p>
        </w:tc>
        <w:tc>
          <w:tcPr>
            <w:tcW w:w="799"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3700" w:type="dxa"/>
          </w:tcPr>
          <w:p>
            <w:pPr>
              <w:spacing w:line="420" w:lineRule="atLeast"/>
              <w:rPr>
                <w:color w:val="auto"/>
                <w:kern w:val="0"/>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restart"/>
          </w:tcPr>
          <w:p>
            <w:pPr>
              <w:spacing w:line="420" w:lineRule="atLeast"/>
              <w:rPr>
                <w:color w:val="auto"/>
                <w:kern w:val="0"/>
                <w:sz w:val="24"/>
                <w:highlight w:val="none"/>
              </w:rPr>
            </w:pPr>
          </w:p>
          <w:p>
            <w:pPr>
              <w:spacing w:line="420" w:lineRule="atLeast"/>
              <w:rPr>
                <w:color w:val="auto"/>
                <w:kern w:val="0"/>
                <w:sz w:val="24"/>
                <w:highlight w:val="none"/>
              </w:rPr>
            </w:pPr>
          </w:p>
          <w:p>
            <w:pPr>
              <w:spacing w:line="420" w:lineRule="atLeast"/>
              <w:rPr>
                <w:color w:val="auto"/>
                <w:kern w:val="0"/>
                <w:sz w:val="24"/>
                <w:highlight w:val="none"/>
              </w:rPr>
            </w:pPr>
            <w:r>
              <w:rPr>
                <w:rFonts w:hAnsi="宋体"/>
                <w:color w:val="auto"/>
                <w:kern w:val="0"/>
                <w:sz w:val="24"/>
                <w:highlight w:val="none"/>
              </w:rPr>
              <w:t>现</w:t>
            </w:r>
          </w:p>
          <w:p>
            <w:pPr>
              <w:spacing w:line="420" w:lineRule="atLeast"/>
              <w:rPr>
                <w:color w:val="auto"/>
                <w:kern w:val="0"/>
                <w:sz w:val="24"/>
                <w:highlight w:val="none"/>
              </w:rPr>
            </w:pPr>
          </w:p>
          <w:p>
            <w:pPr>
              <w:spacing w:line="420" w:lineRule="atLeast"/>
              <w:rPr>
                <w:color w:val="auto"/>
                <w:kern w:val="0"/>
                <w:sz w:val="24"/>
                <w:highlight w:val="none"/>
              </w:rPr>
            </w:pPr>
          </w:p>
          <w:p>
            <w:pPr>
              <w:spacing w:line="420" w:lineRule="atLeast"/>
              <w:rPr>
                <w:color w:val="auto"/>
                <w:kern w:val="0"/>
                <w:sz w:val="24"/>
                <w:highlight w:val="none"/>
              </w:rPr>
            </w:pPr>
            <w:r>
              <w:rPr>
                <w:rFonts w:hAnsi="宋体"/>
                <w:color w:val="auto"/>
                <w:kern w:val="0"/>
                <w:sz w:val="24"/>
                <w:highlight w:val="none"/>
              </w:rPr>
              <w:t>场</w:t>
            </w:r>
          </w:p>
        </w:tc>
        <w:tc>
          <w:tcPr>
            <w:tcW w:w="1500" w:type="dxa"/>
          </w:tcPr>
          <w:p>
            <w:pPr>
              <w:spacing w:line="420" w:lineRule="atLeast"/>
              <w:rPr>
                <w:color w:val="auto"/>
                <w:kern w:val="0"/>
                <w:sz w:val="24"/>
                <w:highlight w:val="none"/>
              </w:rPr>
            </w:pPr>
            <w:r>
              <w:rPr>
                <w:rFonts w:hAnsi="宋体"/>
                <w:color w:val="auto"/>
                <w:kern w:val="0"/>
                <w:sz w:val="24"/>
                <w:highlight w:val="none"/>
              </w:rPr>
              <w:t>项目负责人</w:t>
            </w:r>
          </w:p>
        </w:tc>
        <w:tc>
          <w:tcPr>
            <w:tcW w:w="799"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3700" w:type="dxa"/>
          </w:tcPr>
          <w:p>
            <w:pPr>
              <w:spacing w:line="420" w:lineRule="atLeast"/>
              <w:rPr>
                <w:color w:val="auto"/>
                <w:kern w:val="0"/>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pPr>
              <w:spacing w:line="420" w:lineRule="atLeast"/>
              <w:rPr>
                <w:color w:val="auto"/>
                <w:kern w:val="0"/>
                <w:sz w:val="24"/>
                <w:highlight w:val="none"/>
              </w:rPr>
            </w:pPr>
          </w:p>
        </w:tc>
        <w:tc>
          <w:tcPr>
            <w:tcW w:w="1500" w:type="dxa"/>
          </w:tcPr>
          <w:p>
            <w:pPr>
              <w:spacing w:line="420" w:lineRule="atLeast"/>
              <w:rPr>
                <w:color w:val="auto"/>
                <w:kern w:val="0"/>
                <w:sz w:val="24"/>
                <w:highlight w:val="none"/>
              </w:rPr>
            </w:pPr>
            <w:r>
              <w:rPr>
                <w:rFonts w:hAnsi="宋体"/>
                <w:color w:val="auto"/>
                <w:kern w:val="0"/>
                <w:sz w:val="24"/>
                <w:highlight w:val="none"/>
              </w:rPr>
              <w:t>项目工程师</w:t>
            </w:r>
          </w:p>
        </w:tc>
        <w:tc>
          <w:tcPr>
            <w:tcW w:w="799"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3700" w:type="dxa"/>
          </w:tcPr>
          <w:p>
            <w:pPr>
              <w:spacing w:line="420" w:lineRule="atLeast"/>
              <w:rPr>
                <w:color w:val="auto"/>
                <w:kern w:val="0"/>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pPr>
              <w:spacing w:line="420" w:lineRule="atLeast"/>
              <w:rPr>
                <w:color w:val="auto"/>
                <w:kern w:val="0"/>
                <w:sz w:val="24"/>
                <w:highlight w:val="none"/>
              </w:rPr>
            </w:pPr>
          </w:p>
        </w:tc>
        <w:tc>
          <w:tcPr>
            <w:tcW w:w="1500" w:type="dxa"/>
          </w:tcPr>
          <w:p>
            <w:pPr>
              <w:spacing w:line="420" w:lineRule="atLeast"/>
              <w:rPr>
                <w:color w:val="auto"/>
                <w:kern w:val="0"/>
                <w:sz w:val="24"/>
                <w:highlight w:val="none"/>
              </w:rPr>
            </w:pPr>
            <w:r>
              <w:rPr>
                <w:rFonts w:hAnsi="宋体"/>
                <w:color w:val="auto"/>
                <w:kern w:val="0"/>
                <w:sz w:val="24"/>
                <w:highlight w:val="none"/>
              </w:rPr>
              <w:t>质量管理</w:t>
            </w:r>
          </w:p>
        </w:tc>
        <w:tc>
          <w:tcPr>
            <w:tcW w:w="799"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3700" w:type="dxa"/>
          </w:tcPr>
          <w:p>
            <w:pPr>
              <w:spacing w:line="420" w:lineRule="atLeast"/>
              <w:rPr>
                <w:color w:val="auto"/>
                <w:kern w:val="0"/>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pPr>
              <w:spacing w:line="420" w:lineRule="atLeast"/>
              <w:rPr>
                <w:color w:val="auto"/>
                <w:kern w:val="0"/>
                <w:sz w:val="24"/>
                <w:highlight w:val="none"/>
              </w:rPr>
            </w:pPr>
          </w:p>
        </w:tc>
        <w:tc>
          <w:tcPr>
            <w:tcW w:w="1500" w:type="dxa"/>
          </w:tcPr>
          <w:p>
            <w:pPr>
              <w:spacing w:line="420" w:lineRule="atLeast"/>
              <w:rPr>
                <w:color w:val="auto"/>
                <w:kern w:val="0"/>
                <w:sz w:val="24"/>
                <w:highlight w:val="none"/>
              </w:rPr>
            </w:pPr>
            <w:r>
              <w:rPr>
                <w:rFonts w:hAnsi="宋体"/>
                <w:color w:val="auto"/>
                <w:kern w:val="0"/>
                <w:sz w:val="24"/>
                <w:highlight w:val="none"/>
              </w:rPr>
              <w:t>材料管理</w:t>
            </w:r>
          </w:p>
        </w:tc>
        <w:tc>
          <w:tcPr>
            <w:tcW w:w="799"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3700" w:type="dxa"/>
          </w:tcPr>
          <w:p>
            <w:pPr>
              <w:spacing w:line="420" w:lineRule="atLeast"/>
              <w:rPr>
                <w:color w:val="auto"/>
                <w:kern w:val="0"/>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pPr>
              <w:spacing w:line="420" w:lineRule="atLeast"/>
              <w:rPr>
                <w:color w:val="auto"/>
                <w:kern w:val="0"/>
                <w:sz w:val="24"/>
                <w:highlight w:val="none"/>
              </w:rPr>
            </w:pPr>
          </w:p>
        </w:tc>
        <w:tc>
          <w:tcPr>
            <w:tcW w:w="1500" w:type="dxa"/>
          </w:tcPr>
          <w:p>
            <w:pPr>
              <w:spacing w:line="420" w:lineRule="atLeast"/>
              <w:rPr>
                <w:color w:val="auto"/>
                <w:kern w:val="0"/>
                <w:sz w:val="24"/>
                <w:highlight w:val="none"/>
              </w:rPr>
            </w:pPr>
            <w:r>
              <w:rPr>
                <w:rFonts w:hAnsi="宋体"/>
                <w:color w:val="auto"/>
                <w:kern w:val="0"/>
                <w:sz w:val="24"/>
                <w:highlight w:val="none"/>
              </w:rPr>
              <w:t>安全管理</w:t>
            </w:r>
          </w:p>
        </w:tc>
        <w:tc>
          <w:tcPr>
            <w:tcW w:w="799"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3700" w:type="dxa"/>
          </w:tcPr>
          <w:p>
            <w:pPr>
              <w:spacing w:line="420" w:lineRule="atLeast"/>
              <w:rPr>
                <w:color w:val="auto"/>
                <w:kern w:val="0"/>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pPr>
              <w:spacing w:line="420" w:lineRule="atLeast"/>
              <w:rPr>
                <w:color w:val="auto"/>
                <w:kern w:val="0"/>
                <w:sz w:val="24"/>
                <w:highlight w:val="none"/>
              </w:rPr>
            </w:pPr>
          </w:p>
        </w:tc>
        <w:tc>
          <w:tcPr>
            <w:tcW w:w="1500" w:type="dxa"/>
          </w:tcPr>
          <w:p>
            <w:pPr>
              <w:spacing w:line="420" w:lineRule="atLeast"/>
              <w:rPr>
                <w:color w:val="auto"/>
                <w:kern w:val="0"/>
                <w:sz w:val="24"/>
                <w:highlight w:val="none"/>
              </w:rPr>
            </w:pPr>
            <w:r>
              <w:rPr>
                <w:rFonts w:hAnsi="宋体"/>
                <w:color w:val="auto"/>
                <w:kern w:val="0"/>
                <w:sz w:val="24"/>
                <w:highlight w:val="none"/>
              </w:rPr>
              <w:t>计划管理</w:t>
            </w:r>
          </w:p>
        </w:tc>
        <w:tc>
          <w:tcPr>
            <w:tcW w:w="799"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3700" w:type="dxa"/>
          </w:tcPr>
          <w:p>
            <w:pPr>
              <w:spacing w:line="420" w:lineRule="atLeast"/>
              <w:rPr>
                <w:color w:val="auto"/>
                <w:kern w:val="0"/>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pPr>
              <w:spacing w:line="420" w:lineRule="atLeast"/>
              <w:rPr>
                <w:color w:val="auto"/>
                <w:kern w:val="0"/>
                <w:sz w:val="24"/>
                <w:highlight w:val="none"/>
              </w:rPr>
            </w:pPr>
          </w:p>
        </w:tc>
        <w:tc>
          <w:tcPr>
            <w:tcW w:w="1500" w:type="dxa"/>
          </w:tcPr>
          <w:p>
            <w:pPr>
              <w:spacing w:line="420" w:lineRule="atLeast"/>
              <w:rPr>
                <w:color w:val="auto"/>
                <w:kern w:val="0"/>
                <w:sz w:val="24"/>
                <w:highlight w:val="none"/>
              </w:rPr>
            </w:pPr>
          </w:p>
        </w:tc>
        <w:tc>
          <w:tcPr>
            <w:tcW w:w="799"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3700" w:type="dxa"/>
          </w:tcPr>
          <w:p>
            <w:pPr>
              <w:spacing w:line="420" w:lineRule="atLeast"/>
              <w:rPr>
                <w:color w:val="auto"/>
                <w:kern w:val="0"/>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pPr>
              <w:spacing w:line="420" w:lineRule="atLeast"/>
              <w:rPr>
                <w:color w:val="auto"/>
                <w:kern w:val="0"/>
                <w:sz w:val="24"/>
                <w:highlight w:val="none"/>
              </w:rPr>
            </w:pPr>
          </w:p>
        </w:tc>
        <w:tc>
          <w:tcPr>
            <w:tcW w:w="1500" w:type="dxa"/>
          </w:tcPr>
          <w:p>
            <w:pPr>
              <w:spacing w:line="420" w:lineRule="atLeast"/>
              <w:rPr>
                <w:color w:val="auto"/>
                <w:kern w:val="0"/>
                <w:sz w:val="24"/>
                <w:highlight w:val="none"/>
              </w:rPr>
            </w:pPr>
          </w:p>
        </w:tc>
        <w:tc>
          <w:tcPr>
            <w:tcW w:w="799"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3700" w:type="dxa"/>
          </w:tcPr>
          <w:p>
            <w:pPr>
              <w:spacing w:line="420" w:lineRule="atLeast"/>
              <w:rPr>
                <w:color w:val="auto"/>
                <w:kern w:val="0"/>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08" w:type="dxa"/>
            <w:vMerge w:val="continue"/>
          </w:tcPr>
          <w:p>
            <w:pPr>
              <w:spacing w:line="420" w:lineRule="atLeast"/>
              <w:rPr>
                <w:color w:val="auto"/>
                <w:kern w:val="0"/>
                <w:sz w:val="24"/>
                <w:highlight w:val="none"/>
              </w:rPr>
            </w:pPr>
          </w:p>
        </w:tc>
        <w:tc>
          <w:tcPr>
            <w:tcW w:w="1500" w:type="dxa"/>
          </w:tcPr>
          <w:p>
            <w:pPr>
              <w:spacing w:line="420" w:lineRule="atLeast"/>
              <w:rPr>
                <w:color w:val="auto"/>
                <w:kern w:val="0"/>
                <w:sz w:val="24"/>
                <w:highlight w:val="none"/>
              </w:rPr>
            </w:pPr>
          </w:p>
        </w:tc>
        <w:tc>
          <w:tcPr>
            <w:tcW w:w="799"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800" w:type="dxa"/>
          </w:tcPr>
          <w:p>
            <w:pPr>
              <w:spacing w:line="420" w:lineRule="atLeast"/>
              <w:rPr>
                <w:color w:val="auto"/>
                <w:kern w:val="0"/>
                <w:sz w:val="24"/>
                <w:highlight w:val="none"/>
              </w:rPr>
            </w:pPr>
          </w:p>
        </w:tc>
        <w:tc>
          <w:tcPr>
            <w:tcW w:w="3700" w:type="dxa"/>
          </w:tcPr>
          <w:p>
            <w:pPr>
              <w:spacing w:line="420" w:lineRule="atLeast"/>
              <w:jc w:val="center"/>
              <w:rPr>
                <w:color w:val="auto"/>
                <w:kern w:val="0"/>
                <w:sz w:val="24"/>
                <w:highlight w:val="none"/>
              </w:rPr>
            </w:pPr>
          </w:p>
        </w:tc>
      </w:tr>
    </w:tbl>
    <w:p>
      <w:pPr>
        <w:spacing w:line="420" w:lineRule="atLeast"/>
        <w:rPr>
          <w:color w:val="auto"/>
          <w:sz w:val="24"/>
          <w:highlight w:val="none"/>
        </w:rPr>
      </w:pPr>
    </w:p>
    <w:p>
      <w:pPr>
        <w:spacing w:line="420" w:lineRule="atLeast"/>
        <w:rPr>
          <w:color w:val="auto"/>
          <w:sz w:val="24"/>
          <w:highlight w:val="none"/>
        </w:rPr>
      </w:pPr>
    </w:p>
    <w:p>
      <w:pPr>
        <w:spacing w:line="420" w:lineRule="atLeast"/>
        <w:rPr>
          <w:color w:val="auto"/>
          <w:sz w:val="24"/>
          <w:highlight w:val="none"/>
        </w:rPr>
      </w:pPr>
    </w:p>
    <w:p>
      <w:pPr>
        <w:spacing w:line="420" w:lineRule="atLeast"/>
        <w:rPr>
          <w:color w:val="auto"/>
          <w:sz w:val="24"/>
          <w:highlight w:val="none"/>
        </w:rPr>
      </w:pPr>
    </w:p>
    <w:p>
      <w:pPr>
        <w:spacing w:line="420" w:lineRule="atLeast"/>
        <w:rPr>
          <w:color w:val="auto"/>
          <w:sz w:val="24"/>
          <w:highlight w:val="none"/>
        </w:rPr>
      </w:pPr>
    </w:p>
    <w:p>
      <w:pPr>
        <w:spacing w:line="420" w:lineRule="atLeast"/>
        <w:rPr>
          <w:color w:val="auto"/>
          <w:sz w:val="24"/>
          <w:highlight w:val="none"/>
        </w:rPr>
      </w:pPr>
    </w:p>
    <w:p>
      <w:pPr>
        <w:spacing w:line="420" w:lineRule="atLeast"/>
        <w:rPr>
          <w:color w:val="auto"/>
          <w:sz w:val="24"/>
          <w:highlight w:val="none"/>
        </w:rPr>
      </w:pPr>
    </w:p>
    <w:p>
      <w:pPr>
        <w:spacing w:line="420" w:lineRule="atLeast"/>
        <w:rPr>
          <w:color w:val="auto"/>
          <w:sz w:val="24"/>
          <w:highlight w:val="none"/>
        </w:rPr>
      </w:pPr>
    </w:p>
    <w:p>
      <w:pPr>
        <w:spacing w:line="420" w:lineRule="atLeast"/>
        <w:rPr>
          <w:color w:val="auto"/>
          <w:sz w:val="24"/>
          <w:highlight w:val="none"/>
        </w:rPr>
      </w:pPr>
    </w:p>
    <w:p>
      <w:pPr>
        <w:spacing w:line="420" w:lineRule="atLeast"/>
        <w:rPr>
          <w:color w:val="auto"/>
          <w:sz w:val="24"/>
          <w:highlight w:val="none"/>
        </w:rPr>
      </w:pPr>
    </w:p>
    <w:p>
      <w:pPr>
        <w:spacing w:line="420" w:lineRule="atLeast"/>
        <w:rPr>
          <w:color w:val="auto"/>
          <w:sz w:val="24"/>
          <w:highlight w:val="none"/>
        </w:rPr>
      </w:pPr>
    </w:p>
    <w:p>
      <w:pPr>
        <w:spacing w:line="420" w:lineRule="atLeast"/>
        <w:rPr>
          <w:color w:val="auto"/>
          <w:sz w:val="24"/>
          <w:highlight w:val="none"/>
        </w:rPr>
      </w:pPr>
    </w:p>
    <w:p>
      <w:pPr>
        <w:adjustRightInd w:val="0"/>
        <w:snapToGrid w:val="0"/>
        <w:spacing w:line="440" w:lineRule="exact"/>
        <w:rPr>
          <w:rFonts w:hAnsi="宋体"/>
          <w:color w:val="auto"/>
          <w:kern w:val="0"/>
          <w:sz w:val="44"/>
          <w:szCs w:val="44"/>
          <w:highlight w:val="none"/>
        </w:rPr>
      </w:pPr>
    </w:p>
    <w:p>
      <w:pPr>
        <w:jc w:val="right"/>
        <w:rPr>
          <w:color w:val="auto"/>
          <w:szCs w:val="21"/>
          <w:highlight w:val="none"/>
        </w:rPr>
      </w:pPr>
    </w:p>
    <w:p>
      <w:pPr>
        <w:pStyle w:val="77"/>
        <w:spacing w:line="420" w:lineRule="atLeast"/>
        <w:rPr>
          <w:b/>
          <w:bCs/>
          <w:color w:val="auto"/>
          <w:sz w:val="44"/>
          <w:szCs w:val="32"/>
          <w:highlight w:val="none"/>
        </w:rPr>
      </w:pPr>
      <w:bookmarkStart w:id="587" w:name="_Toc465181339"/>
      <w:bookmarkStart w:id="588" w:name="_Toc404159964"/>
      <w:r>
        <w:rPr>
          <w:rFonts w:hAnsi="宋体"/>
          <w:b/>
          <w:bCs/>
          <w:color w:val="auto"/>
          <w:sz w:val="44"/>
          <w:szCs w:val="32"/>
          <w:highlight w:val="none"/>
        </w:rPr>
        <w:t>第七章</w:t>
      </w:r>
      <w:bookmarkStart w:id="589" w:name="_Toc288209286"/>
      <w:bookmarkStart w:id="590" w:name="_Toc288889655"/>
      <w:bookmarkStart w:id="591" w:name="_Toc262456721"/>
      <w:r>
        <w:rPr>
          <w:rFonts w:hint="eastAsia" w:hAnsi="宋体"/>
          <w:b/>
          <w:bCs/>
          <w:color w:val="auto"/>
          <w:sz w:val="44"/>
          <w:szCs w:val="32"/>
          <w:highlight w:val="none"/>
        </w:rPr>
        <w:t xml:space="preserve"> </w:t>
      </w:r>
      <w:r>
        <w:rPr>
          <w:rFonts w:hAnsi="宋体"/>
          <w:b/>
          <w:bCs/>
          <w:color w:val="auto"/>
          <w:sz w:val="44"/>
          <w:szCs w:val="32"/>
          <w:highlight w:val="none"/>
        </w:rPr>
        <w:t>资格审查证明材料</w:t>
      </w:r>
      <w:bookmarkEnd w:id="587"/>
      <w:bookmarkEnd w:id="588"/>
      <w:bookmarkEnd w:id="589"/>
      <w:bookmarkEnd w:id="590"/>
      <w:bookmarkEnd w:id="591"/>
    </w:p>
    <w:p>
      <w:pPr>
        <w:spacing w:line="360" w:lineRule="auto"/>
        <w:ind w:firstLine="480"/>
        <w:rPr>
          <w:color w:val="auto"/>
          <w:sz w:val="25"/>
          <w:highlight w:val="none"/>
        </w:rPr>
      </w:pPr>
    </w:p>
    <w:p>
      <w:pPr>
        <w:spacing w:line="360" w:lineRule="auto"/>
        <w:ind w:firstLine="480"/>
        <w:rPr>
          <w:color w:val="auto"/>
          <w:sz w:val="25"/>
          <w:highlight w:val="none"/>
        </w:rPr>
      </w:pPr>
      <w:r>
        <w:rPr>
          <w:rFonts w:hAnsi="宋体"/>
          <w:color w:val="auto"/>
          <w:sz w:val="25"/>
          <w:highlight w:val="none"/>
        </w:rPr>
        <w:t>一、资格证明材料：见本招标文件第一章</w:t>
      </w:r>
      <w:r>
        <w:rPr>
          <w:color w:val="auto"/>
          <w:sz w:val="25"/>
          <w:highlight w:val="none"/>
        </w:rPr>
        <w:t>9.2</w:t>
      </w:r>
      <w:r>
        <w:rPr>
          <w:rFonts w:hAnsi="宋体"/>
          <w:color w:val="auto"/>
          <w:sz w:val="25"/>
          <w:highlight w:val="none"/>
        </w:rPr>
        <w:t>、</w:t>
      </w:r>
      <w:r>
        <w:rPr>
          <w:color w:val="auto"/>
          <w:sz w:val="25"/>
          <w:highlight w:val="none"/>
        </w:rPr>
        <w:t>9.3</w:t>
      </w:r>
      <w:r>
        <w:rPr>
          <w:rFonts w:hAnsi="宋体"/>
          <w:color w:val="auto"/>
          <w:sz w:val="25"/>
          <w:highlight w:val="none"/>
        </w:rPr>
        <w:t>条。</w:t>
      </w:r>
    </w:p>
    <w:p>
      <w:pPr>
        <w:spacing w:line="360" w:lineRule="auto"/>
        <w:ind w:firstLine="480"/>
        <w:rPr>
          <w:color w:val="auto"/>
          <w:sz w:val="25"/>
          <w:highlight w:val="none"/>
        </w:rPr>
      </w:pPr>
      <w:r>
        <w:rPr>
          <w:rFonts w:hAnsi="宋体"/>
          <w:color w:val="auto"/>
          <w:sz w:val="25"/>
          <w:highlight w:val="none"/>
        </w:rPr>
        <w:t>二、资格审查材料封面及相关表格如下：</w:t>
      </w: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widowControl/>
        <w:spacing w:line="460" w:lineRule="exact"/>
        <w:ind w:firstLine="480" w:firstLineChars="200"/>
        <w:jc w:val="left"/>
        <w:rPr>
          <w:color w:val="auto"/>
          <w:kern w:val="0"/>
          <w:sz w:val="24"/>
          <w:highlight w:val="none"/>
        </w:rPr>
      </w:pPr>
    </w:p>
    <w:p>
      <w:pPr>
        <w:spacing w:line="360" w:lineRule="auto"/>
        <w:rPr>
          <w:color w:val="auto"/>
          <w:kern w:val="0"/>
          <w:sz w:val="24"/>
          <w:highlight w:val="none"/>
        </w:rPr>
      </w:pPr>
    </w:p>
    <w:p>
      <w:pPr>
        <w:spacing w:line="360" w:lineRule="auto"/>
        <w:rPr>
          <w:color w:val="auto"/>
          <w:kern w:val="0"/>
          <w:sz w:val="24"/>
          <w:highlight w:val="none"/>
        </w:rPr>
      </w:pPr>
    </w:p>
    <w:p>
      <w:pPr>
        <w:spacing w:line="360" w:lineRule="auto"/>
        <w:jc w:val="center"/>
        <w:rPr>
          <w:color w:val="auto"/>
          <w:sz w:val="44"/>
          <w:szCs w:val="44"/>
          <w:highlight w:val="none"/>
        </w:rPr>
      </w:pPr>
      <w:r>
        <w:rPr>
          <w:rFonts w:hAnsi="宋体"/>
          <w:color w:val="auto"/>
          <w:sz w:val="44"/>
          <w:szCs w:val="44"/>
          <w:highlight w:val="none"/>
        </w:rPr>
        <w:t>封面</w:t>
      </w:r>
    </w:p>
    <w:p>
      <w:pPr>
        <w:spacing w:line="360" w:lineRule="auto"/>
        <w:rPr>
          <w:color w:val="auto"/>
          <w:szCs w:val="21"/>
          <w:highlight w:val="none"/>
        </w:rPr>
      </w:pPr>
    </w:p>
    <w:p>
      <w:pPr>
        <w:spacing w:line="360" w:lineRule="auto"/>
        <w:rPr>
          <w:color w:val="auto"/>
          <w:szCs w:val="21"/>
          <w:highlight w:val="none"/>
        </w:rPr>
      </w:pPr>
    </w:p>
    <w:p>
      <w:pPr>
        <w:spacing w:line="360" w:lineRule="auto"/>
        <w:ind w:firstLine="1234" w:firstLineChars="343"/>
        <w:rPr>
          <w:rFonts w:ascii="宋体" w:hAnsi="宋体"/>
          <w:color w:val="auto"/>
          <w:sz w:val="36"/>
          <w:highlight w:val="none"/>
        </w:rPr>
      </w:pPr>
      <w:r>
        <w:rPr>
          <w:rFonts w:hint="eastAsia" w:ascii="宋体" w:hAnsi="宋体"/>
          <w:color w:val="auto"/>
          <w:sz w:val="36"/>
          <w:highlight w:val="none"/>
          <w:u w:val="single"/>
        </w:rPr>
        <w:t xml:space="preserve">                </w:t>
      </w:r>
      <w:r>
        <w:rPr>
          <w:rFonts w:hint="eastAsia" w:ascii="宋体" w:hAnsi="宋体"/>
          <w:color w:val="auto"/>
          <w:sz w:val="36"/>
          <w:highlight w:val="none"/>
        </w:rPr>
        <w:t>（项目名称）施工招标</w:t>
      </w:r>
    </w:p>
    <w:p>
      <w:pPr>
        <w:jc w:val="center"/>
        <w:rPr>
          <w:rFonts w:ascii="宋体" w:hAnsi="宋体"/>
          <w:color w:val="auto"/>
          <w:sz w:val="52"/>
          <w:szCs w:val="52"/>
          <w:highlight w:val="none"/>
        </w:rPr>
      </w:pPr>
      <w:bookmarkStart w:id="592" w:name="_Toc288209287"/>
      <w:bookmarkStart w:id="593" w:name="_Toc262456722"/>
      <w:bookmarkStart w:id="594" w:name="_Toc288889656"/>
    </w:p>
    <w:p>
      <w:pPr>
        <w:jc w:val="center"/>
        <w:rPr>
          <w:rFonts w:ascii="宋体" w:hAnsi="宋体"/>
          <w:color w:val="auto"/>
          <w:sz w:val="52"/>
          <w:szCs w:val="52"/>
          <w:highlight w:val="none"/>
        </w:rPr>
      </w:pPr>
    </w:p>
    <w:p>
      <w:pPr>
        <w:jc w:val="center"/>
        <w:rPr>
          <w:rFonts w:ascii="宋体" w:hAnsi="宋体"/>
          <w:color w:val="auto"/>
          <w:sz w:val="52"/>
          <w:szCs w:val="52"/>
          <w:highlight w:val="none"/>
        </w:rPr>
      </w:pPr>
    </w:p>
    <w:bookmarkEnd w:id="592"/>
    <w:bookmarkEnd w:id="593"/>
    <w:bookmarkEnd w:id="594"/>
    <w:p>
      <w:pPr>
        <w:jc w:val="center"/>
        <w:rPr>
          <w:rFonts w:ascii="宋体" w:hAnsi="宋体"/>
          <w:color w:val="auto"/>
          <w:sz w:val="52"/>
          <w:szCs w:val="52"/>
          <w:highlight w:val="none"/>
        </w:rPr>
      </w:pPr>
      <w:r>
        <w:rPr>
          <w:rFonts w:hint="eastAsia" w:ascii="宋体" w:hAnsi="宋体"/>
          <w:color w:val="auto"/>
          <w:sz w:val="52"/>
          <w:szCs w:val="52"/>
          <w:highlight w:val="none"/>
        </w:rPr>
        <w:t>资格审查资料包</w:t>
      </w:r>
    </w:p>
    <w:p>
      <w:pPr>
        <w:spacing w:line="360" w:lineRule="auto"/>
        <w:ind w:firstLine="1920"/>
        <w:rPr>
          <w:rFonts w:ascii="宋体" w:hAnsi="宋体"/>
          <w:color w:val="auto"/>
          <w:sz w:val="32"/>
          <w:highlight w:val="none"/>
        </w:rPr>
      </w:pPr>
      <w:r>
        <w:rPr>
          <w:rFonts w:hint="eastAsia" w:ascii="宋体" w:hAnsi="宋体"/>
          <w:color w:val="auto"/>
          <w:sz w:val="32"/>
          <w:highlight w:val="none"/>
        </w:rPr>
        <w:t xml:space="preserve">    </w:t>
      </w:r>
    </w:p>
    <w:p>
      <w:pPr>
        <w:adjustRightInd w:val="0"/>
        <w:snapToGrid w:val="0"/>
        <w:spacing w:line="360" w:lineRule="auto"/>
        <w:rPr>
          <w:rFonts w:ascii="宋体" w:hAnsi="宋体"/>
          <w:color w:val="auto"/>
          <w:sz w:val="24"/>
          <w:highlight w:val="none"/>
        </w:rPr>
      </w:pPr>
    </w:p>
    <w:p>
      <w:pPr>
        <w:adjustRightInd w:val="0"/>
        <w:snapToGrid w:val="0"/>
        <w:spacing w:line="360" w:lineRule="auto"/>
        <w:rPr>
          <w:rFonts w:ascii="宋体" w:hAnsi="宋体"/>
          <w:color w:val="auto"/>
          <w:sz w:val="10"/>
          <w:highlight w:val="none"/>
        </w:rPr>
      </w:pPr>
      <w:r>
        <w:rPr>
          <w:rFonts w:hint="eastAsia" w:ascii="宋体" w:hAnsi="宋体"/>
          <w:color w:val="auto"/>
          <w:sz w:val="32"/>
          <w:highlight w:val="none"/>
        </w:rPr>
        <w:t xml:space="preserve">              </w:t>
      </w:r>
    </w:p>
    <w:p>
      <w:pPr>
        <w:adjustRightInd w:val="0"/>
        <w:snapToGrid w:val="0"/>
        <w:spacing w:line="360" w:lineRule="auto"/>
        <w:jc w:val="center"/>
        <w:rPr>
          <w:rFonts w:ascii="宋体" w:hAnsi="宋体"/>
          <w:color w:val="auto"/>
          <w:sz w:val="32"/>
          <w:highlight w:val="none"/>
        </w:rPr>
      </w:pPr>
    </w:p>
    <w:p>
      <w:pPr>
        <w:adjustRightInd w:val="0"/>
        <w:snapToGrid w:val="0"/>
        <w:spacing w:line="360" w:lineRule="auto"/>
        <w:jc w:val="center"/>
        <w:rPr>
          <w:rFonts w:ascii="宋体" w:hAnsi="宋体"/>
          <w:color w:val="auto"/>
          <w:sz w:val="32"/>
          <w:highlight w:val="none"/>
        </w:rPr>
      </w:pPr>
    </w:p>
    <w:p>
      <w:pPr>
        <w:adjustRightInd w:val="0"/>
        <w:snapToGrid w:val="0"/>
        <w:spacing w:line="360" w:lineRule="auto"/>
        <w:jc w:val="center"/>
        <w:rPr>
          <w:rFonts w:ascii="宋体" w:hAnsi="宋体"/>
          <w:color w:val="auto"/>
          <w:sz w:val="32"/>
          <w:highlight w:val="none"/>
        </w:rPr>
      </w:pPr>
    </w:p>
    <w:p>
      <w:pPr>
        <w:adjustRightInd w:val="0"/>
        <w:snapToGrid w:val="0"/>
        <w:spacing w:line="360" w:lineRule="auto"/>
        <w:ind w:firstLine="964" w:firstLineChars="300"/>
        <w:rPr>
          <w:rFonts w:ascii="宋体" w:hAnsi="宋体"/>
          <w:b/>
          <w:color w:val="auto"/>
          <w:sz w:val="32"/>
          <w:highlight w:val="none"/>
          <w:u w:val="single"/>
        </w:rPr>
      </w:pPr>
      <w:r>
        <w:rPr>
          <w:rFonts w:hint="eastAsia" w:ascii="宋体" w:hAnsi="宋体"/>
          <w:b/>
          <w:color w:val="auto"/>
          <w:sz w:val="32"/>
          <w:highlight w:val="none"/>
        </w:rPr>
        <w:t xml:space="preserve">投标人： </w:t>
      </w:r>
      <w:r>
        <w:rPr>
          <w:rFonts w:hint="eastAsia" w:ascii="宋体" w:hAnsi="宋体"/>
          <w:b/>
          <w:color w:val="auto"/>
          <w:sz w:val="32"/>
          <w:highlight w:val="none"/>
          <w:u w:val="single"/>
        </w:rPr>
        <w:t xml:space="preserve">                         （盖章）</w:t>
      </w:r>
    </w:p>
    <w:p>
      <w:pPr>
        <w:adjustRightInd w:val="0"/>
        <w:snapToGrid w:val="0"/>
        <w:spacing w:line="360" w:lineRule="auto"/>
        <w:ind w:firstLine="1680"/>
        <w:rPr>
          <w:rFonts w:ascii="宋体" w:hAnsi="宋体"/>
          <w:b/>
          <w:color w:val="auto"/>
          <w:sz w:val="18"/>
          <w:szCs w:val="18"/>
          <w:highlight w:val="none"/>
        </w:rPr>
      </w:pPr>
      <w:r>
        <w:rPr>
          <w:rFonts w:hint="eastAsia" w:ascii="宋体" w:hAnsi="宋体"/>
          <w:b/>
          <w:color w:val="auto"/>
          <w:sz w:val="32"/>
          <w:highlight w:val="none"/>
        </w:rPr>
        <w:t xml:space="preserve"> </w:t>
      </w:r>
    </w:p>
    <w:p>
      <w:pPr>
        <w:adjustRightInd w:val="0"/>
        <w:snapToGrid w:val="0"/>
        <w:spacing w:line="360" w:lineRule="auto"/>
        <w:ind w:firstLine="964" w:firstLineChars="300"/>
        <w:rPr>
          <w:rFonts w:ascii="宋体" w:hAnsi="宋体"/>
          <w:b/>
          <w:color w:val="auto"/>
          <w:sz w:val="32"/>
          <w:highlight w:val="none"/>
          <w:u w:val="single"/>
        </w:rPr>
      </w:pPr>
      <w:r>
        <w:rPr>
          <w:rFonts w:hint="eastAsia" w:ascii="宋体" w:hAnsi="宋体"/>
          <w:b/>
          <w:color w:val="auto"/>
          <w:sz w:val="32"/>
          <w:highlight w:val="none"/>
        </w:rPr>
        <w:t xml:space="preserve">法定代表人或其委托代理人：  </w:t>
      </w:r>
      <w:r>
        <w:rPr>
          <w:rFonts w:hint="eastAsia" w:ascii="宋体" w:hAnsi="宋体"/>
          <w:b/>
          <w:color w:val="auto"/>
          <w:sz w:val="32"/>
          <w:highlight w:val="none"/>
          <w:u w:val="single"/>
        </w:rPr>
        <w:t>（签字或盖章）</w:t>
      </w:r>
    </w:p>
    <w:p>
      <w:pPr>
        <w:adjustRightInd w:val="0"/>
        <w:snapToGrid w:val="0"/>
        <w:spacing w:line="360" w:lineRule="auto"/>
        <w:jc w:val="center"/>
        <w:rPr>
          <w:rFonts w:ascii="宋体" w:hAnsi="宋体"/>
          <w:b/>
          <w:color w:val="auto"/>
          <w:sz w:val="18"/>
          <w:szCs w:val="18"/>
          <w:highlight w:val="none"/>
        </w:rPr>
      </w:pPr>
    </w:p>
    <w:p>
      <w:pPr>
        <w:adjustRightInd w:val="0"/>
        <w:snapToGrid w:val="0"/>
        <w:spacing w:line="360" w:lineRule="auto"/>
        <w:rPr>
          <w:rFonts w:ascii="宋体" w:hAnsi="宋体"/>
          <w:b/>
          <w:color w:val="auto"/>
          <w:sz w:val="32"/>
          <w:highlight w:val="none"/>
          <w:u w:val="single"/>
        </w:rPr>
      </w:pPr>
      <w:r>
        <w:rPr>
          <w:rFonts w:hint="eastAsia" w:ascii="宋体" w:hAnsi="宋体"/>
          <w:b/>
          <w:color w:val="auto"/>
          <w:sz w:val="32"/>
          <w:highlight w:val="none"/>
        </w:rPr>
        <w:t xml:space="preserve">      地址：</w:t>
      </w:r>
      <w:r>
        <w:rPr>
          <w:rFonts w:hint="eastAsia" w:ascii="宋体" w:hAnsi="宋体"/>
          <w:b/>
          <w:color w:val="auto"/>
          <w:sz w:val="32"/>
          <w:highlight w:val="none"/>
          <w:u w:val="single"/>
        </w:rPr>
        <w:t xml:space="preserve">                                   </w:t>
      </w:r>
    </w:p>
    <w:p>
      <w:pPr>
        <w:spacing w:line="360" w:lineRule="auto"/>
        <w:rPr>
          <w:rFonts w:ascii="宋体" w:hAnsi="宋体"/>
          <w:b/>
          <w:color w:val="auto"/>
          <w:sz w:val="18"/>
          <w:szCs w:val="18"/>
          <w:highlight w:val="none"/>
        </w:rPr>
      </w:pPr>
      <w:r>
        <w:rPr>
          <w:rFonts w:hint="eastAsia" w:ascii="宋体" w:hAnsi="宋体"/>
          <w:b/>
          <w:color w:val="auto"/>
          <w:sz w:val="32"/>
          <w:highlight w:val="none"/>
        </w:rPr>
        <w:t xml:space="preserve">            </w:t>
      </w:r>
    </w:p>
    <w:p>
      <w:pPr>
        <w:spacing w:line="360" w:lineRule="auto"/>
        <w:ind w:firstLine="964" w:firstLineChars="300"/>
        <w:rPr>
          <w:rFonts w:ascii="宋体" w:hAnsi="宋体"/>
          <w:color w:val="auto"/>
          <w:sz w:val="30"/>
          <w:highlight w:val="none"/>
        </w:rPr>
      </w:pPr>
      <w:r>
        <w:rPr>
          <w:rFonts w:hint="eastAsia" w:ascii="宋体" w:hAnsi="宋体"/>
          <w:b/>
          <w:color w:val="auto"/>
          <w:sz w:val="32"/>
          <w:highlight w:val="none"/>
        </w:rPr>
        <w:t>日期：</w:t>
      </w:r>
      <w:r>
        <w:rPr>
          <w:rFonts w:hint="eastAsia" w:ascii="宋体" w:hAnsi="宋体"/>
          <w:b/>
          <w:color w:val="auto"/>
          <w:sz w:val="32"/>
          <w:highlight w:val="none"/>
          <w:u w:val="single"/>
        </w:rPr>
        <w:t xml:space="preserve">         </w:t>
      </w:r>
      <w:r>
        <w:rPr>
          <w:rFonts w:hint="eastAsia" w:ascii="宋体" w:hAnsi="宋体"/>
          <w:b/>
          <w:color w:val="auto"/>
          <w:sz w:val="32"/>
          <w:highlight w:val="none"/>
        </w:rPr>
        <w:t>年</w:t>
      </w:r>
      <w:r>
        <w:rPr>
          <w:rFonts w:hint="eastAsia" w:ascii="宋体" w:hAnsi="宋体"/>
          <w:b/>
          <w:color w:val="auto"/>
          <w:sz w:val="32"/>
          <w:highlight w:val="none"/>
          <w:u w:val="single"/>
        </w:rPr>
        <w:t xml:space="preserve">          </w:t>
      </w:r>
      <w:r>
        <w:rPr>
          <w:rFonts w:hint="eastAsia" w:ascii="宋体" w:hAnsi="宋体"/>
          <w:b/>
          <w:color w:val="auto"/>
          <w:sz w:val="32"/>
          <w:highlight w:val="none"/>
        </w:rPr>
        <w:t>月</w:t>
      </w:r>
      <w:r>
        <w:rPr>
          <w:rFonts w:hint="eastAsia" w:ascii="宋体" w:hAnsi="宋体"/>
          <w:b/>
          <w:color w:val="auto"/>
          <w:sz w:val="32"/>
          <w:highlight w:val="none"/>
          <w:u w:val="single"/>
        </w:rPr>
        <w:t xml:space="preserve">          </w:t>
      </w:r>
      <w:r>
        <w:rPr>
          <w:rFonts w:hint="eastAsia" w:ascii="宋体" w:hAnsi="宋体"/>
          <w:b/>
          <w:color w:val="auto"/>
          <w:sz w:val="32"/>
          <w:highlight w:val="none"/>
        </w:rPr>
        <w:t>日</w:t>
      </w:r>
      <w:r>
        <w:rPr>
          <w:rFonts w:hint="eastAsia" w:ascii="宋体" w:hAnsi="宋体"/>
          <w:color w:val="auto"/>
          <w:sz w:val="30"/>
          <w:highlight w:val="none"/>
        </w:rPr>
        <w:t xml:space="preserve"> </w:t>
      </w:r>
    </w:p>
    <w:p>
      <w:pPr>
        <w:spacing w:line="360" w:lineRule="auto"/>
        <w:ind w:firstLine="1084" w:firstLineChars="300"/>
        <w:rPr>
          <w:rFonts w:ascii="宋体" w:hAnsi="宋体"/>
          <w:b/>
          <w:color w:val="auto"/>
          <w:sz w:val="36"/>
          <w:highlight w:val="none"/>
        </w:rPr>
      </w:pPr>
    </w:p>
    <w:p>
      <w:pPr>
        <w:rPr>
          <w:rFonts w:hAnsi="宋体"/>
          <w:color w:val="auto"/>
          <w:sz w:val="28"/>
          <w:szCs w:val="28"/>
          <w:highlight w:val="none"/>
        </w:rPr>
      </w:pPr>
      <w:r>
        <w:rPr>
          <w:rFonts w:hAnsi="宋体"/>
          <w:color w:val="auto"/>
          <w:sz w:val="28"/>
          <w:szCs w:val="28"/>
          <w:highlight w:val="none"/>
        </w:rPr>
        <w:br w:type="page"/>
      </w:r>
    </w:p>
    <w:p>
      <w:pPr>
        <w:pStyle w:val="14"/>
        <w:spacing w:line="360" w:lineRule="auto"/>
        <w:ind w:firstLine="0"/>
        <w:jc w:val="center"/>
        <w:outlineLvl w:val="1"/>
        <w:rPr>
          <w:color w:val="auto"/>
          <w:sz w:val="32"/>
          <w:highlight w:val="none"/>
        </w:rPr>
      </w:pPr>
      <w:r>
        <w:rPr>
          <w:rFonts w:hAnsi="宋体"/>
          <w:color w:val="auto"/>
          <w:sz w:val="28"/>
          <w:szCs w:val="28"/>
          <w:highlight w:val="none"/>
        </w:rPr>
        <w:t>法定代表人身份证明</w:t>
      </w:r>
    </w:p>
    <w:p>
      <w:pPr>
        <w:pStyle w:val="14"/>
        <w:snapToGrid w:val="0"/>
        <w:spacing w:line="440" w:lineRule="exact"/>
        <w:ind w:firstLine="0"/>
        <w:rPr>
          <w:color w:val="auto"/>
          <w:sz w:val="30"/>
          <w:highlight w:val="none"/>
        </w:rPr>
      </w:pPr>
    </w:p>
    <w:p>
      <w:pPr>
        <w:pStyle w:val="14"/>
        <w:snapToGrid w:val="0"/>
        <w:spacing w:line="440" w:lineRule="exact"/>
        <w:ind w:firstLine="480" w:firstLineChars="200"/>
        <w:rPr>
          <w:rFonts w:ascii="宋体" w:hAnsi="宋体"/>
          <w:color w:val="auto"/>
          <w:highlight w:val="none"/>
          <w:u w:val="single"/>
        </w:rPr>
      </w:pPr>
      <w:r>
        <w:rPr>
          <w:rFonts w:hint="eastAsia" w:ascii="宋体" w:hAnsi="宋体"/>
          <w:color w:val="auto"/>
          <w:highlight w:val="none"/>
        </w:rPr>
        <w:t>投标人单位名称：</w:t>
      </w:r>
      <w:r>
        <w:rPr>
          <w:rFonts w:hint="eastAsia" w:ascii="宋体" w:hAnsi="宋体"/>
          <w:color w:val="auto"/>
          <w:highlight w:val="none"/>
          <w:u w:val="single"/>
        </w:rPr>
        <w:t xml:space="preserve">                                 </w:t>
      </w:r>
    </w:p>
    <w:p>
      <w:pPr>
        <w:pStyle w:val="14"/>
        <w:snapToGrid w:val="0"/>
        <w:spacing w:line="440" w:lineRule="exact"/>
        <w:ind w:firstLine="480" w:firstLineChars="200"/>
        <w:rPr>
          <w:rFonts w:ascii="宋体" w:hAnsi="宋体"/>
          <w:color w:val="auto"/>
          <w:highlight w:val="none"/>
          <w:u w:val="single"/>
        </w:rPr>
      </w:pPr>
      <w:r>
        <w:rPr>
          <w:rFonts w:hint="eastAsia" w:ascii="宋体" w:hAnsi="宋体"/>
          <w:color w:val="auto"/>
          <w:highlight w:val="none"/>
        </w:rPr>
        <w:t>投标人单位性质：</w:t>
      </w:r>
      <w:r>
        <w:rPr>
          <w:rFonts w:hint="eastAsia" w:ascii="宋体" w:hAnsi="宋体"/>
          <w:color w:val="auto"/>
          <w:highlight w:val="none"/>
          <w:u w:val="single"/>
        </w:rPr>
        <w:t xml:space="preserve">                                 </w:t>
      </w:r>
    </w:p>
    <w:p>
      <w:pPr>
        <w:pStyle w:val="14"/>
        <w:snapToGrid w:val="0"/>
        <w:spacing w:line="440" w:lineRule="exact"/>
        <w:ind w:firstLine="480" w:firstLineChars="200"/>
        <w:rPr>
          <w:rFonts w:ascii="宋体" w:hAnsi="宋体"/>
          <w:color w:val="auto"/>
          <w:highlight w:val="none"/>
          <w:u w:val="single"/>
        </w:rPr>
      </w:pPr>
      <w:r>
        <w:rPr>
          <w:rFonts w:hint="eastAsia" w:ascii="宋体" w:hAnsi="宋体"/>
          <w:color w:val="auto"/>
          <w:highlight w:val="none"/>
        </w:rPr>
        <w:t>投标人单位地址：</w:t>
      </w:r>
      <w:r>
        <w:rPr>
          <w:rFonts w:hint="eastAsia" w:ascii="宋体" w:hAnsi="宋体"/>
          <w:color w:val="auto"/>
          <w:highlight w:val="none"/>
          <w:u w:val="single"/>
        </w:rPr>
        <w:t xml:space="preserve">                                 </w:t>
      </w:r>
    </w:p>
    <w:p>
      <w:pPr>
        <w:pStyle w:val="14"/>
        <w:snapToGrid w:val="0"/>
        <w:spacing w:line="440" w:lineRule="exact"/>
        <w:ind w:firstLine="480" w:firstLineChars="200"/>
        <w:rPr>
          <w:rFonts w:ascii="宋体" w:hAnsi="宋体"/>
          <w:color w:val="auto"/>
          <w:highlight w:val="none"/>
          <w:u w:val="single"/>
        </w:rPr>
      </w:pPr>
      <w:r>
        <w:rPr>
          <w:rFonts w:hint="eastAsia" w:ascii="宋体" w:hAnsi="宋体"/>
          <w:color w:val="auto"/>
          <w:highlight w:val="none"/>
        </w:rPr>
        <w:t>成立时间：</w:t>
      </w:r>
      <w:r>
        <w:rPr>
          <w:rFonts w:hint="eastAsia" w:ascii="宋体" w:hAnsi="宋体"/>
          <w:color w:val="auto"/>
          <w:highlight w:val="none"/>
          <w:u w:val="single"/>
        </w:rPr>
        <w:t xml:space="preserve">     </w:t>
      </w:r>
      <w:r>
        <w:rPr>
          <w:rFonts w:hint="eastAsia" w:ascii="宋体" w:hAnsi="宋体"/>
          <w:color w:val="auto"/>
          <w:highlight w:val="none"/>
        </w:rPr>
        <w:t>年</w:t>
      </w:r>
      <w:r>
        <w:rPr>
          <w:rFonts w:hint="eastAsia" w:ascii="宋体" w:hAnsi="宋体"/>
          <w:color w:val="auto"/>
          <w:highlight w:val="none"/>
          <w:u w:val="single"/>
        </w:rPr>
        <w:t xml:space="preserve">     </w:t>
      </w:r>
      <w:r>
        <w:rPr>
          <w:rFonts w:hint="eastAsia" w:ascii="宋体" w:hAnsi="宋体"/>
          <w:color w:val="auto"/>
          <w:highlight w:val="none"/>
        </w:rPr>
        <w:t xml:space="preserve">月 </w:t>
      </w:r>
      <w:r>
        <w:rPr>
          <w:rFonts w:hint="eastAsia" w:ascii="宋体" w:hAnsi="宋体"/>
          <w:color w:val="auto"/>
          <w:highlight w:val="none"/>
          <w:u w:val="single"/>
        </w:rPr>
        <w:t xml:space="preserve">    </w:t>
      </w:r>
      <w:r>
        <w:rPr>
          <w:rFonts w:hint="eastAsia" w:ascii="宋体" w:hAnsi="宋体"/>
          <w:color w:val="auto"/>
          <w:highlight w:val="none"/>
        </w:rPr>
        <w:t>日</w:t>
      </w:r>
    </w:p>
    <w:p>
      <w:pPr>
        <w:pStyle w:val="14"/>
        <w:snapToGrid w:val="0"/>
        <w:spacing w:line="440" w:lineRule="exact"/>
        <w:ind w:firstLine="480" w:firstLineChars="200"/>
        <w:rPr>
          <w:rFonts w:ascii="宋体" w:hAnsi="宋体"/>
          <w:color w:val="auto"/>
          <w:highlight w:val="none"/>
          <w:u w:val="single"/>
        </w:rPr>
      </w:pPr>
      <w:r>
        <w:rPr>
          <w:rFonts w:hint="eastAsia" w:ascii="宋体" w:hAnsi="宋体"/>
          <w:color w:val="auto"/>
          <w:highlight w:val="none"/>
        </w:rPr>
        <w:t>经营期限：</w:t>
      </w:r>
      <w:r>
        <w:rPr>
          <w:rFonts w:hint="eastAsia" w:ascii="宋体" w:hAnsi="宋体"/>
          <w:color w:val="auto"/>
          <w:sz w:val="30"/>
          <w:highlight w:val="none"/>
          <w:u w:val="single"/>
        </w:rPr>
        <w:t xml:space="preserve">                               </w:t>
      </w:r>
    </w:p>
    <w:p>
      <w:pPr>
        <w:pStyle w:val="14"/>
        <w:snapToGrid w:val="0"/>
        <w:spacing w:line="440" w:lineRule="exact"/>
        <w:ind w:firstLine="480" w:firstLineChars="200"/>
        <w:rPr>
          <w:rFonts w:ascii="宋体" w:hAnsi="宋体"/>
          <w:color w:val="auto"/>
          <w:highlight w:val="none"/>
          <w:u w:val="single"/>
        </w:rPr>
      </w:pPr>
      <w:r>
        <w:rPr>
          <w:rFonts w:hint="eastAsia" w:ascii="宋体" w:hAnsi="宋体"/>
          <w:color w:val="auto"/>
          <w:highlight w:val="none"/>
        </w:rPr>
        <w:t>姓名：</w:t>
      </w:r>
      <w:r>
        <w:rPr>
          <w:rFonts w:hint="eastAsia" w:ascii="宋体" w:hAnsi="宋体"/>
          <w:color w:val="auto"/>
          <w:highlight w:val="none"/>
          <w:u w:val="single"/>
        </w:rPr>
        <w:t xml:space="preserve">             </w:t>
      </w:r>
      <w:r>
        <w:rPr>
          <w:rFonts w:hint="eastAsia" w:ascii="宋体" w:hAnsi="宋体"/>
          <w:color w:val="auto"/>
          <w:highlight w:val="none"/>
        </w:rPr>
        <w:t>性别：</w:t>
      </w:r>
      <w:r>
        <w:rPr>
          <w:rFonts w:hint="eastAsia" w:ascii="宋体" w:hAnsi="宋体"/>
          <w:color w:val="auto"/>
          <w:highlight w:val="none"/>
          <w:u w:val="single"/>
        </w:rPr>
        <w:t xml:space="preserve">              </w:t>
      </w:r>
    </w:p>
    <w:p>
      <w:pPr>
        <w:pStyle w:val="14"/>
        <w:snapToGrid w:val="0"/>
        <w:spacing w:line="440" w:lineRule="exact"/>
        <w:ind w:firstLine="480" w:firstLineChars="200"/>
        <w:rPr>
          <w:rFonts w:ascii="宋体" w:hAnsi="宋体"/>
          <w:color w:val="auto"/>
          <w:highlight w:val="none"/>
          <w:u w:val="single"/>
        </w:rPr>
      </w:pPr>
      <w:r>
        <w:rPr>
          <w:rFonts w:hint="eastAsia" w:ascii="宋体" w:hAnsi="宋体"/>
          <w:color w:val="auto"/>
          <w:highlight w:val="none"/>
        </w:rPr>
        <w:t>年龄：</w:t>
      </w:r>
      <w:r>
        <w:rPr>
          <w:rFonts w:hint="eastAsia" w:ascii="宋体" w:hAnsi="宋体"/>
          <w:color w:val="auto"/>
          <w:highlight w:val="none"/>
          <w:u w:val="single"/>
        </w:rPr>
        <w:t xml:space="preserve">             </w:t>
      </w:r>
      <w:r>
        <w:rPr>
          <w:rFonts w:hint="eastAsia" w:ascii="宋体" w:hAnsi="宋体"/>
          <w:color w:val="auto"/>
          <w:highlight w:val="none"/>
        </w:rPr>
        <w:t>职务：</w:t>
      </w:r>
      <w:r>
        <w:rPr>
          <w:rFonts w:hint="eastAsia" w:ascii="宋体" w:hAnsi="宋体"/>
          <w:color w:val="auto"/>
          <w:highlight w:val="none"/>
          <w:u w:val="single"/>
        </w:rPr>
        <w:t xml:space="preserve">               </w:t>
      </w:r>
    </w:p>
    <w:p>
      <w:pPr>
        <w:pStyle w:val="14"/>
        <w:snapToGrid w:val="0"/>
        <w:spacing w:line="440" w:lineRule="exact"/>
        <w:ind w:firstLine="480" w:firstLineChars="200"/>
        <w:rPr>
          <w:rFonts w:ascii="宋体" w:hAnsi="宋体"/>
          <w:color w:val="auto"/>
          <w:highlight w:val="none"/>
        </w:rPr>
      </w:pPr>
      <w:r>
        <w:rPr>
          <w:rFonts w:hint="eastAsia" w:ascii="宋体" w:hAnsi="宋体"/>
          <w:color w:val="auto"/>
          <w:highlight w:val="none"/>
        </w:rPr>
        <w:t>系：</w:t>
      </w:r>
      <w:r>
        <w:rPr>
          <w:rFonts w:hint="eastAsia" w:ascii="宋体" w:hAnsi="宋体"/>
          <w:color w:val="auto"/>
          <w:highlight w:val="none"/>
          <w:u w:val="single"/>
        </w:rPr>
        <w:t xml:space="preserve">                              </w:t>
      </w:r>
      <w:r>
        <w:rPr>
          <w:rFonts w:hint="eastAsia" w:ascii="宋体" w:hAnsi="宋体"/>
          <w:color w:val="auto"/>
          <w:highlight w:val="none"/>
        </w:rPr>
        <w:t>(投标人单位名称)的法定代表人。</w:t>
      </w:r>
    </w:p>
    <w:p>
      <w:pPr>
        <w:pStyle w:val="14"/>
        <w:snapToGrid w:val="0"/>
        <w:spacing w:line="440" w:lineRule="exact"/>
        <w:ind w:firstLine="480" w:firstLineChars="200"/>
        <w:rPr>
          <w:rFonts w:ascii="宋体" w:hAnsi="宋体"/>
          <w:color w:val="auto"/>
          <w:highlight w:val="none"/>
        </w:rPr>
      </w:pPr>
      <w:r>
        <w:rPr>
          <w:rFonts w:hint="eastAsia" w:ascii="宋体" w:hAnsi="宋体"/>
          <w:color w:val="auto"/>
          <w:highlight w:val="none"/>
        </w:rPr>
        <w:t>法定代表人联系电话：</w:t>
      </w:r>
      <w:r>
        <w:rPr>
          <w:rFonts w:hint="eastAsia" w:ascii="宋体" w:hAnsi="宋体"/>
          <w:color w:val="auto"/>
          <w:sz w:val="30"/>
          <w:highlight w:val="none"/>
          <w:u w:val="single"/>
        </w:rPr>
        <w:t xml:space="preserve">                     </w:t>
      </w:r>
    </w:p>
    <w:p>
      <w:pPr>
        <w:pStyle w:val="14"/>
        <w:snapToGrid w:val="0"/>
        <w:spacing w:line="440" w:lineRule="exact"/>
        <w:ind w:firstLine="480" w:firstLineChars="200"/>
        <w:rPr>
          <w:rFonts w:ascii="宋体" w:hAnsi="宋体"/>
          <w:color w:val="auto"/>
          <w:highlight w:val="none"/>
        </w:rPr>
      </w:pPr>
      <w:r>
        <w:rPr>
          <w:rFonts w:hint="eastAsia" w:ascii="宋体" w:hAnsi="宋体"/>
          <w:color w:val="auto"/>
          <w:highlight w:val="none"/>
        </w:rPr>
        <w:t>特此证明。</w:t>
      </w:r>
    </w:p>
    <w:p>
      <w:pPr>
        <w:pStyle w:val="14"/>
        <w:spacing w:line="360" w:lineRule="auto"/>
        <w:ind w:firstLine="0"/>
        <w:rPr>
          <w:rFonts w:ascii="宋体" w:hAnsi="宋体"/>
          <w:color w:val="auto"/>
          <w:sz w:val="30"/>
          <w:highlight w:val="none"/>
        </w:rPr>
      </w:pPr>
    </w:p>
    <w:p>
      <w:pPr>
        <w:pStyle w:val="14"/>
        <w:spacing w:line="360" w:lineRule="auto"/>
        <w:ind w:firstLine="0"/>
        <w:jc w:val="center"/>
        <w:rPr>
          <w:rFonts w:ascii="宋体" w:hAnsi="宋体"/>
          <w:color w:val="auto"/>
          <w:sz w:val="30"/>
          <w:highlight w:val="none"/>
        </w:rPr>
      </w:pPr>
      <w:r>
        <w:rPr>
          <w:rFonts w:ascii="宋体" w:hAnsi="宋体"/>
          <w:color w:val="auto"/>
          <w:sz w:val="30"/>
          <w:highlight w:val="none"/>
        </w:rPr>
        <mc:AlternateContent>
          <mc:Choice Requires="wps">
            <w:drawing>
              <wp:anchor distT="0" distB="0" distL="114300" distR="114300" simplePos="0" relativeHeight="251659264" behindDoc="0" locked="0" layoutInCell="1" allowOverlap="1">
                <wp:simplePos x="0" y="0"/>
                <wp:positionH relativeFrom="column">
                  <wp:posOffset>148590</wp:posOffset>
                </wp:positionH>
                <wp:positionV relativeFrom="paragraph">
                  <wp:posOffset>3175</wp:posOffset>
                </wp:positionV>
                <wp:extent cx="5126355" cy="1931670"/>
                <wp:effectExtent l="7620" t="7620" r="9525" b="22860"/>
                <wp:wrapNone/>
                <wp:docPr id="3" name="圆角矩形 3"/>
                <wp:cNvGraphicFramePr/>
                <a:graphic xmlns:a="http://schemas.openxmlformats.org/drawingml/2006/main">
                  <a:graphicData uri="http://schemas.microsoft.com/office/word/2010/wordprocessingShape">
                    <wps:wsp>
                      <wps:cNvSpPr/>
                      <wps:spPr>
                        <a:xfrm>
                          <a:off x="0" y="0"/>
                          <a:ext cx="5126355" cy="1931670"/>
                        </a:xfrm>
                        <a:prstGeom prst="roundRect">
                          <a:avLst>
                            <a:gd name="adj" fmla="val 16667"/>
                          </a:avLst>
                        </a:prstGeom>
                        <a:noFill/>
                        <a:ln w="15875" cap="flat" cmpd="sng">
                          <a:solidFill>
                            <a:srgbClr val="000000"/>
                          </a:solidFill>
                          <a:prstDash val="dash"/>
                          <a:headEnd type="none" w="med" len="med"/>
                          <a:tailEnd type="none" w="med" len="med"/>
                        </a:ln>
                        <a:effectLst/>
                      </wps:spPr>
                      <wps:txbx>
                        <w:txbxContent>
                          <w:p/>
                        </w:txbxContent>
                      </wps:txbx>
                      <wps:bodyPr upright="1"/>
                    </wps:wsp>
                  </a:graphicData>
                </a:graphic>
              </wp:anchor>
            </w:drawing>
          </mc:Choice>
          <mc:Fallback>
            <w:pict>
              <v:roundrect id="_x0000_s1026" o:spid="_x0000_s1026" o:spt="2" style="position:absolute;left:0pt;margin-left:11.7pt;margin-top:0.25pt;height:152.1pt;width:403.65pt;z-index:251659264;mso-width-relative:page;mso-height-relative:page;" filled="f" stroked="t" coordsize="21600,21600" arcsize="0.166666666666667" o:gfxdata="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lJ&#10;YCTWAAAABwEAAA8AAAAAAAAAAQAgAAAAIgAAAGRycy9kb3ducmV2LnhtbFBLAQIUABQAAAAIAIdO&#10;4kDCOo4QJQIAADwEAAAOAAAAAAAAAAEAIAAAACUBAABkcnMvZTJvRG9jLnhtbFBLBQYAAAAABgAG&#10;AFkBAAC8BQAAAAA=&#10;">
                <v:fill on="f" focussize="0,0"/>
                <v:stroke weight="1.25pt" color="#000000" joinstyle="round" dashstyle="dash"/>
                <v:imagedata o:title=""/>
                <o:lock v:ext="edit" aspectratio="f"/>
                <v:textbox>
                  <w:txbxContent>
                    <w:p/>
                  </w:txbxContent>
                </v:textbox>
              </v:roundrect>
            </w:pict>
          </mc:Fallback>
        </mc:AlternateContent>
      </w:r>
    </w:p>
    <w:p>
      <w:pPr>
        <w:pStyle w:val="14"/>
        <w:spacing w:line="360" w:lineRule="auto"/>
        <w:ind w:firstLine="793" w:firstLineChars="329"/>
        <w:rPr>
          <w:rFonts w:ascii="宋体" w:hAnsi="宋体"/>
          <w:b/>
          <w:color w:val="auto"/>
          <w:highlight w:val="none"/>
        </w:rPr>
      </w:pPr>
      <w:r>
        <w:rPr>
          <w:rFonts w:hint="eastAsia" w:ascii="宋体" w:hAnsi="宋体"/>
          <w:b/>
          <w:color w:val="auto"/>
          <w:highlight w:val="none"/>
        </w:rPr>
        <w:t>法定代表人身份证复印件贴于此处。</w:t>
      </w:r>
    </w:p>
    <w:p>
      <w:pPr>
        <w:pStyle w:val="14"/>
        <w:spacing w:line="360" w:lineRule="auto"/>
        <w:ind w:firstLine="0"/>
        <w:jc w:val="center"/>
        <w:rPr>
          <w:rFonts w:ascii="宋体" w:hAnsi="宋体"/>
          <w:color w:val="auto"/>
          <w:sz w:val="30"/>
          <w:highlight w:val="none"/>
        </w:rPr>
      </w:pPr>
    </w:p>
    <w:p>
      <w:pPr>
        <w:pStyle w:val="14"/>
        <w:spacing w:line="360" w:lineRule="auto"/>
        <w:jc w:val="center"/>
        <w:rPr>
          <w:rFonts w:ascii="宋体" w:hAnsi="宋体"/>
          <w:color w:val="auto"/>
          <w:sz w:val="30"/>
          <w:highlight w:val="none"/>
        </w:rPr>
      </w:pPr>
    </w:p>
    <w:p>
      <w:pPr>
        <w:pStyle w:val="14"/>
        <w:snapToGrid w:val="0"/>
        <w:spacing w:line="440" w:lineRule="exact"/>
        <w:ind w:firstLine="480" w:firstLineChars="200"/>
        <w:rPr>
          <w:rFonts w:ascii="宋体" w:hAnsi="宋体"/>
          <w:color w:val="auto"/>
          <w:highlight w:val="none"/>
        </w:rPr>
      </w:pPr>
    </w:p>
    <w:p>
      <w:pPr>
        <w:pStyle w:val="14"/>
        <w:snapToGrid w:val="0"/>
        <w:spacing w:line="440" w:lineRule="exact"/>
        <w:ind w:firstLine="480" w:firstLineChars="200"/>
        <w:rPr>
          <w:rFonts w:ascii="宋体" w:hAnsi="宋体"/>
          <w:color w:val="auto"/>
          <w:highlight w:val="none"/>
        </w:rPr>
      </w:pPr>
    </w:p>
    <w:p>
      <w:pPr>
        <w:pStyle w:val="14"/>
        <w:snapToGrid w:val="0"/>
        <w:spacing w:line="440" w:lineRule="exact"/>
        <w:ind w:firstLine="480" w:firstLineChars="200"/>
        <w:rPr>
          <w:rFonts w:ascii="宋体" w:hAnsi="宋体"/>
          <w:color w:val="auto"/>
          <w:highlight w:val="none"/>
        </w:rPr>
      </w:pPr>
    </w:p>
    <w:p>
      <w:pPr>
        <w:pStyle w:val="14"/>
        <w:snapToGrid w:val="0"/>
        <w:spacing w:line="440" w:lineRule="exact"/>
        <w:ind w:firstLine="3840" w:firstLineChars="1600"/>
        <w:jc w:val="right"/>
        <w:rPr>
          <w:rFonts w:ascii="宋体" w:hAnsi="宋体"/>
          <w:color w:val="auto"/>
          <w:highlight w:val="none"/>
        </w:rPr>
      </w:pPr>
      <w:r>
        <w:rPr>
          <w:rFonts w:hint="eastAsia" w:ascii="宋体" w:hAnsi="宋体"/>
          <w:color w:val="auto"/>
          <w:highlight w:val="none"/>
        </w:rPr>
        <w:t>投标人：</w:t>
      </w:r>
      <w:r>
        <w:rPr>
          <w:rFonts w:hint="eastAsia" w:ascii="宋体" w:hAnsi="宋体"/>
          <w:color w:val="auto"/>
          <w:highlight w:val="none"/>
          <w:u w:val="single"/>
        </w:rPr>
        <w:t xml:space="preserve">                 </w:t>
      </w:r>
      <w:r>
        <w:rPr>
          <w:rFonts w:hint="eastAsia" w:ascii="宋体" w:hAnsi="宋体"/>
          <w:color w:val="auto"/>
          <w:highlight w:val="none"/>
        </w:rPr>
        <w:t>(盖单位章)</w:t>
      </w:r>
    </w:p>
    <w:p>
      <w:pPr>
        <w:pStyle w:val="14"/>
        <w:snapToGrid w:val="0"/>
        <w:spacing w:line="440" w:lineRule="exact"/>
        <w:ind w:firstLine="3840" w:firstLineChars="1600"/>
        <w:jc w:val="right"/>
        <w:rPr>
          <w:rFonts w:ascii="宋体" w:hAnsi="宋体"/>
          <w:color w:val="auto"/>
          <w:highlight w:val="none"/>
          <w:u w:val="single"/>
        </w:rPr>
      </w:pPr>
      <w:r>
        <w:rPr>
          <w:rFonts w:hint="eastAsia" w:ascii="宋体" w:hAnsi="宋体"/>
          <w:color w:val="auto"/>
          <w:highlight w:val="none"/>
        </w:rPr>
        <w:t>日   期：</w:t>
      </w:r>
      <w:r>
        <w:rPr>
          <w:rFonts w:hint="eastAsia" w:ascii="宋体" w:hAnsi="宋体"/>
          <w:color w:val="auto"/>
          <w:highlight w:val="none"/>
          <w:u w:val="single"/>
        </w:rPr>
        <w:t xml:space="preserve">        </w:t>
      </w:r>
      <w:r>
        <w:rPr>
          <w:rFonts w:hint="eastAsia" w:ascii="宋体" w:hAnsi="宋体"/>
          <w:color w:val="auto"/>
          <w:highlight w:val="none"/>
        </w:rPr>
        <w:t>年</w:t>
      </w:r>
      <w:r>
        <w:rPr>
          <w:rFonts w:hint="eastAsia" w:ascii="宋体" w:hAnsi="宋体"/>
          <w:color w:val="auto"/>
          <w:highlight w:val="none"/>
          <w:u w:val="single"/>
        </w:rPr>
        <w:t xml:space="preserve">      </w:t>
      </w:r>
      <w:r>
        <w:rPr>
          <w:rFonts w:hint="eastAsia" w:ascii="宋体" w:hAnsi="宋体"/>
          <w:color w:val="auto"/>
          <w:highlight w:val="none"/>
        </w:rPr>
        <w:t>月</w:t>
      </w:r>
      <w:r>
        <w:rPr>
          <w:rFonts w:hint="eastAsia" w:ascii="宋体" w:hAnsi="宋体"/>
          <w:color w:val="auto"/>
          <w:highlight w:val="none"/>
          <w:u w:val="single"/>
        </w:rPr>
        <w:t xml:space="preserve">      </w:t>
      </w:r>
      <w:r>
        <w:rPr>
          <w:rFonts w:hint="eastAsia" w:ascii="宋体" w:hAnsi="宋体"/>
          <w:color w:val="auto"/>
          <w:highlight w:val="none"/>
        </w:rPr>
        <w:t>日</w:t>
      </w:r>
    </w:p>
    <w:p>
      <w:pPr>
        <w:pStyle w:val="14"/>
        <w:spacing w:line="360" w:lineRule="auto"/>
        <w:ind w:firstLine="0"/>
        <w:jc w:val="center"/>
        <w:rPr>
          <w:rFonts w:ascii="宋体" w:hAnsi="宋体"/>
          <w:color w:val="auto"/>
          <w:sz w:val="25"/>
          <w:highlight w:val="none"/>
        </w:rPr>
      </w:pPr>
    </w:p>
    <w:p>
      <w:pPr>
        <w:pStyle w:val="14"/>
        <w:spacing w:line="360" w:lineRule="auto"/>
        <w:ind w:firstLine="0"/>
        <w:jc w:val="center"/>
        <w:rPr>
          <w:color w:val="auto"/>
          <w:sz w:val="25"/>
          <w:highlight w:val="none"/>
        </w:rPr>
      </w:pPr>
    </w:p>
    <w:p>
      <w:pPr>
        <w:pStyle w:val="14"/>
        <w:spacing w:line="360" w:lineRule="auto"/>
        <w:ind w:firstLine="0"/>
        <w:jc w:val="center"/>
        <w:rPr>
          <w:color w:val="auto"/>
          <w:sz w:val="25"/>
          <w:highlight w:val="none"/>
        </w:rPr>
      </w:pPr>
    </w:p>
    <w:p>
      <w:pPr>
        <w:pStyle w:val="14"/>
        <w:spacing w:line="360" w:lineRule="auto"/>
        <w:ind w:firstLine="0"/>
        <w:jc w:val="center"/>
        <w:rPr>
          <w:color w:val="auto"/>
          <w:sz w:val="25"/>
          <w:highlight w:val="none"/>
        </w:rPr>
      </w:pPr>
    </w:p>
    <w:p>
      <w:pPr>
        <w:pStyle w:val="14"/>
        <w:spacing w:line="360" w:lineRule="auto"/>
        <w:ind w:firstLine="0"/>
        <w:jc w:val="center"/>
        <w:rPr>
          <w:color w:val="auto"/>
          <w:sz w:val="25"/>
          <w:highlight w:val="none"/>
        </w:rPr>
      </w:pPr>
    </w:p>
    <w:p>
      <w:pPr>
        <w:pStyle w:val="14"/>
        <w:snapToGrid w:val="0"/>
        <w:spacing w:line="440" w:lineRule="exact"/>
        <w:ind w:firstLine="0"/>
        <w:jc w:val="center"/>
        <w:outlineLvl w:val="1"/>
        <w:rPr>
          <w:color w:val="auto"/>
          <w:sz w:val="28"/>
          <w:szCs w:val="28"/>
          <w:highlight w:val="none"/>
        </w:rPr>
      </w:pPr>
      <w:r>
        <w:rPr>
          <w:rFonts w:hAnsi="宋体"/>
          <w:color w:val="auto"/>
          <w:sz w:val="28"/>
          <w:szCs w:val="28"/>
          <w:highlight w:val="none"/>
        </w:rPr>
        <w:br w:type="page"/>
      </w:r>
      <w:r>
        <w:rPr>
          <w:rFonts w:hAnsi="宋体"/>
          <w:color w:val="auto"/>
          <w:sz w:val="28"/>
          <w:szCs w:val="28"/>
          <w:highlight w:val="none"/>
        </w:rPr>
        <w:t>授权委托书</w:t>
      </w:r>
    </w:p>
    <w:p>
      <w:pPr>
        <w:pStyle w:val="14"/>
        <w:snapToGrid w:val="0"/>
        <w:spacing w:line="440" w:lineRule="exact"/>
        <w:ind w:firstLine="480"/>
        <w:rPr>
          <w:color w:val="auto"/>
          <w:highlight w:val="none"/>
        </w:rPr>
      </w:pPr>
    </w:p>
    <w:p>
      <w:pPr>
        <w:pStyle w:val="14"/>
        <w:snapToGrid w:val="0"/>
        <w:spacing w:line="440" w:lineRule="exact"/>
        <w:ind w:firstLine="480" w:firstLineChars="200"/>
        <w:rPr>
          <w:rFonts w:ascii="宋体" w:hAnsi="宋体"/>
          <w:color w:val="auto"/>
          <w:highlight w:val="none"/>
        </w:rPr>
      </w:pPr>
      <w:r>
        <w:rPr>
          <w:rFonts w:hint="eastAsia" w:ascii="宋体" w:hAnsi="宋体"/>
          <w:color w:val="auto"/>
          <w:highlight w:val="none"/>
        </w:rPr>
        <w:t>本授权委托书声明：本人</w:t>
      </w:r>
      <w:r>
        <w:rPr>
          <w:rFonts w:hint="eastAsia" w:ascii="宋体" w:hAnsi="宋体"/>
          <w:color w:val="auto"/>
          <w:highlight w:val="none"/>
          <w:u w:val="single"/>
        </w:rPr>
        <w:t xml:space="preserve">         </w:t>
      </w:r>
      <w:r>
        <w:rPr>
          <w:rFonts w:hint="eastAsia" w:ascii="宋体" w:hAnsi="宋体"/>
          <w:color w:val="auto"/>
          <w:highlight w:val="none"/>
        </w:rPr>
        <w:t>(姓名)系</w:t>
      </w:r>
      <w:r>
        <w:rPr>
          <w:rFonts w:hint="eastAsia" w:ascii="宋体" w:hAnsi="宋体"/>
          <w:color w:val="auto"/>
          <w:highlight w:val="none"/>
          <w:u w:val="single"/>
        </w:rPr>
        <w:t xml:space="preserve">                </w:t>
      </w:r>
      <w:r>
        <w:rPr>
          <w:rFonts w:hint="eastAsia" w:ascii="宋体" w:hAnsi="宋体"/>
          <w:color w:val="auto"/>
          <w:highlight w:val="none"/>
        </w:rPr>
        <w:t>(投标人单位名称)的法定代表人，现委托</w:t>
      </w:r>
      <w:r>
        <w:rPr>
          <w:rFonts w:hint="eastAsia" w:ascii="宋体" w:hAnsi="宋体"/>
          <w:color w:val="auto"/>
          <w:highlight w:val="none"/>
          <w:u w:val="single"/>
        </w:rPr>
        <w:t xml:space="preserve">        </w:t>
      </w:r>
      <w:r>
        <w:rPr>
          <w:rFonts w:hint="eastAsia" w:ascii="宋体" w:hAnsi="宋体"/>
          <w:color w:val="auto"/>
          <w:highlight w:val="none"/>
        </w:rPr>
        <w:t>(姓名)（身份证号：</w:t>
      </w:r>
      <w:r>
        <w:rPr>
          <w:rFonts w:hint="eastAsia" w:ascii="宋体" w:hAnsi="宋体"/>
          <w:color w:val="auto"/>
          <w:highlight w:val="none"/>
          <w:u w:val="single"/>
        </w:rPr>
        <w:t xml:space="preserve">                   </w:t>
      </w:r>
      <w:r>
        <w:rPr>
          <w:rFonts w:hint="eastAsia" w:ascii="宋体" w:hAnsi="宋体"/>
          <w:color w:val="auto"/>
          <w:highlight w:val="none"/>
        </w:rPr>
        <w:t>）为我方代理人。代理人根据授权，以我方名义签署、澄清、说明、补正、递交、撤回、修改</w:t>
      </w:r>
      <w:r>
        <w:rPr>
          <w:rFonts w:hint="eastAsia" w:ascii="宋体" w:hAnsi="宋体"/>
          <w:color w:val="auto"/>
          <w:highlight w:val="none"/>
          <w:u w:val="single"/>
        </w:rPr>
        <w:t xml:space="preserve">                    </w:t>
      </w:r>
      <w:r>
        <w:rPr>
          <w:rFonts w:hint="eastAsia" w:ascii="宋体" w:hAnsi="宋体"/>
          <w:color w:val="auto"/>
          <w:highlight w:val="none"/>
        </w:rPr>
        <w:t>（项目名称）施工投标文件，签订合同和处理有关事宜，其法律后果由我方承担。</w:t>
      </w:r>
    </w:p>
    <w:p>
      <w:pPr>
        <w:pStyle w:val="14"/>
        <w:snapToGrid w:val="0"/>
        <w:spacing w:line="440" w:lineRule="exact"/>
        <w:ind w:firstLine="480"/>
        <w:rPr>
          <w:rFonts w:ascii="宋体" w:hAnsi="宋体"/>
          <w:color w:val="auto"/>
          <w:highlight w:val="none"/>
        </w:rPr>
      </w:pPr>
      <w:r>
        <w:rPr>
          <w:rFonts w:hint="eastAsia" w:ascii="宋体" w:hAnsi="宋体"/>
          <w:color w:val="auto"/>
          <w:highlight w:val="none"/>
        </w:rPr>
        <w:t>委托期限：</w:t>
      </w:r>
      <w:r>
        <w:rPr>
          <w:rFonts w:hint="eastAsia" w:ascii="宋体" w:hAnsi="宋体"/>
          <w:color w:val="auto"/>
          <w:highlight w:val="none"/>
          <w:u w:val="single"/>
        </w:rPr>
        <w:t xml:space="preserve">             </w:t>
      </w:r>
      <w:r>
        <w:rPr>
          <w:rFonts w:hint="eastAsia" w:ascii="宋体" w:hAnsi="宋体"/>
          <w:color w:val="auto"/>
          <w:highlight w:val="none"/>
        </w:rPr>
        <w:t>。</w:t>
      </w:r>
    </w:p>
    <w:p>
      <w:pPr>
        <w:pStyle w:val="14"/>
        <w:snapToGrid w:val="0"/>
        <w:spacing w:line="440" w:lineRule="exact"/>
        <w:ind w:firstLine="480" w:firstLineChars="200"/>
        <w:jc w:val="left"/>
        <w:rPr>
          <w:rFonts w:ascii="宋体" w:hAnsi="宋体"/>
          <w:color w:val="auto"/>
          <w:sz w:val="28"/>
          <w:szCs w:val="28"/>
          <w:highlight w:val="none"/>
        </w:rPr>
      </w:pPr>
      <w:r>
        <w:rPr>
          <w:rFonts w:hint="eastAsia" w:ascii="宋体" w:hAnsi="宋体"/>
          <w:color w:val="auto"/>
          <w:highlight w:val="none"/>
        </w:rPr>
        <w:t>授权委托人联系电话：</w:t>
      </w:r>
      <w:r>
        <w:rPr>
          <w:rFonts w:hint="eastAsia" w:ascii="宋体" w:hAnsi="宋体"/>
          <w:color w:val="auto"/>
          <w:sz w:val="28"/>
          <w:szCs w:val="28"/>
          <w:highlight w:val="none"/>
          <w:u w:val="single"/>
        </w:rPr>
        <w:t xml:space="preserve">                          </w:t>
      </w:r>
    </w:p>
    <w:p>
      <w:pPr>
        <w:pStyle w:val="14"/>
        <w:snapToGrid w:val="0"/>
        <w:spacing w:line="440" w:lineRule="exact"/>
        <w:ind w:firstLine="480" w:firstLineChars="200"/>
        <w:rPr>
          <w:rFonts w:ascii="宋体" w:hAnsi="宋体"/>
          <w:color w:val="auto"/>
          <w:highlight w:val="none"/>
        </w:rPr>
      </w:pPr>
      <w:r>
        <w:rPr>
          <w:rFonts w:hint="eastAsia" w:ascii="宋体" w:hAnsi="宋体"/>
          <w:color w:val="auto"/>
          <w:highlight w:val="none"/>
        </w:rPr>
        <w:t>代理人无转委托权。</w:t>
      </w:r>
    </w:p>
    <w:p>
      <w:pPr>
        <w:pStyle w:val="14"/>
        <w:snapToGrid w:val="0"/>
        <w:spacing w:line="440" w:lineRule="exact"/>
        <w:ind w:firstLine="0"/>
        <w:rPr>
          <w:rFonts w:ascii="宋体" w:hAnsi="宋体"/>
          <w:color w:val="auto"/>
          <w:highlight w:val="none"/>
        </w:rPr>
      </w:pPr>
    </w:p>
    <w:p>
      <w:pPr>
        <w:pStyle w:val="14"/>
        <w:snapToGrid w:val="0"/>
        <w:spacing w:line="440" w:lineRule="exact"/>
        <w:ind w:firstLine="0"/>
        <w:rPr>
          <w:rFonts w:ascii="宋体" w:hAnsi="宋体"/>
          <w:color w:val="auto"/>
          <w:highlight w:val="none"/>
        </w:rPr>
      </w:pPr>
      <w:r>
        <w:rPr>
          <w:rFonts w:hint="eastAsia" w:ascii="宋体" w:hAnsi="宋体"/>
          <w:color w:val="auto"/>
          <w:highlight w:val="none"/>
        </w:rPr>
        <w:t>代理人：</w:t>
      </w:r>
      <w:r>
        <w:rPr>
          <w:rFonts w:hint="eastAsia" w:ascii="宋体" w:hAnsi="宋体"/>
          <w:color w:val="auto"/>
          <w:highlight w:val="none"/>
          <w:u w:val="single"/>
        </w:rPr>
        <w:t xml:space="preserve">          </w:t>
      </w:r>
      <w:r>
        <w:rPr>
          <w:rFonts w:hint="eastAsia" w:ascii="宋体" w:hAnsi="宋体"/>
          <w:color w:val="auto"/>
          <w:highlight w:val="none"/>
        </w:rPr>
        <w:t xml:space="preserve"> 性别：</w:t>
      </w:r>
      <w:r>
        <w:rPr>
          <w:rFonts w:hint="eastAsia" w:ascii="宋体" w:hAnsi="宋体"/>
          <w:color w:val="auto"/>
          <w:highlight w:val="none"/>
          <w:u w:val="single"/>
        </w:rPr>
        <w:t xml:space="preserve">                </w:t>
      </w:r>
      <w:r>
        <w:rPr>
          <w:rFonts w:hint="eastAsia" w:ascii="宋体" w:hAnsi="宋体"/>
          <w:color w:val="auto"/>
          <w:highlight w:val="none"/>
        </w:rPr>
        <w:t>年龄：</w:t>
      </w:r>
      <w:r>
        <w:rPr>
          <w:rFonts w:hint="eastAsia" w:ascii="宋体" w:hAnsi="宋体"/>
          <w:color w:val="auto"/>
          <w:highlight w:val="none"/>
          <w:u w:val="single"/>
        </w:rPr>
        <w:t xml:space="preserve">               </w:t>
      </w:r>
    </w:p>
    <w:p>
      <w:pPr>
        <w:pStyle w:val="14"/>
        <w:snapToGrid w:val="0"/>
        <w:spacing w:line="440" w:lineRule="exact"/>
        <w:ind w:firstLine="0"/>
        <w:rPr>
          <w:rFonts w:ascii="宋体" w:hAnsi="宋体"/>
          <w:color w:val="auto"/>
          <w:highlight w:val="none"/>
        </w:rPr>
      </w:pPr>
      <w:r>
        <w:rPr>
          <w:rFonts w:hint="eastAsia" w:ascii="宋体" w:hAnsi="宋体"/>
          <w:color w:val="auto"/>
          <w:highlight w:val="none"/>
        </w:rPr>
        <w:t>代理人单位：</w:t>
      </w:r>
      <w:r>
        <w:rPr>
          <w:rFonts w:hint="eastAsia" w:ascii="宋体" w:hAnsi="宋体"/>
          <w:color w:val="auto"/>
          <w:highlight w:val="none"/>
          <w:u w:val="single"/>
        </w:rPr>
        <w:t xml:space="preserve">                    </w:t>
      </w:r>
      <w:r>
        <w:rPr>
          <w:rFonts w:hint="eastAsia" w:ascii="宋体" w:hAnsi="宋体"/>
          <w:color w:val="auto"/>
          <w:highlight w:val="none"/>
        </w:rPr>
        <w:t>部门：</w:t>
      </w:r>
      <w:r>
        <w:rPr>
          <w:rFonts w:hint="eastAsia" w:ascii="宋体" w:hAnsi="宋体"/>
          <w:color w:val="auto"/>
          <w:highlight w:val="none"/>
          <w:u w:val="single"/>
        </w:rPr>
        <w:t xml:space="preserve">              </w:t>
      </w:r>
      <w:r>
        <w:rPr>
          <w:rFonts w:hint="eastAsia" w:ascii="宋体" w:hAnsi="宋体"/>
          <w:color w:val="auto"/>
          <w:highlight w:val="none"/>
        </w:rPr>
        <w:t>职务：</w:t>
      </w:r>
      <w:r>
        <w:rPr>
          <w:rFonts w:hint="eastAsia" w:ascii="宋体" w:hAnsi="宋体"/>
          <w:color w:val="auto"/>
          <w:highlight w:val="none"/>
          <w:u w:val="single"/>
        </w:rPr>
        <w:t xml:space="preserve">               </w:t>
      </w:r>
    </w:p>
    <w:p>
      <w:pPr>
        <w:pStyle w:val="14"/>
        <w:snapToGrid w:val="0"/>
        <w:spacing w:line="440" w:lineRule="exact"/>
        <w:ind w:firstLine="0"/>
        <w:rPr>
          <w:rFonts w:ascii="宋体" w:hAnsi="宋体"/>
          <w:color w:val="auto"/>
          <w:highlight w:val="none"/>
        </w:rPr>
      </w:pPr>
    </w:p>
    <w:p>
      <w:pPr>
        <w:pStyle w:val="14"/>
        <w:snapToGrid w:val="0"/>
        <w:spacing w:line="440" w:lineRule="exact"/>
        <w:ind w:firstLine="0"/>
        <w:rPr>
          <w:rFonts w:ascii="宋体" w:hAnsi="宋体"/>
          <w:color w:val="auto"/>
          <w:highlight w:val="none"/>
        </w:rPr>
      </w:pPr>
      <w:r>
        <w:rPr>
          <w:rFonts w:hint="eastAsia" w:ascii="宋体" w:hAnsi="宋体"/>
          <w:color w:val="auto"/>
          <w:highlight w:val="none"/>
        </w:rPr>
        <w:t>投标人：</w:t>
      </w:r>
      <w:r>
        <w:rPr>
          <w:rFonts w:hint="eastAsia" w:ascii="宋体" w:hAnsi="宋体"/>
          <w:color w:val="auto"/>
          <w:highlight w:val="none"/>
          <w:u w:val="single"/>
        </w:rPr>
        <w:t xml:space="preserve">                       </w:t>
      </w:r>
      <w:r>
        <w:rPr>
          <w:rFonts w:hint="eastAsia" w:ascii="宋体" w:hAnsi="宋体"/>
          <w:color w:val="auto"/>
          <w:highlight w:val="none"/>
        </w:rPr>
        <w:t>(盖单位章)</w:t>
      </w:r>
    </w:p>
    <w:p>
      <w:pPr>
        <w:pStyle w:val="14"/>
        <w:snapToGrid w:val="0"/>
        <w:spacing w:line="440" w:lineRule="exact"/>
        <w:ind w:firstLine="0"/>
        <w:rPr>
          <w:rFonts w:ascii="宋体" w:hAnsi="宋体"/>
          <w:color w:val="auto"/>
          <w:highlight w:val="none"/>
        </w:rPr>
      </w:pPr>
    </w:p>
    <w:p>
      <w:pPr>
        <w:pStyle w:val="14"/>
        <w:snapToGrid w:val="0"/>
        <w:spacing w:line="440" w:lineRule="exact"/>
        <w:ind w:firstLine="0"/>
        <w:rPr>
          <w:rFonts w:ascii="宋体" w:hAnsi="宋体"/>
          <w:color w:val="auto"/>
          <w:highlight w:val="none"/>
        </w:rPr>
      </w:pPr>
    </w:p>
    <w:p>
      <w:pPr>
        <w:pStyle w:val="14"/>
        <w:snapToGrid w:val="0"/>
        <w:spacing w:line="440" w:lineRule="exact"/>
        <w:ind w:firstLine="0"/>
        <w:rPr>
          <w:rFonts w:ascii="宋体" w:hAnsi="宋体"/>
          <w:color w:val="auto"/>
          <w:highlight w:val="none"/>
        </w:rPr>
      </w:pPr>
      <w:r>
        <w:rPr>
          <w:rFonts w:hint="eastAsia" w:ascii="宋体" w:hAnsi="宋体"/>
          <w:color w:val="auto"/>
          <w:highlight w:val="none"/>
        </w:rPr>
        <w:t xml:space="preserve">法定代表人： </w:t>
      </w:r>
      <w:r>
        <w:rPr>
          <w:rFonts w:hint="eastAsia" w:ascii="宋体" w:hAnsi="宋体"/>
          <w:color w:val="auto"/>
          <w:highlight w:val="none"/>
          <w:u w:val="single"/>
        </w:rPr>
        <w:t xml:space="preserve">                      </w:t>
      </w:r>
      <w:r>
        <w:rPr>
          <w:rFonts w:hint="eastAsia" w:ascii="宋体" w:hAnsi="宋体"/>
          <w:color w:val="auto"/>
          <w:highlight w:val="none"/>
        </w:rPr>
        <w:t>(签字或印章)</w:t>
      </w:r>
    </w:p>
    <w:p>
      <w:pPr>
        <w:pStyle w:val="14"/>
        <w:snapToGrid w:val="0"/>
        <w:spacing w:line="440" w:lineRule="exact"/>
        <w:ind w:firstLine="0"/>
        <w:rPr>
          <w:rFonts w:ascii="宋体" w:hAnsi="宋体"/>
          <w:color w:val="auto"/>
          <w:highlight w:val="none"/>
        </w:rPr>
      </w:pPr>
    </w:p>
    <w:p>
      <w:pPr>
        <w:pStyle w:val="14"/>
        <w:jc w:val="left"/>
        <w:rPr>
          <w:rFonts w:ascii="宋体" w:hAnsi="宋体"/>
          <w:color w:val="auto"/>
          <w:sz w:val="30"/>
          <w:highlight w:val="none"/>
        </w:rPr>
      </w:pPr>
    </w:p>
    <w:p>
      <w:pPr>
        <w:pStyle w:val="14"/>
        <w:spacing w:line="360" w:lineRule="auto"/>
        <w:ind w:firstLine="0"/>
        <w:jc w:val="center"/>
        <w:rPr>
          <w:rFonts w:ascii="宋体" w:hAnsi="宋体"/>
          <w:color w:val="auto"/>
          <w:sz w:val="30"/>
          <w:highlight w:val="none"/>
        </w:rPr>
      </w:pPr>
      <w:r>
        <w:rPr>
          <w:rFonts w:ascii="宋体" w:hAnsi="宋体"/>
          <w:color w:val="auto"/>
          <w:sz w:val="30"/>
          <w:highlight w:val="none"/>
        </w:rPr>
        <mc:AlternateContent>
          <mc:Choice Requires="wps">
            <w:drawing>
              <wp:anchor distT="0" distB="0" distL="114300" distR="114300" simplePos="0" relativeHeight="251660288" behindDoc="0" locked="0" layoutInCell="1" allowOverlap="1">
                <wp:simplePos x="0" y="0"/>
                <wp:positionH relativeFrom="column">
                  <wp:posOffset>-41910</wp:posOffset>
                </wp:positionH>
                <wp:positionV relativeFrom="paragraph">
                  <wp:posOffset>74930</wp:posOffset>
                </wp:positionV>
                <wp:extent cx="5586095" cy="1889125"/>
                <wp:effectExtent l="7620" t="7620" r="26035" b="8255"/>
                <wp:wrapNone/>
                <wp:docPr id="4" name="圆角矩形 4"/>
                <wp:cNvGraphicFramePr/>
                <a:graphic xmlns:a="http://schemas.openxmlformats.org/drawingml/2006/main">
                  <a:graphicData uri="http://schemas.microsoft.com/office/word/2010/wordprocessingShape">
                    <wps:wsp>
                      <wps:cNvSpPr/>
                      <wps:spPr>
                        <a:xfrm>
                          <a:off x="0" y="0"/>
                          <a:ext cx="5586095" cy="1889125"/>
                        </a:xfrm>
                        <a:prstGeom prst="roundRect">
                          <a:avLst>
                            <a:gd name="adj" fmla="val 16667"/>
                          </a:avLst>
                        </a:prstGeom>
                        <a:noFill/>
                        <a:ln w="15875" cap="flat" cmpd="sng">
                          <a:solidFill>
                            <a:srgbClr val="000000"/>
                          </a:solidFill>
                          <a:prstDash val="dash"/>
                          <a:headEnd type="none" w="med" len="med"/>
                          <a:tailEnd type="none" w="med" len="med"/>
                        </a:ln>
                        <a:effectLst/>
                      </wps:spPr>
                      <wps:txbx>
                        <w:txbxContent>
                          <w:p/>
                        </w:txbxContent>
                      </wps:txbx>
                      <wps:bodyPr upright="1"/>
                    </wps:wsp>
                  </a:graphicData>
                </a:graphic>
              </wp:anchor>
            </w:drawing>
          </mc:Choice>
          <mc:Fallback>
            <w:pict>
              <v:roundrect id="_x0000_s1026" o:spid="_x0000_s1026" o:spt="2" style="position:absolute;left:0pt;margin-left:-3.3pt;margin-top:5.9pt;height:148.75pt;width:439.85pt;z-index:251660288;mso-width-relative:page;mso-height-relative:page;" filled="f" stroked="t" coordsize="21600,21600" arcsize="0.166666666666667" o:gfxdata="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B8WbFdcAAAAJAQAADwAAAAAAAAABACAAAAAiAAAAZHJzL2Rvd25yZXYueG1sUEsBAhQAFAAAAAgA&#10;h07iQBjomPgmAgAAPAQAAA4AAAAAAAAAAQAgAAAAJgEAAGRycy9lMm9Eb2MueG1sUEsFBgAAAAAG&#10;AAYAWQEAAL4FAAAAAA==&#10;">
                <v:fill on="f" focussize="0,0"/>
                <v:stroke weight="1.25pt" color="#000000" joinstyle="round" dashstyle="dash"/>
                <v:imagedata o:title=""/>
                <o:lock v:ext="edit" aspectratio="f"/>
                <v:textbox>
                  <w:txbxContent>
                    <w:p/>
                  </w:txbxContent>
                </v:textbox>
              </v:roundrect>
            </w:pict>
          </mc:Fallback>
        </mc:AlternateContent>
      </w:r>
    </w:p>
    <w:p>
      <w:pPr>
        <w:pStyle w:val="14"/>
        <w:spacing w:line="360" w:lineRule="auto"/>
        <w:ind w:firstLine="0"/>
        <w:jc w:val="center"/>
        <w:rPr>
          <w:rFonts w:ascii="宋体" w:hAnsi="宋体"/>
          <w:color w:val="auto"/>
          <w:highlight w:val="none"/>
        </w:rPr>
      </w:pPr>
      <w:r>
        <w:rPr>
          <w:rFonts w:hint="eastAsia" w:ascii="宋体" w:hAnsi="宋体"/>
          <w:color w:val="auto"/>
          <w:highlight w:val="none"/>
        </w:rPr>
        <w:t>委托代理人身份证复印件贴于此处。</w:t>
      </w:r>
    </w:p>
    <w:p>
      <w:pPr>
        <w:pStyle w:val="14"/>
        <w:spacing w:line="360" w:lineRule="auto"/>
        <w:ind w:firstLine="0"/>
        <w:jc w:val="center"/>
        <w:rPr>
          <w:rFonts w:ascii="宋体" w:hAnsi="宋体"/>
          <w:color w:val="auto"/>
          <w:sz w:val="30"/>
          <w:highlight w:val="none"/>
        </w:rPr>
      </w:pPr>
    </w:p>
    <w:p>
      <w:pPr>
        <w:pStyle w:val="14"/>
        <w:spacing w:line="360" w:lineRule="auto"/>
        <w:ind w:firstLine="0"/>
        <w:jc w:val="center"/>
        <w:rPr>
          <w:rFonts w:ascii="宋体" w:hAnsi="宋体"/>
          <w:color w:val="auto"/>
          <w:sz w:val="30"/>
          <w:highlight w:val="none"/>
        </w:rPr>
      </w:pPr>
    </w:p>
    <w:p>
      <w:pPr>
        <w:pStyle w:val="14"/>
        <w:snapToGrid w:val="0"/>
        <w:spacing w:line="440" w:lineRule="exact"/>
        <w:ind w:firstLine="0"/>
        <w:rPr>
          <w:rFonts w:ascii="宋体" w:hAnsi="宋体"/>
          <w:color w:val="auto"/>
          <w:highlight w:val="none"/>
        </w:rPr>
      </w:pPr>
    </w:p>
    <w:p>
      <w:pPr>
        <w:pStyle w:val="14"/>
        <w:snapToGrid w:val="0"/>
        <w:spacing w:line="440" w:lineRule="exact"/>
        <w:ind w:firstLine="0"/>
        <w:jc w:val="right"/>
        <w:rPr>
          <w:rFonts w:ascii="宋体" w:hAnsi="宋体"/>
          <w:color w:val="auto"/>
          <w:highlight w:val="none"/>
        </w:rPr>
      </w:pPr>
    </w:p>
    <w:p>
      <w:pPr>
        <w:pStyle w:val="14"/>
        <w:snapToGrid w:val="0"/>
        <w:spacing w:line="440" w:lineRule="exact"/>
        <w:ind w:firstLine="0"/>
        <w:jc w:val="right"/>
        <w:rPr>
          <w:rFonts w:ascii="宋体" w:hAnsi="宋体"/>
          <w:color w:val="auto"/>
          <w:highlight w:val="none"/>
        </w:rPr>
      </w:pPr>
    </w:p>
    <w:p>
      <w:pPr>
        <w:pStyle w:val="14"/>
        <w:snapToGrid w:val="0"/>
        <w:spacing w:line="440" w:lineRule="exact"/>
        <w:ind w:firstLine="0"/>
        <w:jc w:val="right"/>
        <w:rPr>
          <w:rFonts w:ascii="宋体" w:hAnsi="宋体"/>
          <w:color w:val="auto"/>
          <w:highlight w:val="none"/>
        </w:rPr>
      </w:pPr>
      <w:r>
        <w:rPr>
          <w:rFonts w:hint="eastAsia" w:ascii="宋体" w:hAnsi="宋体"/>
          <w:color w:val="auto"/>
          <w:highlight w:val="none"/>
        </w:rPr>
        <w:t>日期：</w:t>
      </w:r>
      <w:r>
        <w:rPr>
          <w:rFonts w:hint="eastAsia" w:ascii="宋体" w:hAnsi="宋体"/>
          <w:color w:val="auto"/>
          <w:highlight w:val="none"/>
          <w:u w:val="single"/>
        </w:rPr>
        <w:t xml:space="preserve">         </w:t>
      </w:r>
      <w:r>
        <w:rPr>
          <w:rFonts w:hint="eastAsia" w:ascii="宋体" w:hAnsi="宋体"/>
          <w:color w:val="auto"/>
          <w:highlight w:val="none"/>
        </w:rPr>
        <w:t>年</w:t>
      </w:r>
      <w:r>
        <w:rPr>
          <w:rFonts w:hint="eastAsia" w:ascii="宋体" w:hAnsi="宋体"/>
          <w:color w:val="auto"/>
          <w:highlight w:val="none"/>
          <w:u w:val="single"/>
        </w:rPr>
        <w:t xml:space="preserve">       </w:t>
      </w:r>
      <w:r>
        <w:rPr>
          <w:rFonts w:hint="eastAsia" w:ascii="宋体" w:hAnsi="宋体"/>
          <w:color w:val="auto"/>
          <w:highlight w:val="none"/>
        </w:rPr>
        <w:t>月</w:t>
      </w:r>
      <w:r>
        <w:rPr>
          <w:rFonts w:hint="eastAsia" w:ascii="宋体" w:hAnsi="宋体"/>
          <w:color w:val="auto"/>
          <w:highlight w:val="none"/>
          <w:u w:val="single"/>
        </w:rPr>
        <w:t xml:space="preserve">      </w:t>
      </w:r>
      <w:r>
        <w:rPr>
          <w:rFonts w:hint="eastAsia" w:ascii="宋体" w:hAnsi="宋体"/>
          <w:color w:val="auto"/>
          <w:highlight w:val="none"/>
        </w:rPr>
        <w:t>日</w:t>
      </w:r>
    </w:p>
    <w:p>
      <w:pPr>
        <w:pStyle w:val="14"/>
        <w:spacing w:line="360" w:lineRule="auto"/>
        <w:ind w:firstLine="0"/>
        <w:jc w:val="center"/>
        <w:rPr>
          <w:rFonts w:ascii="宋体" w:hAnsi="宋体"/>
          <w:color w:val="auto"/>
          <w:highlight w:val="none"/>
        </w:rPr>
      </w:pPr>
    </w:p>
    <w:p>
      <w:pPr>
        <w:pStyle w:val="14"/>
        <w:spacing w:line="360" w:lineRule="auto"/>
        <w:ind w:firstLine="0"/>
        <w:jc w:val="center"/>
        <w:rPr>
          <w:color w:val="auto"/>
          <w:highlight w:val="none"/>
        </w:rPr>
      </w:pPr>
    </w:p>
    <w:p>
      <w:pPr>
        <w:tabs>
          <w:tab w:val="left" w:pos="993"/>
        </w:tabs>
        <w:spacing w:line="360" w:lineRule="auto"/>
        <w:rPr>
          <w:color w:val="auto"/>
          <w:sz w:val="24"/>
          <w:highlight w:val="none"/>
        </w:rPr>
      </w:pPr>
      <w:r>
        <w:rPr>
          <w:rFonts w:hAnsi="宋体"/>
          <w:color w:val="auto"/>
          <w:sz w:val="24"/>
          <w:highlight w:val="none"/>
        </w:rPr>
        <w:t>附表</w:t>
      </w:r>
      <w:r>
        <w:rPr>
          <w:color w:val="auto"/>
          <w:sz w:val="24"/>
          <w:highlight w:val="none"/>
        </w:rPr>
        <w:t>1</w:t>
      </w:r>
      <w:r>
        <w:rPr>
          <w:rFonts w:hAnsi="宋体"/>
          <w:color w:val="auto"/>
          <w:sz w:val="24"/>
          <w:highlight w:val="none"/>
        </w:rPr>
        <w:t>：</w:t>
      </w:r>
    </w:p>
    <w:p>
      <w:pPr>
        <w:tabs>
          <w:tab w:val="left" w:pos="993"/>
        </w:tabs>
        <w:spacing w:line="360" w:lineRule="auto"/>
        <w:jc w:val="center"/>
        <w:rPr>
          <w:color w:val="auto"/>
          <w:sz w:val="24"/>
          <w:highlight w:val="none"/>
        </w:rPr>
      </w:pPr>
    </w:p>
    <w:p>
      <w:pPr>
        <w:tabs>
          <w:tab w:val="left" w:pos="993"/>
        </w:tabs>
        <w:spacing w:line="360" w:lineRule="auto"/>
        <w:jc w:val="center"/>
        <w:rPr>
          <w:color w:val="auto"/>
          <w:sz w:val="32"/>
          <w:szCs w:val="32"/>
          <w:highlight w:val="none"/>
        </w:rPr>
      </w:pPr>
      <w:r>
        <w:rPr>
          <w:rFonts w:hAnsi="宋体"/>
          <w:color w:val="auto"/>
          <w:sz w:val="32"/>
          <w:szCs w:val="32"/>
          <w:highlight w:val="none"/>
        </w:rPr>
        <w:t>投标申请人一般情况</w:t>
      </w:r>
    </w:p>
    <w:tbl>
      <w:tblPr>
        <w:tblStyle w:val="57"/>
        <w:tblW w:w="85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7"/>
        <w:gridCol w:w="2654"/>
        <w:gridCol w:w="705"/>
        <w:gridCol w:w="4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pPr>
              <w:tabs>
                <w:tab w:val="left" w:pos="993"/>
              </w:tabs>
              <w:spacing w:line="360" w:lineRule="auto"/>
              <w:rPr>
                <w:color w:val="auto"/>
                <w:szCs w:val="21"/>
                <w:highlight w:val="none"/>
              </w:rPr>
            </w:pPr>
            <w:r>
              <w:rPr>
                <w:color w:val="auto"/>
                <w:szCs w:val="21"/>
                <w:highlight w:val="none"/>
              </w:rPr>
              <w:t>1</w:t>
            </w:r>
          </w:p>
        </w:tc>
        <w:tc>
          <w:tcPr>
            <w:tcW w:w="8062" w:type="dxa"/>
            <w:gridSpan w:val="3"/>
          </w:tcPr>
          <w:p>
            <w:pPr>
              <w:tabs>
                <w:tab w:val="left" w:pos="993"/>
              </w:tabs>
              <w:spacing w:line="360" w:lineRule="auto"/>
              <w:rPr>
                <w:color w:val="auto"/>
                <w:szCs w:val="21"/>
                <w:highlight w:val="none"/>
              </w:rPr>
            </w:pPr>
            <w:r>
              <w:rPr>
                <w:rFonts w:hAnsi="宋体"/>
                <w:color w:val="auto"/>
                <w:szCs w:val="21"/>
                <w:highlight w:val="none"/>
              </w:rPr>
              <w:t>企业名称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pPr>
              <w:tabs>
                <w:tab w:val="left" w:pos="993"/>
              </w:tabs>
              <w:spacing w:line="360" w:lineRule="auto"/>
              <w:rPr>
                <w:color w:val="auto"/>
                <w:szCs w:val="21"/>
                <w:highlight w:val="none"/>
              </w:rPr>
            </w:pPr>
            <w:r>
              <w:rPr>
                <w:color w:val="auto"/>
                <w:szCs w:val="21"/>
                <w:highlight w:val="none"/>
              </w:rPr>
              <w:t>2</w:t>
            </w:r>
          </w:p>
        </w:tc>
        <w:tc>
          <w:tcPr>
            <w:tcW w:w="8062" w:type="dxa"/>
            <w:gridSpan w:val="3"/>
          </w:tcPr>
          <w:p>
            <w:pPr>
              <w:tabs>
                <w:tab w:val="left" w:pos="993"/>
              </w:tabs>
              <w:spacing w:line="360" w:lineRule="auto"/>
              <w:rPr>
                <w:color w:val="auto"/>
                <w:szCs w:val="21"/>
                <w:highlight w:val="none"/>
              </w:rPr>
            </w:pPr>
            <w:r>
              <w:rPr>
                <w:rFonts w:hAnsi="宋体"/>
                <w:color w:val="auto"/>
                <w:szCs w:val="21"/>
                <w:highlight w:val="none"/>
              </w:rPr>
              <w:t>总部地址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pPr>
              <w:tabs>
                <w:tab w:val="left" w:pos="993"/>
              </w:tabs>
              <w:spacing w:line="360" w:lineRule="auto"/>
              <w:rPr>
                <w:color w:val="auto"/>
                <w:szCs w:val="21"/>
                <w:highlight w:val="none"/>
              </w:rPr>
            </w:pPr>
            <w:r>
              <w:rPr>
                <w:color w:val="auto"/>
                <w:szCs w:val="21"/>
                <w:highlight w:val="none"/>
              </w:rPr>
              <w:t>3</w:t>
            </w:r>
          </w:p>
        </w:tc>
        <w:tc>
          <w:tcPr>
            <w:tcW w:w="8062" w:type="dxa"/>
            <w:gridSpan w:val="3"/>
          </w:tcPr>
          <w:p>
            <w:pPr>
              <w:tabs>
                <w:tab w:val="left" w:pos="993"/>
              </w:tabs>
              <w:spacing w:line="360" w:lineRule="auto"/>
              <w:rPr>
                <w:color w:val="auto"/>
                <w:szCs w:val="21"/>
                <w:highlight w:val="none"/>
              </w:rPr>
            </w:pPr>
            <w:r>
              <w:rPr>
                <w:rFonts w:hAnsi="宋体"/>
                <w:color w:val="auto"/>
                <w:szCs w:val="21"/>
                <w:highlight w:val="none"/>
              </w:rPr>
              <w:t>当地代表处地址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 w:type="dxa"/>
          </w:tcPr>
          <w:p>
            <w:pPr>
              <w:tabs>
                <w:tab w:val="left" w:pos="993"/>
              </w:tabs>
              <w:spacing w:line="360" w:lineRule="auto"/>
              <w:rPr>
                <w:color w:val="auto"/>
                <w:szCs w:val="21"/>
                <w:highlight w:val="none"/>
              </w:rPr>
            </w:pPr>
            <w:r>
              <w:rPr>
                <w:color w:val="auto"/>
                <w:szCs w:val="21"/>
                <w:highlight w:val="none"/>
              </w:rPr>
              <w:t>4</w:t>
            </w:r>
          </w:p>
        </w:tc>
        <w:tc>
          <w:tcPr>
            <w:tcW w:w="3359" w:type="dxa"/>
            <w:gridSpan w:val="2"/>
          </w:tcPr>
          <w:p>
            <w:pPr>
              <w:tabs>
                <w:tab w:val="left" w:pos="993"/>
              </w:tabs>
              <w:spacing w:line="360" w:lineRule="auto"/>
              <w:rPr>
                <w:color w:val="auto"/>
                <w:szCs w:val="21"/>
                <w:highlight w:val="none"/>
              </w:rPr>
            </w:pPr>
            <w:r>
              <w:rPr>
                <w:rFonts w:hAnsi="宋体"/>
                <w:color w:val="auto"/>
                <w:szCs w:val="21"/>
                <w:highlight w:val="none"/>
              </w:rPr>
              <w:t>电话</w:t>
            </w:r>
          </w:p>
        </w:tc>
        <w:tc>
          <w:tcPr>
            <w:tcW w:w="4703" w:type="dxa"/>
          </w:tcPr>
          <w:p>
            <w:pPr>
              <w:tabs>
                <w:tab w:val="left" w:pos="993"/>
              </w:tabs>
              <w:spacing w:line="360" w:lineRule="auto"/>
              <w:rPr>
                <w:color w:val="auto"/>
                <w:szCs w:val="21"/>
                <w:highlight w:val="none"/>
              </w:rPr>
            </w:pPr>
            <w:r>
              <w:rPr>
                <w:rFonts w:hAnsi="宋体"/>
                <w:color w:val="auto"/>
                <w:szCs w:val="21"/>
                <w:highlight w:val="none"/>
              </w:rPr>
              <w:t>联系人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 w:type="dxa"/>
          </w:tcPr>
          <w:p>
            <w:pPr>
              <w:tabs>
                <w:tab w:val="left" w:pos="993"/>
              </w:tabs>
              <w:spacing w:line="360" w:lineRule="auto"/>
              <w:rPr>
                <w:color w:val="auto"/>
                <w:szCs w:val="21"/>
                <w:highlight w:val="none"/>
              </w:rPr>
            </w:pPr>
            <w:r>
              <w:rPr>
                <w:color w:val="auto"/>
                <w:szCs w:val="21"/>
                <w:highlight w:val="none"/>
              </w:rPr>
              <w:t>5</w:t>
            </w:r>
          </w:p>
        </w:tc>
        <w:tc>
          <w:tcPr>
            <w:tcW w:w="3359" w:type="dxa"/>
            <w:gridSpan w:val="2"/>
          </w:tcPr>
          <w:p>
            <w:pPr>
              <w:tabs>
                <w:tab w:val="left" w:pos="993"/>
              </w:tabs>
              <w:spacing w:line="360" w:lineRule="auto"/>
              <w:rPr>
                <w:color w:val="auto"/>
                <w:szCs w:val="21"/>
                <w:highlight w:val="none"/>
              </w:rPr>
            </w:pPr>
            <w:r>
              <w:rPr>
                <w:rFonts w:hAnsi="宋体"/>
                <w:color w:val="auto"/>
                <w:szCs w:val="21"/>
                <w:highlight w:val="none"/>
              </w:rPr>
              <w:t>传真</w:t>
            </w:r>
          </w:p>
        </w:tc>
        <w:tc>
          <w:tcPr>
            <w:tcW w:w="4703" w:type="dxa"/>
          </w:tcPr>
          <w:p>
            <w:pPr>
              <w:tabs>
                <w:tab w:val="left" w:pos="993"/>
              </w:tabs>
              <w:spacing w:line="360" w:lineRule="auto"/>
              <w:rPr>
                <w:color w:val="auto"/>
                <w:szCs w:val="21"/>
                <w:highlight w:val="none"/>
              </w:rPr>
            </w:pPr>
            <w:r>
              <w:rPr>
                <w:rFonts w:hAnsi="宋体"/>
                <w:color w:val="auto"/>
                <w:szCs w:val="21"/>
                <w:highlight w:val="none"/>
              </w:rPr>
              <w:t>电子邮件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 w:type="dxa"/>
          </w:tcPr>
          <w:p>
            <w:pPr>
              <w:tabs>
                <w:tab w:val="left" w:pos="993"/>
              </w:tabs>
              <w:spacing w:line="360" w:lineRule="auto"/>
              <w:rPr>
                <w:color w:val="auto"/>
                <w:szCs w:val="21"/>
                <w:highlight w:val="none"/>
              </w:rPr>
            </w:pPr>
            <w:r>
              <w:rPr>
                <w:color w:val="auto"/>
                <w:szCs w:val="21"/>
                <w:highlight w:val="none"/>
              </w:rPr>
              <w:t>6</w:t>
            </w:r>
          </w:p>
        </w:tc>
        <w:tc>
          <w:tcPr>
            <w:tcW w:w="3359" w:type="dxa"/>
            <w:gridSpan w:val="2"/>
          </w:tcPr>
          <w:p>
            <w:pPr>
              <w:tabs>
                <w:tab w:val="left" w:pos="993"/>
              </w:tabs>
              <w:spacing w:line="360" w:lineRule="auto"/>
              <w:rPr>
                <w:color w:val="auto"/>
                <w:szCs w:val="21"/>
                <w:highlight w:val="none"/>
              </w:rPr>
            </w:pPr>
            <w:r>
              <w:rPr>
                <w:rFonts w:hAnsi="宋体"/>
                <w:color w:val="auto"/>
                <w:szCs w:val="21"/>
                <w:highlight w:val="none"/>
              </w:rPr>
              <w:t>注册地</w:t>
            </w:r>
          </w:p>
        </w:tc>
        <w:tc>
          <w:tcPr>
            <w:tcW w:w="4703" w:type="dxa"/>
          </w:tcPr>
          <w:p>
            <w:pPr>
              <w:tabs>
                <w:tab w:val="left" w:pos="993"/>
              </w:tabs>
              <w:spacing w:line="360" w:lineRule="auto"/>
              <w:rPr>
                <w:color w:val="auto"/>
                <w:szCs w:val="21"/>
                <w:highlight w:val="none"/>
              </w:rPr>
            </w:pPr>
            <w:r>
              <w:rPr>
                <w:rFonts w:hAnsi="宋体"/>
                <w:color w:val="auto"/>
                <w:szCs w:val="21"/>
                <w:highlight w:val="none"/>
              </w:rPr>
              <w:t>注册年份（请附营业执照复印件）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pPr>
              <w:tabs>
                <w:tab w:val="left" w:pos="993"/>
              </w:tabs>
              <w:spacing w:line="360" w:lineRule="auto"/>
              <w:rPr>
                <w:color w:val="auto"/>
                <w:szCs w:val="21"/>
                <w:highlight w:val="none"/>
              </w:rPr>
            </w:pPr>
            <w:r>
              <w:rPr>
                <w:color w:val="auto"/>
                <w:szCs w:val="21"/>
                <w:highlight w:val="none"/>
              </w:rPr>
              <w:t>7</w:t>
            </w:r>
          </w:p>
        </w:tc>
        <w:tc>
          <w:tcPr>
            <w:tcW w:w="8062" w:type="dxa"/>
            <w:gridSpan w:val="3"/>
          </w:tcPr>
          <w:p>
            <w:pPr>
              <w:tabs>
                <w:tab w:val="left" w:pos="993"/>
              </w:tabs>
              <w:spacing w:line="360" w:lineRule="auto"/>
              <w:rPr>
                <w:color w:val="auto"/>
                <w:szCs w:val="21"/>
                <w:highlight w:val="none"/>
              </w:rPr>
            </w:pPr>
            <w:r>
              <w:rPr>
                <w:rFonts w:hAnsi="宋体"/>
                <w:color w:val="auto"/>
                <w:szCs w:val="21"/>
                <w:highlight w:val="none"/>
              </w:rPr>
              <w:t>公司资质等级证书号（请附有关证书的复印件）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pPr>
              <w:tabs>
                <w:tab w:val="left" w:pos="993"/>
              </w:tabs>
              <w:spacing w:line="360" w:lineRule="auto"/>
              <w:rPr>
                <w:color w:val="auto"/>
                <w:szCs w:val="21"/>
                <w:highlight w:val="none"/>
              </w:rPr>
            </w:pPr>
            <w:r>
              <w:rPr>
                <w:color w:val="auto"/>
                <w:szCs w:val="21"/>
                <w:highlight w:val="none"/>
              </w:rPr>
              <w:t>8</w:t>
            </w:r>
          </w:p>
        </w:tc>
        <w:tc>
          <w:tcPr>
            <w:tcW w:w="8062" w:type="dxa"/>
            <w:gridSpan w:val="3"/>
          </w:tcPr>
          <w:p>
            <w:pPr>
              <w:tabs>
                <w:tab w:val="left" w:pos="993"/>
              </w:tabs>
              <w:spacing w:line="360" w:lineRule="auto"/>
              <w:rPr>
                <w:color w:val="auto"/>
                <w:szCs w:val="21"/>
                <w:highlight w:val="none"/>
              </w:rPr>
            </w:pPr>
            <w:r>
              <w:rPr>
                <w:rFonts w:hAnsi="宋体"/>
                <w:color w:val="auto"/>
                <w:szCs w:val="21"/>
                <w:highlight w:val="none"/>
              </w:rPr>
              <w:t>公司</w:t>
            </w:r>
            <w:r>
              <w:rPr>
                <w:rFonts w:hAnsi="宋体"/>
                <w:color w:val="auto"/>
                <w:szCs w:val="21"/>
                <w:highlight w:val="none"/>
                <w:u w:val="single"/>
              </w:rPr>
              <w:t>（是否通过，何种）</w:t>
            </w:r>
            <w:r>
              <w:rPr>
                <w:rFonts w:hAnsi="宋体"/>
                <w:color w:val="auto"/>
                <w:szCs w:val="21"/>
                <w:highlight w:val="none"/>
              </w:rPr>
              <w:t>质量保证体系认证（如通过请附相关证书复印件，并提供认证机构年审监督报告）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pPr>
              <w:tabs>
                <w:tab w:val="left" w:pos="993"/>
              </w:tabs>
              <w:spacing w:line="360" w:lineRule="auto"/>
              <w:rPr>
                <w:color w:val="auto"/>
                <w:szCs w:val="21"/>
                <w:highlight w:val="none"/>
              </w:rPr>
            </w:pPr>
            <w:r>
              <w:rPr>
                <w:color w:val="auto"/>
                <w:szCs w:val="21"/>
                <w:highlight w:val="none"/>
              </w:rPr>
              <w:t>9</w:t>
            </w:r>
          </w:p>
        </w:tc>
        <w:tc>
          <w:tcPr>
            <w:tcW w:w="8062" w:type="dxa"/>
            <w:gridSpan w:val="3"/>
          </w:tcPr>
          <w:p>
            <w:pPr>
              <w:tabs>
                <w:tab w:val="left" w:pos="993"/>
              </w:tabs>
              <w:spacing w:line="360" w:lineRule="auto"/>
              <w:rPr>
                <w:color w:val="auto"/>
                <w:szCs w:val="21"/>
                <w:highlight w:val="none"/>
              </w:rPr>
            </w:pPr>
            <w:r>
              <w:rPr>
                <w:rFonts w:hAnsi="宋体"/>
                <w:color w:val="auto"/>
                <w:szCs w:val="21"/>
                <w:highlight w:val="none"/>
              </w:rPr>
              <w:t>主营范围</w:t>
            </w:r>
          </w:p>
          <w:p>
            <w:pPr>
              <w:tabs>
                <w:tab w:val="left" w:pos="993"/>
              </w:tabs>
              <w:spacing w:line="360" w:lineRule="auto"/>
              <w:rPr>
                <w:color w:val="auto"/>
                <w:szCs w:val="21"/>
                <w:highlight w:val="none"/>
                <w:u w:val="single"/>
              </w:rPr>
            </w:pPr>
            <w:r>
              <w:rPr>
                <w:color w:val="auto"/>
                <w:szCs w:val="21"/>
                <w:highlight w:val="none"/>
              </w:rPr>
              <w:t>1.</w:t>
            </w:r>
          </w:p>
          <w:p>
            <w:pPr>
              <w:tabs>
                <w:tab w:val="left" w:pos="993"/>
              </w:tabs>
              <w:spacing w:line="360" w:lineRule="auto"/>
              <w:rPr>
                <w:color w:val="auto"/>
                <w:szCs w:val="21"/>
                <w:highlight w:val="none"/>
                <w:u w:val="single"/>
              </w:rPr>
            </w:pPr>
            <w:r>
              <w:rPr>
                <w:color w:val="auto"/>
                <w:szCs w:val="21"/>
                <w:highlight w:val="none"/>
              </w:rPr>
              <w:t>2.</w:t>
            </w:r>
          </w:p>
          <w:p>
            <w:pPr>
              <w:tabs>
                <w:tab w:val="left" w:pos="993"/>
              </w:tabs>
              <w:spacing w:line="360" w:lineRule="auto"/>
              <w:rPr>
                <w:color w:val="auto"/>
                <w:szCs w:val="21"/>
                <w:highlight w:val="none"/>
                <w:u w:val="single"/>
              </w:rPr>
            </w:pPr>
            <w:r>
              <w:rPr>
                <w:color w:val="auto"/>
                <w:szCs w:val="21"/>
                <w:highlight w:val="none"/>
              </w:rPr>
              <w:t>3.</w:t>
            </w:r>
          </w:p>
          <w:p>
            <w:pPr>
              <w:tabs>
                <w:tab w:val="left" w:pos="993"/>
              </w:tabs>
              <w:spacing w:line="360" w:lineRule="auto"/>
              <w:rPr>
                <w:color w:val="auto"/>
                <w:szCs w:val="21"/>
                <w:highlight w:val="none"/>
                <w:u w:val="single"/>
              </w:rPr>
            </w:pPr>
            <w:r>
              <w:rPr>
                <w:color w:val="auto"/>
                <w:szCs w:val="21"/>
                <w:highlight w:val="none"/>
              </w:rPr>
              <w:t>4.</w:t>
            </w:r>
          </w:p>
          <w:p>
            <w:pPr>
              <w:tabs>
                <w:tab w:val="left" w:pos="993"/>
              </w:tabs>
              <w:spacing w:line="360" w:lineRule="auto"/>
              <w:rPr>
                <w:color w:val="auto"/>
                <w:szCs w:val="21"/>
                <w:highlight w:val="none"/>
              </w:rPr>
            </w:pPr>
            <w:r>
              <w:rPr>
                <w:color w:val="auto"/>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 w:type="dxa"/>
          </w:tcPr>
          <w:p>
            <w:pPr>
              <w:tabs>
                <w:tab w:val="left" w:pos="993"/>
              </w:tabs>
              <w:spacing w:line="360" w:lineRule="auto"/>
              <w:rPr>
                <w:color w:val="auto"/>
                <w:szCs w:val="21"/>
                <w:highlight w:val="none"/>
              </w:rPr>
            </w:pPr>
            <w:r>
              <w:rPr>
                <w:color w:val="auto"/>
                <w:szCs w:val="21"/>
                <w:highlight w:val="none"/>
              </w:rPr>
              <w:t>10</w:t>
            </w:r>
          </w:p>
        </w:tc>
        <w:tc>
          <w:tcPr>
            <w:tcW w:w="2654" w:type="dxa"/>
          </w:tcPr>
          <w:p>
            <w:pPr>
              <w:tabs>
                <w:tab w:val="left" w:pos="993"/>
              </w:tabs>
              <w:spacing w:line="360" w:lineRule="auto"/>
              <w:rPr>
                <w:color w:val="auto"/>
                <w:szCs w:val="21"/>
                <w:highlight w:val="none"/>
              </w:rPr>
            </w:pPr>
            <w:r>
              <w:rPr>
                <w:rFonts w:hAnsi="宋体"/>
                <w:color w:val="auto"/>
                <w:szCs w:val="21"/>
                <w:highlight w:val="none"/>
              </w:rPr>
              <w:t>作为总承包人经历年数</w:t>
            </w:r>
          </w:p>
        </w:tc>
        <w:tc>
          <w:tcPr>
            <w:tcW w:w="5408" w:type="dxa"/>
            <w:gridSpan w:val="2"/>
          </w:tcPr>
          <w:p>
            <w:pPr>
              <w:tabs>
                <w:tab w:val="left" w:pos="993"/>
              </w:tabs>
              <w:spacing w:line="360" w:lineRule="auto"/>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 w:type="dxa"/>
          </w:tcPr>
          <w:p>
            <w:pPr>
              <w:tabs>
                <w:tab w:val="left" w:pos="993"/>
              </w:tabs>
              <w:spacing w:line="360" w:lineRule="auto"/>
              <w:rPr>
                <w:color w:val="auto"/>
                <w:szCs w:val="21"/>
                <w:highlight w:val="none"/>
              </w:rPr>
            </w:pPr>
            <w:r>
              <w:rPr>
                <w:color w:val="auto"/>
                <w:szCs w:val="21"/>
                <w:highlight w:val="none"/>
              </w:rPr>
              <w:t>11</w:t>
            </w:r>
          </w:p>
        </w:tc>
        <w:tc>
          <w:tcPr>
            <w:tcW w:w="2654" w:type="dxa"/>
          </w:tcPr>
          <w:p>
            <w:pPr>
              <w:tabs>
                <w:tab w:val="left" w:pos="993"/>
              </w:tabs>
              <w:spacing w:line="360" w:lineRule="auto"/>
              <w:rPr>
                <w:color w:val="auto"/>
                <w:szCs w:val="21"/>
                <w:highlight w:val="none"/>
              </w:rPr>
            </w:pPr>
            <w:r>
              <w:rPr>
                <w:rFonts w:hAnsi="宋体"/>
                <w:color w:val="auto"/>
                <w:szCs w:val="21"/>
                <w:highlight w:val="none"/>
              </w:rPr>
              <w:t>作为分包商经历年数</w:t>
            </w:r>
          </w:p>
        </w:tc>
        <w:tc>
          <w:tcPr>
            <w:tcW w:w="5408" w:type="dxa"/>
            <w:gridSpan w:val="2"/>
          </w:tcPr>
          <w:p>
            <w:pPr>
              <w:tabs>
                <w:tab w:val="left" w:pos="993"/>
              </w:tabs>
              <w:spacing w:line="360" w:lineRule="auto"/>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pPr>
              <w:tabs>
                <w:tab w:val="left" w:pos="993"/>
              </w:tabs>
              <w:spacing w:line="360" w:lineRule="auto"/>
              <w:rPr>
                <w:color w:val="auto"/>
                <w:szCs w:val="21"/>
                <w:highlight w:val="none"/>
              </w:rPr>
            </w:pPr>
            <w:r>
              <w:rPr>
                <w:color w:val="auto"/>
                <w:szCs w:val="21"/>
                <w:highlight w:val="none"/>
              </w:rPr>
              <w:t>12</w:t>
            </w:r>
          </w:p>
        </w:tc>
        <w:tc>
          <w:tcPr>
            <w:tcW w:w="8062" w:type="dxa"/>
            <w:gridSpan w:val="3"/>
          </w:tcPr>
          <w:p>
            <w:pPr>
              <w:tabs>
                <w:tab w:val="left" w:pos="993"/>
              </w:tabs>
              <w:spacing w:line="360" w:lineRule="auto"/>
              <w:rPr>
                <w:color w:val="auto"/>
                <w:szCs w:val="21"/>
                <w:highlight w:val="none"/>
              </w:rPr>
            </w:pPr>
            <w:r>
              <w:rPr>
                <w:rFonts w:hAnsi="宋体"/>
                <w:color w:val="auto"/>
                <w:szCs w:val="21"/>
                <w:highlight w:val="none"/>
              </w:rPr>
              <w:t>其他需要说明的情况</w:t>
            </w:r>
          </w:p>
        </w:tc>
      </w:tr>
    </w:tbl>
    <w:p>
      <w:pPr>
        <w:pStyle w:val="14"/>
        <w:spacing w:line="360" w:lineRule="auto"/>
        <w:ind w:firstLine="480"/>
        <w:rPr>
          <w:b/>
          <w:bCs/>
          <w:color w:val="auto"/>
          <w:sz w:val="24"/>
          <w:highlight w:val="none"/>
        </w:rPr>
      </w:pPr>
      <w:r>
        <w:rPr>
          <w:b/>
          <w:bCs/>
          <w:color w:val="auto"/>
          <w:sz w:val="21"/>
          <w:highlight w:val="none"/>
        </w:rPr>
        <w:br w:type="page"/>
      </w:r>
    </w:p>
    <w:p>
      <w:pPr>
        <w:tabs>
          <w:tab w:val="left" w:pos="993"/>
        </w:tabs>
        <w:spacing w:line="360" w:lineRule="auto"/>
        <w:rPr>
          <w:rFonts w:hint="eastAsia" w:eastAsia="宋体"/>
          <w:color w:val="auto"/>
          <w:highlight w:val="none"/>
          <w:lang w:eastAsia="zh-CN"/>
        </w:rPr>
      </w:pPr>
      <w:r>
        <w:rPr>
          <w:rFonts w:hAnsi="宋体"/>
          <w:color w:val="auto"/>
          <w:highlight w:val="none"/>
        </w:rPr>
        <w:t>附表</w:t>
      </w:r>
      <w:r>
        <w:rPr>
          <w:rFonts w:hint="eastAsia"/>
          <w:color w:val="auto"/>
          <w:highlight w:val="none"/>
          <w:lang w:val="en-US" w:eastAsia="zh-CN"/>
        </w:rPr>
        <w:t>2</w:t>
      </w:r>
    </w:p>
    <w:p>
      <w:pPr>
        <w:tabs>
          <w:tab w:val="left" w:pos="993"/>
        </w:tabs>
        <w:spacing w:line="360" w:lineRule="auto"/>
        <w:jc w:val="center"/>
        <w:rPr>
          <w:color w:val="auto"/>
          <w:sz w:val="24"/>
          <w:highlight w:val="none"/>
        </w:rPr>
      </w:pPr>
      <w:r>
        <w:rPr>
          <w:rFonts w:hAnsi="宋体"/>
          <w:color w:val="auto"/>
          <w:sz w:val="24"/>
          <w:highlight w:val="none"/>
        </w:rPr>
        <w:t>拟派往本招标工程项目负责人简历表</w:t>
      </w:r>
    </w:p>
    <w:p>
      <w:pPr>
        <w:tabs>
          <w:tab w:val="left" w:pos="993"/>
        </w:tabs>
        <w:spacing w:line="360" w:lineRule="auto"/>
        <w:rPr>
          <w:color w:val="auto"/>
          <w:szCs w:val="21"/>
          <w:highlight w:val="none"/>
          <w:u w:val="single"/>
        </w:rPr>
      </w:pPr>
      <w:r>
        <w:rPr>
          <w:rFonts w:hAnsi="宋体"/>
          <w:color w:val="auto"/>
          <w:szCs w:val="21"/>
          <w:highlight w:val="none"/>
        </w:rPr>
        <w:t>招标申请人名称</w:t>
      </w:r>
    </w:p>
    <w:tbl>
      <w:tblPr>
        <w:tblStyle w:val="57"/>
        <w:tblW w:w="86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438"/>
        <w:gridCol w:w="1446"/>
        <w:gridCol w:w="96"/>
        <w:gridCol w:w="180"/>
        <w:gridCol w:w="900"/>
        <w:gridCol w:w="180"/>
        <w:gridCol w:w="540"/>
        <w:gridCol w:w="996"/>
        <w:gridCol w:w="264"/>
        <w:gridCol w:w="900"/>
        <w:gridCol w:w="282"/>
        <w:gridCol w:w="14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tcPr>
          <w:p>
            <w:pPr>
              <w:tabs>
                <w:tab w:val="left" w:pos="993"/>
              </w:tabs>
              <w:spacing w:line="360" w:lineRule="auto"/>
              <w:jc w:val="center"/>
              <w:rPr>
                <w:color w:val="auto"/>
                <w:szCs w:val="21"/>
                <w:highlight w:val="none"/>
              </w:rPr>
            </w:pPr>
            <w:r>
              <w:rPr>
                <w:rFonts w:hAnsi="宋体"/>
                <w:color w:val="auto"/>
                <w:szCs w:val="21"/>
                <w:highlight w:val="none"/>
              </w:rPr>
              <w:t>姓名</w:t>
            </w:r>
          </w:p>
        </w:tc>
        <w:tc>
          <w:tcPr>
            <w:tcW w:w="2160" w:type="dxa"/>
            <w:gridSpan w:val="4"/>
          </w:tcPr>
          <w:p>
            <w:pPr>
              <w:tabs>
                <w:tab w:val="left" w:pos="993"/>
              </w:tabs>
              <w:spacing w:line="360" w:lineRule="auto"/>
              <w:jc w:val="center"/>
              <w:rPr>
                <w:color w:val="auto"/>
                <w:szCs w:val="21"/>
                <w:highlight w:val="none"/>
              </w:rPr>
            </w:pPr>
          </w:p>
        </w:tc>
        <w:tc>
          <w:tcPr>
            <w:tcW w:w="1080" w:type="dxa"/>
            <w:gridSpan w:val="2"/>
          </w:tcPr>
          <w:p>
            <w:pPr>
              <w:tabs>
                <w:tab w:val="left" w:pos="993"/>
              </w:tabs>
              <w:spacing w:line="360" w:lineRule="auto"/>
              <w:jc w:val="center"/>
              <w:rPr>
                <w:color w:val="auto"/>
                <w:szCs w:val="21"/>
                <w:highlight w:val="none"/>
              </w:rPr>
            </w:pPr>
            <w:r>
              <w:rPr>
                <w:rFonts w:hAnsi="宋体"/>
                <w:color w:val="auto"/>
                <w:szCs w:val="21"/>
                <w:highlight w:val="none"/>
              </w:rPr>
              <w:t>性别</w:t>
            </w:r>
          </w:p>
        </w:tc>
        <w:tc>
          <w:tcPr>
            <w:tcW w:w="1800" w:type="dxa"/>
            <w:gridSpan w:val="3"/>
          </w:tcPr>
          <w:p>
            <w:pPr>
              <w:tabs>
                <w:tab w:val="left" w:pos="993"/>
              </w:tabs>
              <w:spacing w:line="360" w:lineRule="auto"/>
              <w:jc w:val="center"/>
              <w:rPr>
                <w:color w:val="auto"/>
                <w:szCs w:val="21"/>
                <w:highlight w:val="none"/>
              </w:rPr>
            </w:pPr>
          </w:p>
        </w:tc>
        <w:tc>
          <w:tcPr>
            <w:tcW w:w="900" w:type="dxa"/>
          </w:tcPr>
          <w:p>
            <w:pPr>
              <w:tabs>
                <w:tab w:val="left" w:pos="993"/>
              </w:tabs>
              <w:spacing w:line="360" w:lineRule="auto"/>
              <w:jc w:val="center"/>
              <w:rPr>
                <w:color w:val="auto"/>
                <w:szCs w:val="21"/>
                <w:highlight w:val="none"/>
              </w:rPr>
            </w:pPr>
            <w:r>
              <w:rPr>
                <w:rFonts w:hAnsi="宋体"/>
                <w:color w:val="auto"/>
                <w:szCs w:val="21"/>
                <w:highlight w:val="none"/>
              </w:rPr>
              <w:t>年龄</w:t>
            </w:r>
          </w:p>
        </w:tc>
        <w:tc>
          <w:tcPr>
            <w:tcW w:w="1728" w:type="dxa"/>
            <w:gridSpan w:val="2"/>
          </w:tcPr>
          <w:p>
            <w:pPr>
              <w:tabs>
                <w:tab w:val="left" w:pos="993"/>
              </w:tabs>
              <w:spacing w:line="360" w:lineRule="auto"/>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tcPr>
          <w:p>
            <w:pPr>
              <w:tabs>
                <w:tab w:val="left" w:pos="993"/>
              </w:tabs>
              <w:spacing w:line="360" w:lineRule="auto"/>
              <w:jc w:val="center"/>
              <w:rPr>
                <w:color w:val="auto"/>
                <w:szCs w:val="21"/>
                <w:highlight w:val="none"/>
              </w:rPr>
            </w:pPr>
            <w:r>
              <w:rPr>
                <w:rFonts w:hAnsi="宋体"/>
                <w:color w:val="auto"/>
                <w:szCs w:val="21"/>
                <w:highlight w:val="none"/>
              </w:rPr>
              <w:t>职务</w:t>
            </w:r>
          </w:p>
        </w:tc>
        <w:tc>
          <w:tcPr>
            <w:tcW w:w="2160" w:type="dxa"/>
            <w:gridSpan w:val="4"/>
          </w:tcPr>
          <w:p>
            <w:pPr>
              <w:tabs>
                <w:tab w:val="left" w:pos="993"/>
              </w:tabs>
              <w:spacing w:line="360" w:lineRule="auto"/>
              <w:jc w:val="center"/>
              <w:rPr>
                <w:color w:val="auto"/>
                <w:szCs w:val="21"/>
                <w:highlight w:val="none"/>
              </w:rPr>
            </w:pPr>
          </w:p>
        </w:tc>
        <w:tc>
          <w:tcPr>
            <w:tcW w:w="1080" w:type="dxa"/>
            <w:gridSpan w:val="2"/>
          </w:tcPr>
          <w:p>
            <w:pPr>
              <w:tabs>
                <w:tab w:val="left" w:pos="993"/>
              </w:tabs>
              <w:spacing w:line="360" w:lineRule="auto"/>
              <w:jc w:val="center"/>
              <w:rPr>
                <w:color w:val="auto"/>
                <w:szCs w:val="21"/>
                <w:highlight w:val="none"/>
              </w:rPr>
            </w:pPr>
            <w:r>
              <w:rPr>
                <w:rFonts w:hAnsi="宋体"/>
                <w:color w:val="auto"/>
                <w:szCs w:val="21"/>
                <w:highlight w:val="none"/>
              </w:rPr>
              <w:t>职称</w:t>
            </w:r>
          </w:p>
        </w:tc>
        <w:tc>
          <w:tcPr>
            <w:tcW w:w="1800" w:type="dxa"/>
            <w:gridSpan w:val="3"/>
          </w:tcPr>
          <w:p>
            <w:pPr>
              <w:tabs>
                <w:tab w:val="left" w:pos="993"/>
              </w:tabs>
              <w:spacing w:line="360" w:lineRule="auto"/>
              <w:jc w:val="center"/>
              <w:rPr>
                <w:color w:val="auto"/>
                <w:szCs w:val="21"/>
                <w:highlight w:val="none"/>
              </w:rPr>
            </w:pPr>
          </w:p>
        </w:tc>
        <w:tc>
          <w:tcPr>
            <w:tcW w:w="900" w:type="dxa"/>
          </w:tcPr>
          <w:p>
            <w:pPr>
              <w:tabs>
                <w:tab w:val="left" w:pos="993"/>
              </w:tabs>
              <w:spacing w:line="360" w:lineRule="auto"/>
              <w:jc w:val="center"/>
              <w:rPr>
                <w:color w:val="auto"/>
                <w:szCs w:val="21"/>
                <w:highlight w:val="none"/>
              </w:rPr>
            </w:pPr>
            <w:r>
              <w:rPr>
                <w:rFonts w:hAnsi="宋体"/>
                <w:color w:val="auto"/>
                <w:szCs w:val="21"/>
                <w:highlight w:val="none"/>
              </w:rPr>
              <w:t>学历</w:t>
            </w:r>
          </w:p>
        </w:tc>
        <w:tc>
          <w:tcPr>
            <w:tcW w:w="1728" w:type="dxa"/>
            <w:gridSpan w:val="2"/>
          </w:tcPr>
          <w:p>
            <w:pPr>
              <w:tabs>
                <w:tab w:val="left" w:pos="993"/>
              </w:tabs>
              <w:spacing w:line="360" w:lineRule="auto"/>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988" w:type="dxa"/>
            <w:gridSpan w:val="4"/>
          </w:tcPr>
          <w:p>
            <w:pPr>
              <w:tabs>
                <w:tab w:val="left" w:pos="993"/>
              </w:tabs>
              <w:spacing w:line="360" w:lineRule="auto"/>
              <w:jc w:val="center"/>
              <w:rPr>
                <w:color w:val="auto"/>
                <w:szCs w:val="21"/>
                <w:highlight w:val="none"/>
              </w:rPr>
            </w:pPr>
            <w:r>
              <w:rPr>
                <w:rFonts w:hAnsi="宋体"/>
                <w:color w:val="auto"/>
                <w:szCs w:val="21"/>
                <w:highlight w:val="none"/>
              </w:rPr>
              <w:t>参加工作时间</w:t>
            </w:r>
          </w:p>
        </w:tc>
        <w:tc>
          <w:tcPr>
            <w:tcW w:w="1800" w:type="dxa"/>
            <w:gridSpan w:val="4"/>
          </w:tcPr>
          <w:p>
            <w:pPr>
              <w:tabs>
                <w:tab w:val="left" w:pos="993"/>
              </w:tabs>
              <w:spacing w:line="360" w:lineRule="auto"/>
              <w:jc w:val="center"/>
              <w:rPr>
                <w:color w:val="auto"/>
                <w:szCs w:val="21"/>
                <w:highlight w:val="none"/>
              </w:rPr>
            </w:pPr>
          </w:p>
        </w:tc>
        <w:tc>
          <w:tcPr>
            <w:tcW w:w="2442" w:type="dxa"/>
            <w:gridSpan w:val="4"/>
          </w:tcPr>
          <w:p>
            <w:pPr>
              <w:tabs>
                <w:tab w:val="left" w:pos="993"/>
              </w:tabs>
              <w:spacing w:line="360" w:lineRule="auto"/>
              <w:jc w:val="center"/>
              <w:rPr>
                <w:color w:val="auto"/>
                <w:szCs w:val="21"/>
                <w:highlight w:val="none"/>
              </w:rPr>
            </w:pPr>
            <w:r>
              <w:rPr>
                <w:rFonts w:hAnsi="宋体"/>
                <w:color w:val="auto"/>
                <w:szCs w:val="21"/>
                <w:highlight w:val="none"/>
              </w:rPr>
              <w:t>担任项目负责人年限</w:t>
            </w:r>
          </w:p>
        </w:tc>
        <w:tc>
          <w:tcPr>
            <w:tcW w:w="1446" w:type="dxa"/>
          </w:tcPr>
          <w:p>
            <w:pPr>
              <w:tabs>
                <w:tab w:val="left" w:pos="993"/>
              </w:tabs>
              <w:spacing w:line="360" w:lineRule="auto"/>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988" w:type="dxa"/>
            <w:gridSpan w:val="4"/>
          </w:tcPr>
          <w:p>
            <w:pPr>
              <w:tabs>
                <w:tab w:val="left" w:pos="993"/>
              </w:tabs>
              <w:spacing w:line="360" w:lineRule="auto"/>
              <w:jc w:val="center"/>
              <w:rPr>
                <w:color w:val="auto"/>
                <w:szCs w:val="21"/>
                <w:highlight w:val="none"/>
              </w:rPr>
            </w:pPr>
            <w:r>
              <w:rPr>
                <w:rFonts w:hAnsi="宋体"/>
                <w:color w:val="auto"/>
                <w:szCs w:val="21"/>
                <w:highlight w:val="none"/>
              </w:rPr>
              <w:t>项目负责人注册证书编号</w:t>
            </w:r>
          </w:p>
        </w:tc>
        <w:tc>
          <w:tcPr>
            <w:tcW w:w="5688" w:type="dxa"/>
            <w:gridSpan w:val="9"/>
          </w:tcPr>
          <w:p>
            <w:pPr>
              <w:tabs>
                <w:tab w:val="left" w:pos="993"/>
              </w:tabs>
              <w:spacing w:line="360" w:lineRule="auto"/>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8676" w:type="dxa"/>
            <w:gridSpan w:val="13"/>
          </w:tcPr>
          <w:p>
            <w:pPr>
              <w:tabs>
                <w:tab w:val="left" w:pos="993"/>
              </w:tabs>
              <w:spacing w:line="360" w:lineRule="auto"/>
              <w:jc w:val="center"/>
              <w:rPr>
                <w:color w:val="auto"/>
                <w:szCs w:val="21"/>
                <w:highlight w:val="none"/>
              </w:rPr>
            </w:pPr>
            <w:r>
              <w:rPr>
                <w:rFonts w:hAnsi="宋体"/>
                <w:color w:val="auto"/>
                <w:szCs w:val="21"/>
                <w:highlight w:val="none"/>
              </w:rPr>
              <w:t>在建和已完工程项目情况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gridSpan w:val="2"/>
          </w:tcPr>
          <w:p>
            <w:pPr>
              <w:tabs>
                <w:tab w:val="left" w:pos="993"/>
              </w:tabs>
              <w:spacing w:line="360" w:lineRule="auto"/>
              <w:jc w:val="center"/>
              <w:rPr>
                <w:color w:val="auto"/>
                <w:szCs w:val="21"/>
                <w:highlight w:val="none"/>
              </w:rPr>
            </w:pPr>
            <w:r>
              <w:rPr>
                <w:rFonts w:hAnsi="宋体"/>
                <w:color w:val="auto"/>
                <w:szCs w:val="21"/>
                <w:highlight w:val="none"/>
              </w:rPr>
              <w:t>建设单位</w:t>
            </w:r>
          </w:p>
        </w:tc>
        <w:tc>
          <w:tcPr>
            <w:tcW w:w="1446" w:type="dxa"/>
          </w:tcPr>
          <w:p>
            <w:pPr>
              <w:tabs>
                <w:tab w:val="left" w:pos="993"/>
              </w:tabs>
              <w:spacing w:line="360" w:lineRule="auto"/>
              <w:jc w:val="center"/>
              <w:rPr>
                <w:color w:val="auto"/>
                <w:szCs w:val="21"/>
                <w:highlight w:val="none"/>
              </w:rPr>
            </w:pPr>
            <w:r>
              <w:rPr>
                <w:rFonts w:hAnsi="宋体"/>
                <w:color w:val="auto"/>
                <w:szCs w:val="21"/>
                <w:highlight w:val="none"/>
              </w:rPr>
              <w:t>项目名称</w:t>
            </w:r>
          </w:p>
        </w:tc>
        <w:tc>
          <w:tcPr>
            <w:tcW w:w="1176" w:type="dxa"/>
            <w:gridSpan w:val="3"/>
          </w:tcPr>
          <w:p>
            <w:pPr>
              <w:tabs>
                <w:tab w:val="left" w:pos="993"/>
              </w:tabs>
              <w:spacing w:line="360" w:lineRule="auto"/>
              <w:jc w:val="center"/>
              <w:rPr>
                <w:color w:val="auto"/>
                <w:szCs w:val="21"/>
                <w:highlight w:val="none"/>
              </w:rPr>
            </w:pPr>
            <w:r>
              <w:rPr>
                <w:rFonts w:hAnsi="宋体"/>
                <w:color w:val="auto"/>
                <w:szCs w:val="21"/>
                <w:highlight w:val="none"/>
              </w:rPr>
              <w:t>建设规模</w:t>
            </w:r>
          </w:p>
        </w:tc>
        <w:tc>
          <w:tcPr>
            <w:tcW w:w="1716" w:type="dxa"/>
            <w:gridSpan w:val="3"/>
          </w:tcPr>
          <w:p>
            <w:pPr>
              <w:tabs>
                <w:tab w:val="left" w:pos="993"/>
              </w:tabs>
              <w:spacing w:line="360" w:lineRule="auto"/>
              <w:jc w:val="center"/>
              <w:rPr>
                <w:color w:val="auto"/>
                <w:szCs w:val="21"/>
                <w:highlight w:val="none"/>
              </w:rPr>
            </w:pPr>
            <w:r>
              <w:rPr>
                <w:rFonts w:hAnsi="宋体"/>
                <w:color w:val="auto"/>
                <w:szCs w:val="21"/>
                <w:highlight w:val="none"/>
              </w:rPr>
              <w:t>开、竣工日期</w:t>
            </w:r>
          </w:p>
        </w:tc>
        <w:tc>
          <w:tcPr>
            <w:tcW w:w="1446" w:type="dxa"/>
            <w:gridSpan w:val="3"/>
          </w:tcPr>
          <w:p>
            <w:pPr>
              <w:tabs>
                <w:tab w:val="left" w:pos="993"/>
              </w:tabs>
              <w:spacing w:line="360" w:lineRule="auto"/>
              <w:jc w:val="center"/>
              <w:rPr>
                <w:color w:val="auto"/>
                <w:szCs w:val="21"/>
                <w:highlight w:val="none"/>
              </w:rPr>
            </w:pPr>
            <w:r>
              <w:rPr>
                <w:rFonts w:hAnsi="宋体"/>
                <w:color w:val="auto"/>
                <w:szCs w:val="21"/>
                <w:highlight w:val="none"/>
              </w:rPr>
              <w:t>在建或已完</w:t>
            </w:r>
          </w:p>
        </w:tc>
        <w:tc>
          <w:tcPr>
            <w:tcW w:w="1446" w:type="dxa"/>
          </w:tcPr>
          <w:p>
            <w:pPr>
              <w:tabs>
                <w:tab w:val="left" w:pos="993"/>
              </w:tabs>
              <w:spacing w:line="360" w:lineRule="auto"/>
              <w:jc w:val="center"/>
              <w:rPr>
                <w:color w:val="auto"/>
                <w:szCs w:val="21"/>
                <w:highlight w:val="none"/>
              </w:rPr>
            </w:pPr>
            <w:r>
              <w:rPr>
                <w:rFonts w:hAnsi="宋体"/>
                <w:color w:val="auto"/>
                <w:szCs w:val="21"/>
                <w:highlight w:val="none"/>
              </w:rPr>
              <w:t>工程质量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gridSpan w:val="2"/>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c>
          <w:tcPr>
            <w:tcW w:w="1176" w:type="dxa"/>
            <w:gridSpan w:val="3"/>
          </w:tcPr>
          <w:p>
            <w:pPr>
              <w:tabs>
                <w:tab w:val="left" w:pos="993"/>
              </w:tabs>
              <w:spacing w:line="360" w:lineRule="auto"/>
              <w:jc w:val="center"/>
              <w:rPr>
                <w:color w:val="auto"/>
                <w:sz w:val="24"/>
                <w:highlight w:val="none"/>
              </w:rPr>
            </w:pPr>
          </w:p>
        </w:tc>
        <w:tc>
          <w:tcPr>
            <w:tcW w:w="1716" w:type="dxa"/>
            <w:gridSpan w:val="3"/>
          </w:tcPr>
          <w:p>
            <w:pPr>
              <w:tabs>
                <w:tab w:val="left" w:pos="993"/>
              </w:tabs>
              <w:spacing w:line="360" w:lineRule="auto"/>
              <w:jc w:val="center"/>
              <w:rPr>
                <w:color w:val="auto"/>
                <w:sz w:val="24"/>
                <w:highlight w:val="none"/>
              </w:rPr>
            </w:pPr>
          </w:p>
        </w:tc>
        <w:tc>
          <w:tcPr>
            <w:tcW w:w="1446" w:type="dxa"/>
            <w:gridSpan w:val="3"/>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gridSpan w:val="2"/>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c>
          <w:tcPr>
            <w:tcW w:w="1176" w:type="dxa"/>
            <w:gridSpan w:val="3"/>
          </w:tcPr>
          <w:p>
            <w:pPr>
              <w:tabs>
                <w:tab w:val="left" w:pos="993"/>
              </w:tabs>
              <w:spacing w:line="360" w:lineRule="auto"/>
              <w:jc w:val="center"/>
              <w:rPr>
                <w:color w:val="auto"/>
                <w:sz w:val="24"/>
                <w:highlight w:val="none"/>
              </w:rPr>
            </w:pPr>
          </w:p>
        </w:tc>
        <w:tc>
          <w:tcPr>
            <w:tcW w:w="1716" w:type="dxa"/>
            <w:gridSpan w:val="3"/>
          </w:tcPr>
          <w:p>
            <w:pPr>
              <w:tabs>
                <w:tab w:val="left" w:pos="993"/>
              </w:tabs>
              <w:spacing w:line="360" w:lineRule="auto"/>
              <w:jc w:val="center"/>
              <w:rPr>
                <w:color w:val="auto"/>
                <w:sz w:val="24"/>
                <w:highlight w:val="none"/>
              </w:rPr>
            </w:pPr>
          </w:p>
        </w:tc>
        <w:tc>
          <w:tcPr>
            <w:tcW w:w="1446" w:type="dxa"/>
            <w:gridSpan w:val="3"/>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gridSpan w:val="2"/>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c>
          <w:tcPr>
            <w:tcW w:w="1176" w:type="dxa"/>
            <w:gridSpan w:val="3"/>
          </w:tcPr>
          <w:p>
            <w:pPr>
              <w:tabs>
                <w:tab w:val="left" w:pos="993"/>
              </w:tabs>
              <w:spacing w:line="360" w:lineRule="auto"/>
              <w:jc w:val="center"/>
              <w:rPr>
                <w:color w:val="auto"/>
                <w:sz w:val="24"/>
                <w:highlight w:val="none"/>
              </w:rPr>
            </w:pPr>
          </w:p>
        </w:tc>
        <w:tc>
          <w:tcPr>
            <w:tcW w:w="1716" w:type="dxa"/>
            <w:gridSpan w:val="3"/>
          </w:tcPr>
          <w:p>
            <w:pPr>
              <w:tabs>
                <w:tab w:val="left" w:pos="993"/>
              </w:tabs>
              <w:spacing w:line="360" w:lineRule="auto"/>
              <w:jc w:val="center"/>
              <w:rPr>
                <w:color w:val="auto"/>
                <w:sz w:val="24"/>
                <w:highlight w:val="none"/>
              </w:rPr>
            </w:pPr>
          </w:p>
        </w:tc>
        <w:tc>
          <w:tcPr>
            <w:tcW w:w="1446" w:type="dxa"/>
            <w:gridSpan w:val="3"/>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gridSpan w:val="2"/>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c>
          <w:tcPr>
            <w:tcW w:w="1176" w:type="dxa"/>
            <w:gridSpan w:val="3"/>
          </w:tcPr>
          <w:p>
            <w:pPr>
              <w:tabs>
                <w:tab w:val="left" w:pos="993"/>
              </w:tabs>
              <w:spacing w:line="360" w:lineRule="auto"/>
              <w:jc w:val="center"/>
              <w:rPr>
                <w:color w:val="auto"/>
                <w:sz w:val="24"/>
                <w:highlight w:val="none"/>
              </w:rPr>
            </w:pPr>
          </w:p>
        </w:tc>
        <w:tc>
          <w:tcPr>
            <w:tcW w:w="1716" w:type="dxa"/>
            <w:gridSpan w:val="3"/>
          </w:tcPr>
          <w:p>
            <w:pPr>
              <w:tabs>
                <w:tab w:val="left" w:pos="993"/>
              </w:tabs>
              <w:spacing w:line="360" w:lineRule="auto"/>
              <w:jc w:val="center"/>
              <w:rPr>
                <w:color w:val="auto"/>
                <w:sz w:val="24"/>
                <w:highlight w:val="none"/>
              </w:rPr>
            </w:pPr>
          </w:p>
        </w:tc>
        <w:tc>
          <w:tcPr>
            <w:tcW w:w="1446" w:type="dxa"/>
            <w:gridSpan w:val="3"/>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gridSpan w:val="2"/>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c>
          <w:tcPr>
            <w:tcW w:w="1176" w:type="dxa"/>
            <w:gridSpan w:val="3"/>
          </w:tcPr>
          <w:p>
            <w:pPr>
              <w:tabs>
                <w:tab w:val="left" w:pos="993"/>
              </w:tabs>
              <w:spacing w:line="360" w:lineRule="auto"/>
              <w:jc w:val="center"/>
              <w:rPr>
                <w:color w:val="auto"/>
                <w:sz w:val="24"/>
                <w:highlight w:val="none"/>
              </w:rPr>
            </w:pPr>
          </w:p>
        </w:tc>
        <w:tc>
          <w:tcPr>
            <w:tcW w:w="1716" w:type="dxa"/>
            <w:gridSpan w:val="3"/>
          </w:tcPr>
          <w:p>
            <w:pPr>
              <w:tabs>
                <w:tab w:val="left" w:pos="993"/>
              </w:tabs>
              <w:spacing w:line="360" w:lineRule="auto"/>
              <w:jc w:val="center"/>
              <w:rPr>
                <w:color w:val="auto"/>
                <w:sz w:val="24"/>
                <w:highlight w:val="none"/>
              </w:rPr>
            </w:pPr>
          </w:p>
        </w:tc>
        <w:tc>
          <w:tcPr>
            <w:tcW w:w="1446" w:type="dxa"/>
            <w:gridSpan w:val="3"/>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gridSpan w:val="2"/>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c>
          <w:tcPr>
            <w:tcW w:w="1176" w:type="dxa"/>
            <w:gridSpan w:val="3"/>
          </w:tcPr>
          <w:p>
            <w:pPr>
              <w:tabs>
                <w:tab w:val="left" w:pos="993"/>
              </w:tabs>
              <w:spacing w:line="360" w:lineRule="auto"/>
              <w:jc w:val="center"/>
              <w:rPr>
                <w:color w:val="auto"/>
                <w:sz w:val="24"/>
                <w:highlight w:val="none"/>
              </w:rPr>
            </w:pPr>
          </w:p>
        </w:tc>
        <w:tc>
          <w:tcPr>
            <w:tcW w:w="1716" w:type="dxa"/>
            <w:gridSpan w:val="3"/>
          </w:tcPr>
          <w:p>
            <w:pPr>
              <w:tabs>
                <w:tab w:val="left" w:pos="993"/>
              </w:tabs>
              <w:spacing w:line="360" w:lineRule="auto"/>
              <w:jc w:val="center"/>
              <w:rPr>
                <w:color w:val="auto"/>
                <w:sz w:val="24"/>
                <w:highlight w:val="none"/>
              </w:rPr>
            </w:pPr>
          </w:p>
        </w:tc>
        <w:tc>
          <w:tcPr>
            <w:tcW w:w="1446" w:type="dxa"/>
            <w:gridSpan w:val="3"/>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gridSpan w:val="2"/>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c>
          <w:tcPr>
            <w:tcW w:w="1176" w:type="dxa"/>
            <w:gridSpan w:val="3"/>
          </w:tcPr>
          <w:p>
            <w:pPr>
              <w:tabs>
                <w:tab w:val="left" w:pos="993"/>
              </w:tabs>
              <w:spacing w:line="360" w:lineRule="auto"/>
              <w:jc w:val="center"/>
              <w:rPr>
                <w:color w:val="auto"/>
                <w:sz w:val="24"/>
                <w:highlight w:val="none"/>
              </w:rPr>
            </w:pPr>
          </w:p>
        </w:tc>
        <w:tc>
          <w:tcPr>
            <w:tcW w:w="1716" w:type="dxa"/>
            <w:gridSpan w:val="3"/>
          </w:tcPr>
          <w:p>
            <w:pPr>
              <w:tabs>
                <w:tab w:val="left" w:pos="993"/>
              </w:tabs>
              <w:spacing w:line="360" w:lineRule="auto"/>
              <w:jc w:val="center"/>
              <w:rPr>
                <w:color w:val="auto"/>
                <w:sz w:val="24"/>
                <w:highlight w:val="none"/>
              </w:rPr>
            </w:pPr>
          </w:p>
        </w:tc>
        <w:tc>
          <w:tcPr>
            <w:tcW w:w="1446" w:type="dxa"/>
            <w:gridSpan w:val="3"/>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gridSpan w:val="2"/>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c>
          <w:tcPr>
            <w:tcW w:w="1176" w:type="dxa"/>
            <w:gridSpan w:val="3"/>
          </w:tcPr>
          <w:p>
            <w:pPr>
              <w:tabs>
                <w:tab w:val="left" w:pos="993"/>
              </w:tabs>
              <w:spacing w:line="360" w:lineRule="auto"/>
              <w:jc w:val="center"/>
              <w:rPr>
                <w:color w:val="auto"/>
                <w:sz w:val="24"/>
                <w:highlight w:val="none"/>
              </w:rPr>
            </w:pPr>
          </w:p>
        </w:tc>
        <w:tc>
          <w:tcPr>
            <w:tcW w:w="1716" w:type="dxa"/>
            <w:gridSpan w:val="3"/>
          </w:tcPr>
          <w:p>
            <w:pPr>
              <w:tabs>
                <w:tab w:val="left" w:pos="993"/>
              </w:tabs>
              <w:spacing w:line="360" w:lineRule="auto"/>
              <w:jc w:val="center"/>
              <w:rPr>
                <w:color w:val="auto"/>
                <w:sz w:val="24"/>
                <w:highlight w:val="none"/>
              </w:rPr>
            </w:pPr>
          </w:p>
        </w:tc>
        <w:tc>
          <w:tcPr>
            <w:tcW w:w="1446" w:type="dxa"/>
            <w:gridSpan w:val="3"/>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gridSpan w:val="2"/>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c>
          <w:tcPr>
            <w:tcW w:w="1176" w:type="dxa"/>
            <w:gridSpan w:val="3"/>
          </w:tcPr>
          <w:p>
            <w:pPr>
              <w:tabs>
                <w:tab w:val="left" w:pos="993"/>
              </w:tabs>
              <w:spacing w:line="360" w:lineRule="auto"/>
              <w:jc w:val="center"/>
              <w:rPr>
                <w:color w:val="auto"/>
                <w:sz w:val="24"/>
                <w:highlight w:val="none"/>
              </w:rPr>
            </w:pPr>
          </w:p>
        </w:tc>
        <w:tc>
          <w:tcPr>
            <w:tcW w:w="1716" w:type="dxa"/>
            <w:gridSpan w:val="3"/>
          </w:tcPr>
          <w:p>
            <w:pPr>
              <w:tabs>
                <w:tab w:val="left" w:pos="993"/>
              </w:tabs>
              <w:spacing w:line="360" w:lineRule="auto"/>
              <w:jc w:val="center"/>
              <w:rPr>
                <w:color w:val="auto"/>
                <w:sz w:val="24"/>
                <w:highlight w:val="none"/>
              </w:rPr>
            </w:pPr>
          </w:p>
        </w:tc>
        <w:tc>
          <w:tcPr>
            <w:tcW w:w="1446" w:type="dxa"/>
            <w:gridSpan w:val="3"/>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gridSpan w:val="2"/>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c>
          <w:tcPr>
            <w:tcW w:w="1176" w:type="dxa"/>
            <w:gridSpan w:val="3"/>
          </w:tcPr>
          <w:p>
            <w:pPr>
              <w:tabs>
                <w:tab w:val="left" w:pos="993"/>
              </w:tabs>
              <w:spacing w:line="360" w:lineRule="auto"/>
              <w:jc w:val="center"/>
              <w:rPr>
                <w:color w:val="auto"/>
                <w:sz w:val="24"/>
                <w:highlight w:val="none"/>
              </w:rPr>
            </w:pPr>
          </w:p>
        </w:tc>
        <w:tc>
          <w:tcPr>
            <w:tcW w:w="1716" w:type="dxa"/>
            <w:gridSpan w:val="3"/>
          </w:tcPr>
          <w:p>
            <w:pPr>
              <w:tabs>
                <w:tab w:val="left" w:pos="993"/>
              </w:tabs>
              <w:spacing w:line="360" w:lineRule="auto"/>
              <w:jc w:val="center"/>
              <w:rPr>
                <w:color w:val="auto"/>
                <w:sz w:val="24"/>
                <w:highlight w:val="none"/>
              </w:rPr>
            </w:pPr>
          </w:p>
        </w:tc>
        <w:tc>
          <w:tcPr>
            <w:tcW w:w="1446" w:type="dxa"/>
            <w:gridSpan w:val="3"/>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gridSpan w:val="2"/>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c>
          <w:tcPr>
            <w:tcW w:w="1176" w:type="dxa"/>
            <w:gridSpan w:val="3"/>
          </w:tcPr>
          <w:p>
            <w:pPr>
              <w:tabs>
                <w:tab w:val="left" w:pos="993"/>
              </w:tabs>
              <w:spacing w:line="360" w:lineRule="auto"/>
              <w:jc w:val="center"/>
              <w:rPr>
                <w:color w:val="auto"/>
                <w:sz w:val="24"/>
                <w:highlight w:val="none"/>
              </w:rPr>
            </w:pPr>
          </w:p>
        </w:tc>
        <w:tc>
          <w:tcPr>
            <w:tcW w:w="1716" w:type="dxa"/>
            <w:gridSpan w:val="3"/>
          </w:tcPr>
          <w:p>
            <w:pPr>
              <w:tabs>
                <w:tab w:val="left" w:pos="993"/>
              </w:tabs>
              <w:spacing w:line="360" w:lineRule="auto"/>
              <w:jc w:val="center"/>
              <w:rPr>
                <w:color w:val="auto"/>
                <w:sz w:val="24"/>
                <w:highlight w:val="none"/>
              </w:rPr>
            </w:pPr>
          </w:p>
        </w:tc>
        <w:tc>
          <w:tcPr>
            <w:tcW w:w="1446" w:type="dxa"/>
            <w:gridSpan w:val="3"/>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gridSpan w:val="2"/>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c>
          <w:tcPr>
            <w:tcW w:w="1176" w:type="dxa"/>
            <w:gridSpan w:val="3"/>
          </w:tcPr>
          <w:p>
            <w:pPr>
              <w:tabs>
                <w:tab w:val="left" w:pos="993"/>
              </w:tabs>
              <w:spacing w:line="360" w:lineRule="auto"/>
              <w:jc w:val="center"/>
              <w:rPr>
                <w:color w:val="auto"/>
                <w:sz w:val="24"/>
                <w:highlight w:val="none"/>
              </w:rPr>
            </w:pPr>
          </w:p>
        </w:tc>
        <w:tc>
          <w:tcPr>
            <w:tcW w:w="1716" w:type="dxa"/>
            <w:gridSpan w:val="3"/>
          </w:tcPr>
          <w:p>
            <w:pPr>
              <w:tabs>
                <w:tab w:val="left" w:pos="993"/>
              </w:tabs>
              <w:spacing w:line="360" w:lineRule="auto"/>
              <w:jc w:val="center"/>
              <w:rPr>
                <w:color w:val="auto"/>
                <w:sz w:val="24"/>
                <w:highlight w:val="none"/>
              </w:rPr>
            </w:pPr>
          </w:p>
        </w:tc>
        <w:tc>
          <w:tcPr>
            <w:tcW w:w="1446" w:type="dxa"/>
            <w:gridSpan w:val="3"/>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6" w:type="dxa"/>
            <w:gridSpan w:val="2"/>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c>
          <w:tcPr>
            <w:tcW w:w="1176" w:type="dxa"/>
            <w:gridSpan w:val="3"/>
          </w:tcPr>
          <w:p>
            <w:pPr>
              <w:tabs>
                <w:tab w:val="left" w:pos="993"/>
              </w:tabs>
              <w:spacing w:line="360" w:lineRule="auto"/>
              <w:jc w:val="center"/>
              <w:rPr>
                <w:color w:val="auto"/>
                <w:sz w:val="24"/>
                <w:highlight w:val="none"/>
              </w:rPr>
            </w:pPr>
          </w:p>
        </w:tc>
        <w:tc>
          <w:tcPr>
            <w:tcW w:w="1716" w:type="dxa"/>
            <w:gridSpan w:val="3"/>
          </w:tcPr>
          <w:p>
            <w:pPr>
              <w:tabs>
                <w:tab w:val="left" w:pos="993"/>
              </w:tabs>
              <w:spacing w:line="360" w:lineRule="auto"/>
              <w:jc w:val="center"/>
              <w:rPr>
                <w:color w:val="auto"/>
                <w:sz w:val="24"/>
                <w:highlight w:val="none"/>
              </w:rPr>
            </w:pPr>
          </w:p>
        </w:tc>
        <w:tc>
          <w:tcPr>
            <w:tcW w:w="1446" w:type="dxa"/>
            <w:gridSpan w:val="3"/>
          </w:tcPr>
          <w:p>
            <w:pPr>
              <w:tabs>
                <w:tab w:val="left" w:pos="993"/>
              </w:tabs>
              <w:spacing w:line="360" w:lineRule="auto"/>
              <w:jc w:val="center"/>
              <w:rPr>
                <w:color w:val="auto"/>
                <w:sz w:val="24"/>
                <w:highlight w:val="none"/>
              </w:rPr>
            </w:pPr>
          </w:p>
        </w:tc>
        <w:tc>
          <w:tcPr>
            <w:tcW w:w="1446" w:type="dxa"/>
          </w:tcPr>
          <w:p>
            <w:pPr>
              <w:tabs>
                <w:tab w:val="left" w:pos="993"/>
              </w:tabs>
              <w:spacing w:line="360" w:lineRule="auto"/>
              <w:jc w:val="center"/>
              <w:rPr>
                <w:color w:val="auto"/>
                <w:sz w:val="24"/>
                <w:highlight w:val="none"/>
              </w:rPr>
            </w:pPr>
          </w:p>
        </w:tc>
      </w:tr>
    </w:tbl>
    <w:p>
      <w:pPr>
        <w:tabs>
          <w:tab w:val="left" w:pos="993"/>
        </w:tabs>
        <w:spacing w:line="360" w:lineRule="auto"/>
        <w:rPr>
          <w:color w:val="auto"/>
          <w:sz w:val="24"/>
          <w:highlight w:val="none"/>
        </w:rPr>
      </w:pPr>
    </w:p>
    <w:p>
      <w:pPr>
        <w:tabs>
          <w:tab w:val="left" w:pos="993"/>
        </w:tabs>
        <w:spacing w:line="360" w:lineRule="auto"/>
        <w:rPr>
          <w:color w:val="auto"/>
          <w:highlight w:val="none"/>
        </w:rPr>
      </w:pPr>
      <w:r>
        <w:rPr>
          <w:color w:val="auto"/>
          <w:highlight w:val="none"/>
        </w:rPr>
        <w:br w:type="page"/>
      </w:r>
    </w:p>
    <w:p>
      <w:pPr>
        <w:tabs>
          <w:tab w:val="left" w:pos="993"/>
        </w:tabs>
        <w:spacing w:line="360" w:lineRule="auto"/>
        <w:rPr>
          <w:rFonts w:hint="eastAsia" w:eastAsia="宋体"/>
          <w:color w:val="auto"/>
          <w:highlight w:val="none"/>
          <w:lang w:eastAsia="zh-CN"/>
        </w:rPr>
      </w:pPr>
      <w:r>
        <w:rPr>
          <w:rFonts w:hAnsi="宋体"/>
          <w:color w:val="auto"/>
          <w:highlight w:val="none"/>
        </w:rPr>
        <w:t>附表</w:t>
      </w:r>
      <w:r>
        <w:rPr>
          <w:rFonts w:hint="eastAsia"/>
          <w:color w:val="auto"/>
          <w:highlight w:val="none"/>
          <w:lang w:val="en-US" w:eastAsia="zh-CN"/>
        </w:rPr>
        <w:t>3</w:t>
      </w:r>
    </w:p>
    <w:p>
      <w:pPr>
        <w:tabs>
          <w:tab w:val="left" w:pos="993"/>
        </w:tabs>
        <w:spacing w:line="360" w:lineRule="auto"/>
        <w:jc w:val="center"/>
        <w:rPr>
          <w:b/>
          <w:color w:val="auto"/>
          <w:sz w:val="28"/>
          <w:highlight w:val="none"/>
        </w:rPr>
      </w:pPr>
      <w:r>
        <w:rPr>
          <w:rFonts w:hAnsi="宋体"/>
          <w:b/>
          <w:color w:val="auto"/>
          <w:sz w:val="28"/>
          <w:highlight w:val="none"/>
        </w:rPr>
        <w:t>拟派往本招标工程项目的人员情况</w:t>
      </w:r>
    </w:p>
    <w:p>
      <w:pPr>
        <w:tabs>
          <w:tab w:val="left" w:pos="993"/>
        </w:tabs>
        <w:spacing w:line="360" w:lineRule="auto"/>
        <w:rPr>
          <w:color w:val="auto"/>
          <w:szCs w:val="21"/>
          <w:highlight w:val="none"/>
          <w:u w:val="single"/>
        </w:rPr>
      </w:pPr>
      <w:r>
        <w:rPr>
          <w:rFonts w:hAnsi="宋体"/>
          <w:color w:val="auto"/>
          <w:szCs w:val="21"/>
          <w:highlight w:val="none"/>
        </w:rPr>
        <w:t>投标申请人名称：</w:t>
      </w:r>
    </w:p>
    <w:tbl>
      <w:tblPr>
        <w:tblStyle w:val="57"/>
        <w:tblW w:w="896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42"/>
        <w:gridCol w:w="918"/>
        <w:gridCol w:w="698"/>
        <w:gridCol w:w="1888"/>
        <w:gridCol w:w="1119"/>
        <w:gridCol w:w="1119"/>
        <w:gridCol w:w="594"/>
        <w:gridCol w:w="8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trPr>
        <w:tc>
          <w:tcPr>
            <w:tcW w:w="1742" w:type="dxa"/>
            <w:vMerge w:val="restart"/>
            <w:vAlign w:val="center"/>
          </w:tcPr>
          <w:p>
            <w:pPr>
              <w:tabs>
                <w:tab w:val="left" w:pos="993"/>
              </w:tabs>
              <w:spacing w:line="440" w:lineRule="exact"/>
              <w:rPr>
                <w:b/>
                <w:bCs/>
                <w:color w:val="auto"/>
                <w:szCs w:val="21"/>
                <w:highlight w:val="none"/>
              </w:rPr>
            </w:pPr>
            <w:r>
              <w:rPr>
                <w:rFonts w:hAnsi="宋体"/>
                <w:b/>
                <w:bCs/>
                <w:color w:val="auto"/>
                <w:szCs w:val="21"/>
                <w:highlight w:val="none"/>
              </w:rPr>
              <w:t>职务</w:t>
            </w:r>
          </w:p>
        </w:tc>
        <w:tc>
          <w:tcPr>
            <w:tcW w:w="918" w:type="dxa"/>
            <w:vMerge w:val="restart"/>
            <w:vAlign w:val="center"/>
          </w:tcPr>
          <w:p>
            <w:pPr>
              <w:tabs>
                <w:tab w:val="left" w:pos="993"/>
              </w:tabs>
              <w:spacing w:line="440" w:lineRule="exact"/>
              <w:rPr>
                <w:b/>
                <w:bCs/>
                <w:color w:val="auto"/>
                <w:szCs w:val="21"/>
                <w:highlight w:val="none"/>
              </w:rPr>
            </w:pPr>
            <w:r>
              <w:rPr>
                <w:rFonts w:hAnsi="宋体"/>
                <w:b/>
                <w:bCs/>
                <w:color w:val="auto"/>
                <w:szCs w:val="21"/>
                <w:highlight w:val="none"/>
              </w:rPr>
              <w:t>姓名</w:t>
            </w:r>
          </w:p>
        </w:tc>
        <w:tc>
          <w:tcPr>
            <w:tcW w:w="698" w:type="dxa"/>
            <w:vMerge w:val="restart"/>
            <w:vAlign w:val="center"/>
          </w:tcPr>
          <w:p>
            <w:pPr>
              <w:tabs>
                <w:tab w:val="left" w:pos="993"/>
              </w:tabs>
              <w:spacing w:line="440" w:lineRule="exact"/>
              <w:rPr>
                <w:b/>
                <w:bCs/>
                <w:color w:val="auto"/>
                <w:szCs w:val="21"/>
                <w:highlight w:val="none"/>
              </w:rPr>
            </w:pPr>
            <w:r>
              <w:rPr>
                <w:rFonts w:hAnsi="宋体"/>
                <w:b/>
                <w:bCs/>
                <w:color w:val="auto"/>
                <w:szCs w:val="21"/>
                <w:highlight w:val="none"/>
              </w:rPr>
              <w:t>职称</w:t>
            </w:r>
          </w:p>
        </w:tc>
        <w:tc>
          <w:tcPr>
            <w:tcW w:w="4720" w:type="dxa"/>
            <w:gridSpan w:val="4"/>
            <w:vAlign w:val="center"/>
          </w:tcPr>
          <w:p>
            <w:pPr>
              <w:tabs>
                <w:tab w:val="left" w:pos="993"/>
              </w:tabs>
              <w:spacing w:line="440" w:lineRule="exact"/>
              <w:jc w:val="center"/>
              <w:rPr>
                <w:b/>
                <w:bCs/>
                <w:color w:val="auto"/>
                <w:szCs w:val="21"/>
                <w:highlight w:val="none"/>
              </w:rPr>
            </w:pPr>
            <w:r>
              <w:rPr>
                <w:rFonts w:hAnsi="宋体"/>
                <w:b/>
                <w:bCs/>
                <w:color w:val="auto"/>
                <w:szCs w:val="21"/>
                <w:highlight w:val="none"/>
              </w:rPr>
              <w:t>执业或职业资格证明</w:t>
            </w:r>
          </w:p>
        </w:tc>
        <w:tc>
          <w:tcPr>
            <w:tcW w:w="888" w:type="dxa"/>
            <w:vMerge w:val="restart"/>
            <w:vAlign w:val="center"/>
          </w:tcPr>
          <w:p>
            <w:pPr>
              <w:tabs>
                <w:tab w:val="left" w:pos="993"/>
              </w:tabs>
              <w:spacing w:line="440" w:lineRule="exact"/>
              <w:jc w:val="center"/>
              <w:rPr>
                <w:b/>
                <w:bCs/>
                <w:color w:val="auto"/>
                <w:szCs w:val="21"/>
                <w:highlight w:val="none"/>
              </w:rPr>
            </w:pPr>
            <w:r>
              <w:rPr>
                <w:rFonts w:hAnsi="宋体"/>
                <w:b/>
                <w:bCs/>
                <w:color w:val="auto"/>
                <w:szCs w:val="21"/>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742" w:type="dxa"/>
            <w:vMerge w:val="continue"/>
            <w:vAlign w:val="center"/>
          </w:tcPr>
          <w:p>
            <w:pPr>
              <w:tabs>
                <w:tab w:val="left" w:pos="993"/>
              </w:tabs>
              <w:spacing w:line="440" w:lineRule="exact"/>
              <w:rPr>
                <w:b/>
                <w:bCs/>
                <w:color w:val="auto"/>
                <w:szCs w:val="21"/>
                <w:highlight w:val="none"/>
              </w:rPr>
            </w:pPr>
          </w:p>
        </w:tc>
        <w:tc>
          <w:tcPr>
            <w:tcW w:w="918" w:type="dxa"/>
            <w:vMerge w:val="continue"/>
            <w:vAlign w:val="center"/>
          </w:tcPr>
          <w:p>
            <w:pPr>
              <w:tabs>
                <w:tab w:val="left" w:pos="993"/>
              </w:tabs>
              <w:spacing w:line="440" w:lineRule="exact"/>
              <w:rPr>
                <w:b/>
                <w:bCs/>
                <w:color w:val="auto"/>
                <w:szCs w:val="21"/>
                <w:highlight w:val="none"/>
              </w:rPr>
            </w:pPr>
          </w:p>
        </w:tc>
        <w:tc>
          <w:tcPr>
            <w:tcW w:w="698" w:type="dxa"/>
            <w:vMerge w:val="continue"/>
            <w:vAlign w:val="center"/>
          </w:tcPr>
          <w:p>
            <w:pPr>
              <w:tabs>
                <w:tab w:val="left" w:pos="993"/>
              </w:tabs>
              <w:spacing w:line="440" w:lineRule="exact"/>
              <w:rPr>
                <w:b/>
                <w:bCs/>
                <w:color w:val="auto"/>
                <w:szCs w:val="21"/>
                <w:highlight w:val="none"/>
              </w:rPr>
            </w:pPr>
          </w:p>
        </w:tc>
        <w:tc>
          <w:tcPr>
            <w:tcW w:w="1888" w:type="dxa"/>
            <w:vAlign w:val="center"/>
          </w:tcPr>
          <w:p>
            <w:pPr>
              <w:tabs>
                <w:tab w:val="left" w:pos="993"/>
              </w:tabs>
              <w:spacing w:line="440" w:lineRule="exact"/>
              <w:rPr>
                <w:b/>
                <w:bCs/>
                <w:color w:val="auto"/>
                <w:szCs w:val="21"/>
                <w:highlight w:val="none"/>
              </w:rPr>
            </w:pPr>
            <w:r>
              <w:rPr>
                <w:rFonts w:hAnsi="宋体"/>
                <w:b/>
                <w:bCs/>
                <w:color w:val="auto"/>
                <w:szCs w:val="21"/>
                <w:highlight w:val="none"/>
              </w:rPr>
              <w:t>证书名称</w:t>
            </w:r>
          </w:p>
        </w:tc>
        <w:tc>
          <w:tcPr>
            <w:tcW w:w="1119" w:type="dxa"/>
            <w:vAlign w:val="center"/>
          </w:tcPr>
          <w:p>
            <w:pPr>
              <w:tabs>
                <w:tab w:val="left" w:pos="993"/>
              </w:tabs>
              <w:spacing w:line="440" w:lineRule="exact"/>
              <w:rPr>
                <w:b/>
                <w:bCs/>
                <w:color w:val="auto"/>
                <w:szCs w:val="21"/>
                <w:highlight w:val="none"/>
              </w:rPr>
            </w:pPr>
            <w:r>
              <w:rPr>
                <w:rFonts w:hAnsi="宋体"/>
                <w:b/>
                <w:bCs/>
                <w:color w:val="auto"/>
                <w:szCs w:val="21"/>
                <w:highlight w:val="none"/>
              </w:rPr>
              <w:t>级别</w:t>
            </w:r>
          </w:p>
        </w:tc>
        <w:tc>
          <w:tcPr>
            <w:tcW w:w="1119" w:type="dxa"/>
            <w:vAlign w:val="center"/>
          </w:tcPr>
          <w:p>
            <w:pPr>
              <w:tabs>
                <w:tab w:val="left" w:pos="993"/>
              </w:tabs>
              <w:spacing w:line="440" w:lineRule="exact"/>
              <w:rPr>
                <w:b/>
                <w:bCs/>
                <w:color w:val="auto"/>
                <w:szCs w:val="21"/>
                <w:highlight w:val="none"/>
              </w:rPr>
            </w:pPr>
            <w:r>
              <w:rPr>
                <w:rFonts w:hAnsi="宋体"/>
                <w:b/>
                <w:bCs/>
                <w:color w:val="auto"/>
                <w:szCs w:val="21"/>
                <w:highlight w:val="none"/>
              </w:rPr>
              <w:t>证号</w:t>
            </w:r>
          </w:p>
        </w:tc>
        <w:tc>
          <w:tcPr>
            <w:tcW w:w="594" w:type="dxa"/>
            <w:vAlign w:val="center"/>
          </w:tcPr>
          <w:p>
            <w:pPr>
              <w:tabs>
                <w:tab w:val="left" w:pos="993"/>
              </w:tabs>
              <w:spacing w:line="440" w:lineRule="exact"/>
              <w:rPr>
                <w:b/>
                <w:bCs/>
                <w:color w:val="auto"/>
                <w:szCs w:val="21"/>
                <w:highlight w:val="none"/>
              </w:rPr>
            </w:pPr>
            <w:r>
              <w:rPr>
                <w:rFonts w:hAnsi="宋体"/>
                <w:b/>
                <w:bCs/>
                <w:color w:val="auto"/>
                <w:szCs w:val="21"/>
                <w:highlight w:val="none"/>
              </w:rPr>
              <w:t>专业</w:t>
            </w:r>
          </w:p>
        </w:tc>
        <w:tc>
          <w:tcPr>
            <w:tcW w:w="888" w:type="dxa"/>
            <w:vMerge w:val="continue"/>
          </w:tcPr>
          <w:p>
            <w:pPr>
              <w:tabs>
                <w:tab w:val="left" w:pos="993"/>
              </w:tabs>
              <w:spacing w:line="440" w:lineRule="exact"/>
              <w:rPr>
                <w:b/>
                <w:bCs/>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trPr>
        <w:tc>
          <w:tcPr>
            <w:tcW w:w="1742" w:type="dxa"/>
            <w:vAlign w:val="center"/>
          </w:tcPr>
          <w:p>
            <w:pPr>
              <w:tabs>
                <w:tab w:val="left" w:pos="993"/>
              </w:tabs>
              <w:spacing w:line="440" w:lineRule="exact"/>
              <w:rPr>
                <w:bCs/>
                <w:color w:val="auto"/>
                <w:szCs w:val="21"/>
                <w:highlight w:val="none"/>
              </w:rPr>
            </w:pPr>
          </w:p>
        </w:tc>
        <w:tc>
          <w:tcPr>
            <w:tcW w:w="918" w:type="dxa"/>
            <w:vAlign w:val="center"/>
          </w:tcPr>
          <w:p>
            <w:pPr>
              <w:tabs>
                <w:tab w:val="left" w:pos="993"/>
              </w:tabs>
              <w:spacing w:line="440" w:lineRule="exact"/>
              <w:rPr>
                <w:b/>
                <w:bCs/>
                <w:color w:val="auto"/>
                <w:szCs w:val="21"/>
                <w:highlight w:val="none"/>
              </w:rPr>
            </w:pPr>
          </w:p>
        </w:tc>
        <w:tc>
          <w:tcPr>
            <w:tcW w:w="698" w:type="dxa"/>
            <w:vAlign w:val="center"/>
          </w:tcPr>
          <w:p>
            <w:pPr>
              <w:tabs>
                <w:tab w:val="left" w:pos="993"/>
              </w:tabs>
              <w:spacing w:line="440" w:lineRule="exact"/>
              <w:rPr>
                <w:b/>
                <w:bCs/>
                <w:color w:val="auto"/>
                <w:szCs w:val="21"/>
                <w:highlight w:val="none"/>
              </w:rPr>
            </w:pPr>
          </w:p>
        </w:tc>
        <w:tc>
          <w:tcPr>
            <w:tcW w:w="1888"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594" w:type="dxa"/>
          </w:tcPr>
          <w:p>
            <w:pPr>
              <w:tabs>
                <w:tab w:val="left" w:pos="993"/>
              </w:tabs>
              <w:spacing w:line="440" w:lineRule="exact"/>
              <w:rPr>
                <w:b/>
                <w:bCs/>
                <w:color w:val="auto"/>
                <w:szCs w:val="21"/>
                <w:highlight w:val="none"/>
              </w:rPr>
            </w:pPr>
          </w:p>
        </w:tc>
        <w:tc>
          <w:tcPr>
            <w:tcW w:w="888" w:type="dxa"/>
          </w:tcPr>
          <w:p>
            <w:pPr>
              <w:tabs>
                <w:tab w:val="left" w:pos="993"/>
              </w:tabs>
              <w:spacing w:line="440" w:lineRule="exact"/>
              <w:rPr>
                <w:b/>
                <w:bCs/>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trPr>
        <w:tc>
          <w:tcPr>
            <w:tcW w:w="1742" w:type="dxa"/>
          </w:tcPr>
          <w:p>
            <w:pPr>
              <w:tabs>
                <w:tab w:val="left" w:pos="993"/>
              </w:tabs>
              <w:spacing w:line="440" w:lineRule="exact"/>
              <w:rPr>
                <w:bCs/>
                <w:color w:val="auto"/>
                <w:szCs w:val="21"/>
                <w:highlight w:val="none"/>
              </w:rPr>
            </w:pPr>
          </w:p>
        </w:tc>
        <w:tc>
          <w:tcPr>
            <w:tcW w:w="918" w:type="dxa"/>
          </w:tcPr>
          <w:p>
            <w:pPr>
              <w:tabs>
                <w:tab w:val="left" w:pos="993"/>
              </w:tabs>
              <w:spacing w:line="440" w:lineRule="exact"/>
              <w:rPr>
                <w:b/>
                <w:bCs/>
                <w:color w:val="auto"/>
                <w:szCs w:val="21"/>
                <w:highlight w:val="none"/>
              </w:rPr>
            </w:pPr>
          </w:p>
        </w:tc>
        <w:tc>
          <w:tcPr>
            <w:tcW w:w="698" w:type="dxa"/>
          </w:tcPr>
          <w:p>
            <w:pPr>
              <w:tabs>
                <w:tab w:val="left" w:pos="993"/>
              </w:tabs>
              <w:spacing w:line="440" w:lineRule="exact"/>
              <w:rPr>
                <w:b/>
                <w:bCs/>
                <w:color w:val="auto"/>
                <w:szCs w:val="21"/>
                <w:highlight w:val="none"/>
              </w:rPr>
            </w:pPr>
          </w:p>
        </w:tc>
        <w:tc>
          <w:tcPr>
            <w:tcW w:w="1888"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594" w:type="dxa"/>
          </w:tcPr>
          <w:p>
            <w:pPr>
              <w:tabs>
                <w:tab w:val="left" w:pos="993"/>
              </w:tabs>
              <w:spacing w:line="440" w:lineRule="exact"/>
              <w:rPr>
                <w:b/>
                <w:bCs/>
                <w:color w:val="auto"/>
                <w:szCs w:val="21"/>
                <w:highlight w:val="none"/>
              </w:rPr>
            </w:pPr>
          </w:p>
        </w:tc>
        <w:tc>
          <w:tcPr>
            <w:tcW w:w="888" w:type="dxa"/>
          </w:tcPr>
          <w:p>
            <w:pPr>
              <w:tabs>
                <w:tab w:val="left" w:pos="993"/>
              </w:tabs>
              <w:spacing w:line="440" w:lineRule="exact"/>
              <w:rPr>
                <w:b/>
                <w:bCs/>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742" w:type="dxa"/>
          </w:tcPr>
          <w:p>
            <w:pPr>
              <w:tabs>
                <w:tab w:val="left" w:pos="993"/>
              </w:tabs>
              <w:spacing w:line="440" w:lineRule="exact"/>
              <w:rPr>
                <w:bCs/>
                <w:color w:val="auto"/>
                <w:szCs w:val="21"/>
                <w:highlight w:val="none"/>
              </w:rPr>
            </w:pPr>
          </w:p>
        </w:tc>
        <w:tc>
          <w:tcPr>
            <w:tcW w:w="918" w:type="dxa"/>
          </w:tcPr>
          <w:p>
            <w:pPr>
              <w:tabs>
                <w:tab w:val="left" w:pos="993"/>
              </w:tabs>
              <w:spacing w:line="440" w:lineRule="exact"/>
              <w:rPr>
                <w:b/>
                <w:bCs/>
                <w:color w:val="auto"/>
                <w:szCs w:val="21"/>
                <w:highlight w:val="none"/>
              </w:rPr>
            </w:pPr>
          </w:p>
        </w:tc>
        <w:tc>
          <w:tcPr>
            <w:tcW w:w="698" w:type="dxa"/>
          </w:tcPr>
          <w:p>
            <w:pPr>
              <w:tabs>
                <w:tab w:val="left" w:pos="993"/>
              </w:tabs>
              <w:spacing w:line="440" w:lineRule="exact"/>
              <w:rPr>
                <w:b/>
                <w:bCs/>
                <w:color w:val="auto"/>
                <w:szCs w:val="21"/>
                <w:highlight w:val="none"/>
              </w:rPr>
            </w:pPr>
          </w:p>
        </w:tc>
        <w:tc>
          <w:tcPr>
            <w:tcW w:w="1888"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594" w:type="dxa"/>
          </w:tcPr>
          <w:p>
            <w:pPr>
              <w:tabs>
                <w:tab w:val="left" w:pos="993"/>
              </w:tabs>
              <w:spacing w:line="440" w:lineRule="exact"/>
              <w:rPr>
                <w:b/>
                <w:bCs/>
                <w:color w:val="auto"/>
                <w:szCs w:val="21"/>
                <w:highlight w:val="none"/>
              </w:rPr>
            </w:pPr>
          </w:p>
        </w:tc>
        <w:tc>
          <w:tcPr>
            <w:tcW w:w="888" w:type="dxa"/>
          </w:tcPr>
          <w:p>
            <w:pPr>
              <w:tabs>
                <w:tab w:val="left" w:pos="993"/>
              </w:tabs>
              <w:spacing w:line="440" w:lineRule="exact"/>
              <w:rPr>
                <w:b/>
                <w:bCs/>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trPr>
        <w:tc>
          <w:tcPr>
            <w:tcW w:w="1742" w:type="dxa"/>
          </w:tcPr>
          <w:p>
            <w:pPr>
              <w:tabs>
                <w:tab w:val="left" w:pos="993"/>
              </w:tabs>
              <w:spacing w:line="440" w:lineRule="exact"/>
              <w:rPr>
                <w:bCs/>
                <w:color w:val="auto"/>
                <w:szCs w:val="21"/>
                <w:highlight w:val="none"/>
              </w:rPr>
            </w:pPr>
          </w:p>
        </w:tc>
        <w:tc>
          <w:tcPr>
            <w:tcW w:w="918" w:type="dxa"/>
          </w:tcPr>
          <w:p>
            <w:pPr>
              <w:tabs>
                <w:tab w:val="left" w:pos="993"/>
              </w:tabs>
              <w:spacing w:line="440" w:lineRule="exact"/>
              <w:rPr>
                <w:b/>
                <w:bCs/>
                <w:color w:val="auto"/>
                <w:szCs w:val="21"/>
                <w:highlight w:val="none"/>
              </w:rPr>
            </w:pPr>
          </w:p>
        </w:tc>
        <w:tc>
          <w:tcPr>
            <w:tcW w:w="698" w:type="dxa"/>
          </w:tcPr>
          <w:p>
            <w:pPr>
              <w:tabs>
                <w:tab w:val="left" w:pos="993"/>
              </w:tabs>
              <w:spacing w:line="440" w:lineRule="exact"/>
              <w:rPr>
                <w:b/>
                <w:bCs/>
                <w:color w:val="auto"/>
                <w:szCs w:val="21"/>
                <w:highlight w:val="none"/>
              </w:rPr>
            </w:pPr>
          </w:p>
        </w:tc>
        <w:tc>
          <w:tcPr>
            <w:tcW w:w="1888"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594" w:type="dxa"/>
          </w:tcPr>
          <w:p>
            <w:pPr>
              <w:tabs>
                <w:tab w:val="left" w:pos="993"/>
              </w:tabs>
              <w:spacing w:line="440" w:lineRule="exact"/>
              <w:rPr>
                <w:b/>
                <w:bCs/>
                <w:color w:val="auto"/>
                <w:szCs w:val="21"/>
                <w:highlight w:val="none"/>
              </w:rPr>
            </w:pPr>
          </w:p>
        </w:tc>
        <w:tc>
          <w:tcPr>
            <w:tcW w:w="888" w:type="dxa"/>
          </w:tcPr>
          <w:p>
            <w:pPr>
              <w:tabs>
                <w:tab w:val="left" w:pos="993"/>
              </w:tabs>
              <w:spacing w:line="440" w:lineRule="exact"/>
              <w:rPr>
                <w:b/>
                <w:bCs/>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trPr>
        <w:tc>
          <w:tcPr>
            <w:tcW w:w="1742" w:type="dxa"/>
          </w:tcPr>
          <w:p>
            <w:pPr>
              <w:tabs>
                <w:tab w:val="left" w:pos="993"/>
              </w:tabs>
              <w:spacing w:line="440" w:lineRule="exact"/>
              <w:rPr>
                <w:bCs/>
                <w:color w:val="auto"/>
                <w:szCs w:val="21"/>
                <w:highlight w:val="none"/>
              </w:rPr>
            </w:pPr>
          </w:p>
        </w:tc>
        <w:tc>
          <w:tcPr>
            <w:tcW w:w="918" w:type="dxa"/>
          </w:tcPr>
          <w:p>
            <w:pPr>
              <w:tabs>
                <w:tab w:val="left" w:pos="993"/>
              </w:tabs>
              <w:spacing w:line="440" w:lineRule="exact"/>
              <w:rPr>
                <w:b/>
                <w:bCs/>
                <w:color w:val="auto"/>
                <w:szCs w:val="21"/>
                <w:highlight w:val="none"/>
              </w:rPr>
            </w:pPr>
          </w:p>
        </w:tc>
        <w:tc>
          <w:tcPr>
            <w:tcW w:w="698" w:type="dxa"/>
          </w:tcPr>
          <w:p>
            <w:pPr>
              <w:tabs>
                <w:tab w:val="left" w:pos="993"/>
              </w:tabs>
              <w:spacing w:line="440" w:lineRule="exact"/>
              <w:rPr>
                <w:b/>
                <w:bCs/>
                <w:color w:val="auto"/>
                <w:szCs w:val="21"/>
                <w:highlight w:val="none"/>
              </w:rPr>
            </w:pPr>
          </w:p>
        </w:tc>
        <w:tc>
          <w:tcPr>
            <w:tcW w:w="1888"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594" w:type="dxa"/>
          </w:tcPr>
          <w:p>
            <w:pPr>
              <w:tabs>
                <w:tab w:val="left" w:pos="993"/>
              </w:tabs>
              <w:spacing w:line="440" w:lineRule="exact"/>
              <w:rPr>
                <w:b/>
                <w:bCs/>
                <w:color w:val="auto"/>
                <w:szCs w:val="21"/>
                <w:highlight w:val="none"/>
              </w:rPr>
            </w:pPr>
          </w:p>
        </w:tc>
        <w:tc>
          <w:tcPr>
            <w:tcW w:w="888" w:type="dxa"/>
          </w:tcPr>
          <w:p>
            <w:pPr>
              <w:tabs>
                <w:tab w:val="left" w:pos="993"/>
              </w:tabs>
              <w:spacing w:line="440" w:lineRule="exact"/>
              <w:rPr>
                <w:b/>
                <w:bCs/>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742" w:type="dxa"/>
          </w:tcPr>
          <w:p>
            <w:pPr>
              <w:tabs>
                <w:tab w:val="left" w:pos="993"/>
              </w:tabs>
              <w:spacing w:line="440" w:lineRule="exact"/>
              <w:rPr>
                <w:b/>
                <w:bCs/>
                <w:color w:val="auto"/>
                <w:szCs w:val="21"/>
                <w:highlight w:val="none"/>
              </w:rPr>
            </w:pPr>
          </w:p>
        </w:tc>
        <w:tc>
          <w:tcPr>
            <w:tcW w:w="918" w:type="dxa"/>
          </w:tcPr>
          <w:p>
            <w:pPr>
              <w:tabs>
                <w:tab w:val="left" w:pos="993"/>
              </w:tabs>
              <w:spacing w:line="440" w:lineRule="exact"/>
              <w:rPr>
                <w:b/>
                <w:bCs/>
                <w:color w:val="auto"/>
                <w:szCs w:val="21"/>
                <w:highlight w:val="none"/>
              </w:rPr>
            </w:pPr>
          </w:p>
        </w:tc>
        <w:tc>
          <w:tcPr>
            <w:tcW w:w="698" w:type="dxa"/>
          </w:tcPr>
          <w:p>
            <w:pPr>
              <w:tabs>
                <w:tab w:val="left" w:pos="993"/>
              </w:tabs>
              <w:spacing w:line="440" w:lineRule="exact"/>
              <w:rPr>
                <w:b/>
                <w:bCs/>
                <w:color w:val="auto"/>
                <w:szCs w:val="21"/>
                <w:highlight w:val="none"/>
              </w:rPr>
            </w:pPr>
          </w:p>
        </w:tc>
        <w:tc>
          <w:tcPr>
            <w:tcW w:w="1888"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594" w:type="dxa"/>
          </w:tcPr>
          <w:p>
            <w:pPr>
              <w:tabs>
                <w:tab w:val="left" w:pos="993"/>
              </w:tabs>
              <w:spacing w:line="440" w:lineRule="exact"/>
              <w:rPr>
                <w:b/>
                <w:bCs/>
                <w:color w:val="auto"/>
                <w:szCs w:val="21"/>
                <w:highlight w:val="none"/>
              </w:rPr>
            </w:pPr>
          </w:p>
        </w:tc>
        <w:tc>
          <w:tcPr>
            <w:tcW w:w="888" w:type="dxa"/>
          </w:tcPr>
          <w:p>
            <w:pPr>
              <w:tabs>
                <w:tab w:val="left" w:pos="993"/>
              </w:tabs>
              <w:spacing w:line="440" w:lineRule="exact"/>
              <w:rPr>
                <w:b/>
                <w:bCs/>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742" w:type="dxa"/>
          </w:tcPr>
          <w:p>
            <w:pPr>
              <w:tabs>
                <w:tab w:val="left" w:pos="993"/>
              </w:tabs>
              <w:spacing w:line="440" w:lineRule="exact"/>
              <w:rPr>
                <w:b/>
                <w:bCs/>
                <w:color w:val="auto"/>
                <w:szCs w:val="21"/>
                <w:highlight w:val="none"/>
              </w:rPr>
            </w:pPr>
          </w:p>
        </w:tc>
        <w:tc>
          <w:tcPr>
            <w:tcW w:w="918" w:type="dxa"/>
          </w:tcPr>
          <w:p>
            <w:pPr>
              <w:tabs>
                <w:tab w:val="left" w:pos="993"/>
              </w:tabs>
              <w:spacing w:line="440" w:lineRule="exact"/>
              <w:rPr>
                <w:b/>
                <w:bCs/>
                <w:color w:val="auto"/>
                <w:szCs w:val="21"/>
                <w:highlight w:val="none"/>
              </w:rPr>
            </w:pPr>
          </w:p>
        </w:tc>
        <w:tc>
          <w:tcPr>
            <w:tcW w:w="698" w:type="dxa"/>
          </w:tcPr>
          <w:p>
            <w:pPr>
              <w:tabs>
                <w:tab w:val="left" w:pos="993"/>
              </w:tabs>
              <w:spacing w:line="440" w:lineRule="exact"/>
              <w:rPr>
                <w:b/>
                <w:bCs/>
                <w:color w:val="auto"/>
                <w:szCs w:val="21"/>
                <w:highlight w:val="none"/>
              </w:rPr>
            </w:pPr>
          </w:p>
        </w:tc>
        <w:tc>
          <w:tcPr>
            <w:tcW w:w="1888"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594" w:type="dxa"/>
          </w:tcPr>
          <w:p>
            <w:pPr>
              <w:tabs>
                <w:tab w:val="left" w:pos="993"/>
              </w:tabs>
              <w:spacing w:line="440" w:lineRule="exact"/>
              <w:rPr>
                <w:b/>
                <w:bCs/>
                <w:color w:val="auto"/>
                <w:szCs w:val="21"/>
                <w:highlight w:val="none"/>
              </w:rPr>
            </w:pPr>
          </w:p>
        </w:tc>
        <w:tc>
          <w:tcPr>
            <w:tcW w:w="888" w:type="dxa"/>
          </w:tcPr>
          <w:p>
            <w:pPr>
              <w:tabs>
                <w:tab w:val="left" w:pos="993"/>
              </w:tabs>
              <w:spacing w:line="440" w:lineRule="exact"/>
              <w:rPr>
                <w:b/>
                <w:bCs/>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742" w:type="dxa"/>
          </w:tcPr>
          <w:p>
            <w:pPr>
              <w:tabs>
                <w:tab w:val="left" w:pos="993"/>
              </w:tabs>
              <w:spacing w:line="440" w:lineRule="exact"/>
              <w:rPr>
                <w:b/>
                <w:bCs/>
                <w:color w:val="auto"/>
                <w:szCs w:val="21"/>
                <w:highlight w:val="none"/>
              </w:rPr>
            </w:pPr>
          </w:p>
        </w:tc>
        <w:tc>
          <w:tcPr>
            <w:tcW w:w="918" w:type="dxa"/>
          </w:tcPr>
          <w:p>
            <w:pPr>
              <w:tabs>
                <w:tab w:val="left" w:pos="993"/>
              </w:tabs>
              <w:spacing w:line="440" w:lineRule="exact"/>
              <w:rPr>
                <w:b/>
                <w:bCs/>
                <w:color w:val="auto"/>
                <w:szCs w:val="21"/>
                <w:highlight w:val="none"/>
              </w:rPr>
            </w:pPr>
          </w:p>
        </w:tc>
        <w:tc>
          <w:tcPr>
            <w:tcW w:w="698" w:type="dxa"/>
          </w:tcPr>
          <w:p>
            <w:pPr>
              <w:tabs>
                <w:tab w:val="left" w:pos="993"/>
              </w:tabs>
              <w:spacing w:line="440" w:lineRule="exact"/>
              <w:rPr>
                <w:b/>
                <w:bCs/>
                <w:color w:val="auto"/>
                <w:szCs w:val="21"/>
                <w:highlight w:val="none"/>
              </w:rPr>
            </w:pPr>
          </w:p>
        </w:tc>
        <w:tc>
          <w:tcPr>
            <w:tcW w:w="1888"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594" w:type="dxa"/>
          </w:tcPr>
          <w:p>
            <w:pPr>
              <w:tabs>
                <w:tab w:val="left" w:pos="993"/>
              </w:tabs>
              <w:spacing w:line="440" w:lineRule="exact"/>
              <w:rPr>
                <w:b/>
                <w:bCs/>
                <w:color w:val="auto"/>
                <w:szCs w:val="21"/>
                <w:highlight w:val="none"/>
              </w:rPr>
            </w:pPr>
          </w:p>
        </w:tc>
        <w:tc>
          <w:tcPr>
            <w:tcW w:w="888" w:type="dxa"/>
          </w:tcPr>
          <w:p>
            <w:pPr>
              <w:tabs>
                <w:tab w:val="left" w:pos="993"/>
              </w:tabs>
              <w:spacing w:line="440" w:lineRule="exact"/>
              <w:rPr>
                <w:b/>
                <w:bCs/>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742" w:type="dxa"/>
          </w:tcPr>
          <w:p>
            <w:pPr>
              <w:tabs>
                <w:tab w:val="left" w:pos="993"/>
              </w:tabs>
              <w:spacing w:line="440" w:lineRule="exact"/>
              <w:rPr>
                <w:b/>
                <w:bCs/>
                <w:color w:val="auto"/>
                <w:szCs w:val="21"/>
                <w:highlight w:val="none"/>
              </w:rPr>
            </w:pPr>
          </w:p>
        </w:tc>
        <w:tc>
          <w:tcPr>
            <w:tcW w:w="918" w:type="dxa"/>
          </w:tcPr>
          <w:p>
            <w:pPr>
              <w:tabs>
                <w:tab w:val="left" w:pos="993"/>
              </w:tabs>
              <w:spacing w:line="440" w:lineRule="exact"/>
              <w:rPr>
                <w:b/>
                <w:bCs/>
                <w:color w:val="auto"/>
                <w:szCs w:val="21"/>
                <w:highlight w:val="none"/>
              </w:rPr>
            </w:pPr>
          </w:p>
        </w:tc>
        <w:tc>
          <w:tcPr>
            <w:tcW w:w="698" w:type="dxa"/>
          </w:tcPr>
          <w:p>
            <w:pPr>
              <w:tabs>
                <w:tab w:val="left" w:pos="993"/>
              </w:tabs>
              <w:spacing w:line="440" w:lineRule="exact"/>
              <w:rPr>
                <w:b/>
                <w:bCs/>
                <w:color w:val="auto"/>
                <w:szCs w:val="21"/>
                <w:highlight w:val="none"/>
              </w:rPr>
            </w:pPr>
          </w:p>
        </w:tc>
        <w:tc>
          <w:tcPr>
            <w:tcW w:w="1888"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594" w:type="dxa"/>
          </w:tcPr>
          <w:p>
            <w:pPr>
              <w:tabs>
                <w:tab w:val="left" w:pos="993"/>
              </w:tabs>
              <w:spacing w:line="440" w:lineRule="exact"/>
              <w:rPr>
                <w:b/>
                <w:bCs/>
                <w:color w:val="auto"/>
                <w:szCs w:val="21"/>
                <w:highlight w:val="none"/>
              </w:rPr>
            </w:pPr>
          </w:p>
        </w:tc>
        <w:tc>
          <w:tcPr>
            <w:tcW w:w="888" w:type="dxa"/>
          </w:tcPr>
          <w:p>
            <w:pPr>
              <w:tabs>
                <w:tab w:val="left" w:pos="993"/>
              </w:tabs>
              <w:spacing w:line="440" w:lineRule="exact"/>
              <w:rPr>
                <w:b/>
                <w:bCs/>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742" w:type="dxa"/>
          </w:tcPr>
          <w:p>
            <w:pPr>
              <w:tabs>
                <w:tab w:val="left" w:pos="993"/>
              </w:tabs>
              <w:spacing w:line="440" w:lineRule="exact"/>
              <w:rPr>
                <w:b/>
                <w:bCs/>
                <w:color w:val="auto"/>
                <w:szCs w:val="21"/>
                <w:highlight w:val="none"/>
              </w:rPr>
            </w:pPr>
          </w:p>
        </w:tc>
        <w:tc>
          <w:tcPr>
            <w:tcW w:w="918" w:type="dxa"/>
          </w:tcPr>
          <w:p>
            <w:pPr>
              <w:tabs>
                <w:tab w:val="left" w:pos="993"/>
              </w:tabs>
              <w:spacing w:line="440" w:lineRule="exact"/>
              <w:rPr>
                <w:b/>
                <w:bCs/>
                <w:color w:val="auto"/>
                <w:szCs w:val="21"/>
                <w:highlight w:val="none"/>
              </w:rPr>
            </w:pPr>
          </w:p>
        </w:tc>
        <w:tc>
          <w:tcPr>
            <w:tcW w:w="698" w:type="dxa"/>
          </w:tcPr>
          <w:p>
            <w:pPr>
              <w:tabs>
                <w:tab w:val="left" w:pos="993"/>
              </w:tabs>
              <w:spacing w:line="440" w:lineRule="exact"/>
              <w:rPr>
                <w:b/>
                <w:bCs/>
                <w:color w:val="auto"/>
                <w:szCs w:val="21"/>
                <w:highlight w:val="none"/>
              </w:rPr>
            </w:pPr>
          </w:p>
        </w:tc>
        <w:tc>
          <w:tcPr>
            <w:tcW w:w="1888"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594" w:type="dxa"/>
          </w:tcPr>
          <w:p>
            <w:pPr>
              <w:tabs>
                <w:tab w:val="left" w:pos="993"/>
              </w:tabs>
              <w:spacing w:line="440" w:lineRule="exact"/>
              <w:rPr>
                <w:b/>
                <w:bCs/>
                <w:color w:val="auto"/>
                <w:szCs w:val="21"/>
                <w:highlight w:val="none"/>
              </w:rPr>
            </w:pPr>
          </w:p>
        </w:tc>
        <w:tc>
          <w:tcPr>
            <w:tcW w:w="888" w:type="dxa"/>
          </w:tcPr>
          <w:p>
            <w:pPr>
              <w:tabs>
                <w:tab w:val="left" w:pos="993"/>
              </w:tabs>
              <w:spacing w:line="440" w:lineRule="exact"/>
              <w:rPr>
                <w:b/>
                <w:bCs/>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742" w:type="dxa"/>
          </w:tcPr>
          <w:p>
            <w:pPr>
              <w:tabs>
                <w:tab w:val="left" w:pos="993"/>
              </w:tabs>
              <w:spacing w:line="440" w:lineRule="exact"/>
              <w:rPr>
                <w:b/>
                <w:bCs/>
                <w:color w:val="auto"/>
                <w:szCs w:val="21"/>
                <w:highlight w:val="none"/>
              </w:rPr>
            </w:pPr>
          </w:p>
        </w:tc>
        <w:tc>
          <w:tcPr>
            <w:tcW w:w="918" w:type="dxa"/>
          </w:tcPr>
          <w:p>
            <w:pPr>
              <w:tabs>
                <w:tab w:val="left" w:pos="993"/>
              </w:tabs>
              <w:spacing w:line="440" w:lineRule="exact"/>
              <w:rPr>
                <w:b/>
                <w:bCs/>
                <w:color w:val="auto"/>
                <w:szCs w:val="21"/>
                <w:highlight w:val="none"/>
              </w:rPr>
            </w:pPr>
          </w:p>
        </w:tc>
        <w:tc>
          <w:tcPr>
            <w:tcW w:w="698" w:type="dxa"/>
          </w:tcPr>
          <w:p>
            <w:pPr>
              <w:tabs>
                <w:tab w:val="left" w:pos="993"/>
              </w:tabs>
              <w:spacing w:line="440" w:lineRule="exact"/>
              <w:rPr>
                <w:b/>
                <w:bCs/>
                <w:color w:val="auto"/>
                <w:szCs w:val="21"/>
                <w:highlight w:val="none"/>
              </w:rPr>
            </w:pPr>
          </w:p>
        </w:tc>
        <w:tc>
          <w:tcPr>
            <w:tcW w:w="1888"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1119" w:type="dxa"/>
          </w:tcPr>
          <w:p>
            <w:pPr>
              <w:tabs>
                <w:tab w:val="left" w:pos="993"/>
              </w:tabs>
              <w:spacing w:line="440" w:lineRule="exact"/>
              <w:rPr>
                <w:b/>
                <w:bCs/>
                <w:color w:val="auto"/>
                <w:szCs w:val="21"/>
                <w:highlight w:val="none"/>
              </w:rPr>
            </w:pPr>
          </w:p>
        </w:tc>
        <w:tc>
          <w:tcPr>
            <w:tcW w:w="594" w:type="dxa"/>
          </w:tcPr>
          <w:p>
            <w:pPr>
              <w:tabs>
                <w:tab w:val="left" w:pos="993"/>
              </w:tabs>
              <w:spacing w:line="440" w:lineRule="exact"/>
              <w:rPr>
                <w:b/>
                <w:bCs/>
                <w:color w:val="auto"/>
                <w:szCs w:val="21"/>
                <w:highlight w:val="none"/>
              </w:rPr>
            </w:pPr>
          </w:p>
        </w:tc>
        <w:tc>
          <w:tcPr>
            <w:tcW w:w="888" w:type="dxa"/>
          </w:tcPr>
          <w:p>
            <w:pPr>
              <w:tabs>
                <w:tab w:val="left" w:pos="993"/>
              </w:tabs>
              <w:spacing w:line="440" w:lineRule="exact"/>
              <w:rPr>
                <w:b/>
                <w:bCs/>
                <w:color w:val="auto"/>
                <w:szCs w:val="21"/>
                <w:highlight w:val="none"/>
              </w:rPr>
            </w:pPr>
          </w:p>
        </w:tc>
      </w:tr>
    </w:tbl>
    <w:p>
      <w:pPr>
        <w:tabs>
          <w:tab w:val="left" w:pos="993"/>
        </w:tabs>
        <w:spacing w:line="440" w:lineRule="exact"/>
        <w:rPr>
          <w:b/>
          <w:bCs/>
          <w:color w:val="auto"/>
          <w:szCs w:val="21"/>
          <w:highlight w:val="none"/>
        </w:rPr>
      </w:pPr>
    </w:p>
    <w:p>
      <w:pPr>
        <w:tabs>
          <w:tab w:val="left" w:pos="993"/>
        </w:tabs>
        <w:spacing w:line="360" w:lineRule="auto"/>
        <w:rPr>
          <w:color w:val="auto"/>
          <w:highlight w:val="none"/>
        </w:rPr>
      </w:pPr>
    </w:p>
    <w:p>
      <w:pPr>
        <w:tabs>
          <w:tab w:val="left" w:pos="993"/>
        </w:tabs>
        <w:spacing w:line="360" w:lineRule="auto"/>
        <w:rPr>
          <w:color w:val="auto"/>
          <w:sz w:val="24"/>
          <w:highlight w:val="none"/>
        </w:rPr>
      </w:pPr>
    </w:p>
    <w:p>
      <w:pPr>
        <w:tabs>
          <w:tab w:val="left" w:pos="993"/>
        </w:tabs>
        <w:spacing w:line="360" w:lineRule="auto"/>
        <w:rPr>
          <w:color w:val="auto"/>
          <w:sz w:val="24"/>
          <w:highlight w:val="none"/>
        </w:rPr>
      </w:pPr>
    </w:p>
    <w:p>
      <w:pPr>
        <w:tabs>
          <w:tab w:val="left" w:pos="993"/>
        </w:tabs>
        <w:spacing w:line="360" w:lineRule="auto"/>
        <w:rPr>
          <w:color w:val="auto"/>
          <w:sz w:val="24"/>
          <w:highlight w:val="none"/>
        </w:rPr>
      </w:pPr>
    </w:p>
    <w:p>
      <w:pPr>
        <w:rPr>
          <w:rFonts w:hAnsi="宋体"/>
          <w:color w:val="auto"/>
          <w:highlight w:val="none"/>
        </w:rPr>
      </w:pPr>
      <w:r>
        <w:rPr>
          <w:rFonts w:hAnsi="宋体"/>
          <w:color w:val="auto"/>
          <w:highlight w:val="none"/>
        </w:rPr>
        <w:br w:type="page"/>
      </w:r>
    </w:p>
    <w:p>
      <w:pPr>
        <w:pStyle w:val="77"/>
        <w:snapToGrid w:val="0"/>
        <w:spacing w:after="0" w:line="420" w:lineRule="atLeast"/>
        <w:jc w:val="left"/>
        <w:rPr>
          <w:rFonts w:hint="eastAsia" w:eastAsia="宋体"/>
          <w:color w:val="auto"/>
          <w:sz w:val="32"/>
          <w:highlight w:val="none"/>
          <w:lang w:eastAsia="zh-CN"/>
        </w:rPr>
      </w:pPr>
      <w:r>
        <w:rPr>
          <w:rFonts w:hAnsi="宋体"/>
          <w:color w:val="auto"/>
          <w:highlight w:val="none"/>
        </w:rPr>
        <w:t>附表</w:t>
      </w:r>
      <w:r>
        <w:rPr>
          <w:rFonts w:hint="eastAsia"/>
          <w:color w:val="auto"/>
          <w:highlight w:val="none"/>
          <w:lang w:val="en-US" w:eastAsia="zh-CN"/>
        </w:rPr>
        <w:t>4</w:t>
      </w:r>
    </w:p>
    <w:p>
      <w:pPr>
        <w:pStyle w:val="77"/>
        <w:snapToGrid w:val="0"/>
        <w:spacing w:after="0" w:line="420" w:lineRule="atLeast"/>
        <w:rPr>
          <w:color w:val="auto"/>
          <w:sz w:val="28"/>
          <w:highlight w:val="none"/>
        </w:rPr>
      </w:pPr>
      <w:r>
        <w:rPr>
          <w:rFonts w:hAnsi="宋体"/>
          <w:color w:val="auto"/>
          <w:sz w:val="28"/>
          <w:highlight w:val="none"/>
        </w:rPr>
        <w:t>诚信承诺书</w:t>
      </w:r>
    </w:p>
    <w:p>
      <w:pPr>
        <w:pStyle w:val="77"/>
        <w:snapToGrid w:val="0"/>
        <w:spacing w:after="0" w:line="420" w:lineRule="atLeast"/>
        <w:rPr>
          <w:color w:val="auto"/>
          <w:sz w:val="32"/>
          <w:szCs w:val="32"/>
          <w:highlight w:val="none"/>
        </w:rPr>
      </w:pPr>
    </w:p>
    <w:p>
      <w:pPr>
        <w:adjustRightInd w:val="0"/>
        <w:snapToGrid w:val="0"/>
        <w:spacing w:line="440" w:lineRule="exact"/>
        <w:ind w:firstLine="415" w:firstLineChars="198"/>
        <w:rPr>
          <w:rFonts w:ascii="宋体" w:hAnsi="宋体"/>
          <w:color w:val="auto"/>
          <w:szCs w:val="21"/>
          <w:highlight w:val="none"/>
        </w:rPr>
      </w:pPr>
      <w:r>
        <w:rPr>
          <w:rFonts w:hint="eastAsia" w:ascii="宋体" w:hAnsi="宋体"/>
          <w:color w:val="auto"/>
          <w:szCs w:val="21"/>
          <w:highlight w:val="none"/>
          <w:u w:val="single"/>
        </w:rPr>
        <w:t xml:space="preserve">                        </w:t>
      </w:r>
      <w:r>
        <w:rPr>
          <w:rFonts w:hint="eastAsia" w:ascii="宋体" w:hAnsi="宋体"/>
          <w:color w:val="auto"/>
          <w:szCs w:val="21"/>
          <w:highlight w:val="none"/>
        </w:rPr>
        <w:t>：（招标人名称）</w:t>
      </w:r>
    </w:p>
    <w:p>
      <w:pPr>
        <w:adjustRightInd w:val="0"/>
        <w:snapToGrid w:val="0"/>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我方参加你方的</w:t>
      </w:r>
      <w:r>
        <w:rPr>
          <w:rFonts w:hint="eastAsia" w:ascii="宋体" w:hAnsi="宋体"/>
          <w:color w:val="auto"/>
          <w:szCs w:val="21"/>
          <w:highlight w:val="none"/>
          <w:u w:val="single"/>
        </w:rPr>
        <w:t xml:space="preserve">                          </w:t>
      </w:r>
      <w:r>
        <w:rPr>
          <w:rFonts w:hint="eastAsia" w:ascii="宋体" w:hAnsi="宋体"/>
          <w:color w:val="auto"/>
          <w:szCs w:val="21"/>
          <w:highlight w:val="none"/>
        </w:rPr>
        <w:t>（以下简称“本工程”）的投标，现我方法定代表人向你方慎重承诺：</w:t>
      </w:r>
    </w:p>
    <w:p>
      <w:pPr>
        <w:widowControl/>
        <w:adjustRightInd w:val="0"/>
        <w:snapToGrid w:val="0"/>
        <w:spacing w:line="440" w:lineRule="exact"/>
        <w:ind w:firstLine="409" w:firstLineChars="195"/>
        <w:jc w:val="left"/>
        <w:rPr>
          <w:color w:val="auto"/>
          <w:kern w:val="0"/>
          <w:szCs w:val="21"/>
          <w:highlight w:val="none"/>
        </w:rPr>
      </w:pPr>
      <w:r>
        <w:rPr>
          <w:rFonts w:hint="eastAsia" w:ascii="宋体" w:hAnsi="宋体"/>
          <w:color w:val="auto"/>
          <w:szCs w:val="21"/>
          <w:highlight w:val="none"/>
        </w:rPr>
        <w:t>1、我方拟派项目负责人</w:t>
      </w:r>
      <w:r>
        <w:rPr>
          <w:rFonts w:hint="eastAsia" w:ascii="宋体" w:hAnsi="宋体"/>
          <w:color w:val="auto"/>
          <w:szCs w:val="21"/>
          <w:highlight w:val="none"/>
          <w:u w:val="single"/>
        </w:rPr>
        <w:t xml:space="preserve">         </w:t>
      </w:r>
      <w:r>
        <w:rPr>
          <w:rFonts w:hint="eastAsia" w:ascii="宋体" w:hAnsi="宋体"/>
          <w:color w:val="auto"/>
          <w:szCs w:val="21"/>
          <w:highlight w:val="none"/>
        </w:rPr>
        <w:t>（身份证号码：</w:t>
      </w:r>
      <w:r>
        <w:rPr>
          <w:rFonts w:hint="eastAsia" w:ascii="宋体" w:hAnsi="宋体"/>
          <w:color w:val="auto"/>
          <w:szCs w:val="21"/>
          <w:highlight w:val="none"/>
          <w:u w:val="single"/>
        </w:rPr>
        <w:t xml:space="preserve">             </w:t>
      </w:r>
      <w:r>
        <w:rPr>
          <w:rFonts w:hint="eastAsia" w:ascii="宋体" w:hAnsi="宋体"/>
          <w:color w:val="auto"/>
          <w:szCs w:val="21"/>
          <w:highlight w:val="none"/>
        </w:rPr>
        <w:t>；注册号：</w:t>
      </w:r>
      <w:r>
        <w:rPr>
          <w:rFonts w:hint="eastAsia" w:ascii="宋体" w:hAnsi="宋体"/>
          <w:color w:val="auto"/>
          <w:szCs w:val="21"/>
          <w:highlight w:val="none"/>
          <w:u w:val="single"/>
        </w:rPr>
        <w:t xml:space="preserve">        </w:t>
      </w:r>
      <w:r>
        <w:rPr>
          <w:rFonts w:hint="eastAsia" w:ascii="宋体" w:hAnsi="宋体"/>
          <w:color w:val="auto"/>
          <w:szCs w:val="21"/>
          <w:highlight w:val="none"/>
        </w:rPr>
        <w:t>）至本项目投标文件截止时间前无在建工程且无已中标未开工项目。如果我方经本工程评标委员会评定为中标候选人，在公示期间被他人举报并经招标投标监管机构核实，确认拟派项目负责人有在建工程，且不符合江苏省建设厅“苏建规字（2017）1号”《关于改革和完善房屋建筑和市政基础设施工程招标投标制度的实施意见》附件2《江苏省房屋建筑和市政基础设施工程施工招标资格审查办法》第十条第五款的规定，你方即可取消我方中标候选人资格，并同意投标保证金不予退还</w:t>
      </w:r>
      <w:r>
        <w:rPr>
          <w:rFonts w:hAnsi="宋体"/>
          <w:color w:val="auto"/>
          <w:szCs w:val="21"/>
          <w:highlight w:val="none"/>
        </w:rPr>
        <w:t>。</w:t>
      </w:r>
    </w:p>
    <w:p>
      <w:pPr>
        <w:widowControl/>
        <w:adjustRightInd w:val="0"/>
        <w:snapToGrid w:val="0"/>
        <w:spacing w:line="440" w:lineRule="exact"/>
        <w:ind w:firstLine="409" w:firstLineChars="195"/>
        <w:jc w:val="left"/>
        <w:rPr>
          <w:color w:val="auto"/>
          <w:szCs w:val="21"/>
          <w:highlight w:val="none"/>
        </w:rPr>
      </w:pPr>
      <w:r>
        <w:rPr>
          <w:color w:val="auto"/>
          <w:szCs w:val="21"/>
          <w:highlight w:val="none"/>
        </w:rPr>
        <w:t>2</w:t>
      </w:r>
      <w:r>
        <w:rPr>
          <w:rFonts w:hAnsi="宋体"/>
          <w:color w:val="auto"/>
          <w:szCs w:val="21"/>
          <w:highlight w:val="none"/>
        </w:rPr>
        <w:t>、我方财务和经营状况良好，具备履行合同能力；没有因骗取中标或者严重违约以及发生重大工程质量、安全生产事故等问题，被有关部门处于被责令停业、投标资格被取消或者财产被接管、冻结和破产状态；无因投标申请人违约或不恰当履约引起的合同争议纠纷及仲裁和诉讼记录。如果我方经本工程评标委员会评定为中标候选人后，被他人举报并经招标投标监管机构核实，确认存在上述不良记录，你方即可取消我方中标资格，并同意投标保证金不予退还，并接受处罚。</w:t>
      </w:r>
    </w:p>
    <w:p>
      <w:pPr>
        <w:widowControl/>
        <w:adjustRightInd w:val="0"/>
        <w:snapToGrid w:val="0"/>
        <w:spacing w:line="440" w:lineRule="exact"/>
        <w:ind w:firstLine="409" w:firstLineChars="195"/>
        <w:jc w:val="left"/>
        <w:rPr>
          <w:color w:val="auto"/>
          <w:szCs w:val="21"/>
          <w:highlight w:val="none"/>
        </w:rPr>
      </w:pPr>
      <w:r>
        <w:rPr>
          <w:color w:val="auto"/>
          <w:szCs w:val="21"/>
          <w:highlight w:val="none"/>
        </w:rPr>
        <w:t>3</w:t>
      </w:r>
      <w:r>
        <w:rPr>
          <w:rFonts w:hAnsi="宋体"/>
          <w:color w:val="auto"/>
          <w:szCs w:val="21"/>
          <w:highlight w:val="none"/>
        </w:rPr>
        <w:t>、我方递交的投标文件中的所有资料都是真实可信的，没有弄虚作假。</w:t>
      </w:r>
    </w:p>
    <w:p>
      <w:pPr>
        <w:widowControl/>
        <w:adjustRightInd w:val="0"/>
        <w:snapToGrid w:val="0"/>
        <w:spacing w:line="440" w:lineRule="exact"/>
        <w:ind w:firstLine="409" w:firstLineChars="195"/>
        <w:jc w:val="left"/>
        <w:rPr>
          <w:color w:val="auto"/>
          <w:szCs w:val="21"/>
          <w:highlight w:val="none"/>
        </w:rPr>
      </w:pPr>
      <w:r>
        <w:rPr>
          <w:color w:val="auto"/>
          <w:szCs w:val="21"/>
          <w:highlight w:val="none"/>
        </w:rPr>
        <w:t>4</w:t>
      </w:r>
      <w:r>
        <w:rPr>
          <w:rFonts w:hAnsi="宋体"/>
          <w:color w:val="auto"/>
          <w:szCs w:val="21"/>
          <w:highlight w:val="none"/>
        </w:rPr>
        <w:t>、我方不组织、不参与串标围标，没有出借资质等违法违规行为。</w:t>
      </w:r>
    </w:p>
    <w:p>
      <w:pPr>
        <w:widowControl/>
        <w:adjustRightInd w:val="0"/>
        <w:snapToGrid w:val="0"/>
        <w:spacing w:line="440" w:lineRule="exact"/>
        <w:ind w:firstLine="409" w:firstLineChars="195"/>
        <w:jc w:val="left"/>
        <w:rPr>
          <w:color w:val="auto"/>
          <w:szCs w:val="21"/>
          <w:highlight w:val="none"/>
        </w:rPr>
      </w:pPr>
    </w:p>
    <w:p>
      <w:pPr>
        <w:adjustRightInd w:val="0"/>
        <w:snapToGrid w:val="0"/>
        <w:spacing w:line="440" w:lineRule="exact"/>
        <w:ind w:firstLine="422" w:firstLineChars="200"/>
        <w:rPr>
          <w:b/>
          <w:color w:val="auto"/>
          <w:szCs w:val="21"/>
          <w:highlight w:val="none"/>
        </w:rPr>
      </w:pPr>
      <w:r>
        <w:rPr>
          <w:rFonts w:hAnsi="宋体"/>
          <w:b/>
          <w:color w:val="auto"/>
          <w:szCs w:val="21"/>
          <w:highlight w:val="none"/>
        </w:rPr>
        <w:t>我方承诺：违反上述任何一条承诺，自愿意接受当地建设行政主管部门作出的依法处罚，包括同意你方取消我方中标资格并不予退还投标保证金或履约保证金，将我方列入黑名单，并上报南通市建设主管部门。</w:t>
      </w:r>
    </w:p>
    <w:p>
      <w:pPr>
        <w:adjustRightInd w:val="0"/>
        <w:snapToGrid w:val="0"/>
        <w:spacing w:line="440" w:lineRule="exact"/>
        <w:ind w:firstLine="221" w:firstLineChars="98"/>
        <w:rPr>
          <w:color w:val="auto"/>
          <w:spacing w:val="8"/>
          <w:kern w:val="0"/>
          <w:szCs w:val="21"/>
          <w:highlight w:val="none"/>
        </w:rPr>
      </w:pPr>
    </w:p>
    <w:p>
      <w:pPr>
        <w:adjustRightInd w:val="0"/>
        <w:snapToGrid w:val="0"/>
        <w:spacing w:line="440" w:lineRule="exact"/>
        <w:ind w:firstLine="3255" w:firstLineChars="1550"/>
        <w:rPr>
          <w:rFonts w:ascii="宋体" w:hAnsi="宋体"/>
          <w:color w:val="auto"/>
          <w:szCs w:val="21"/>
          <w:highlight w:val="none"/>
        </w:rPr>
      </w:pPr>
      <w:r>
        <w:rPr>
          <w:rFonts w:hint="eastAsia" w:ascii="宋体" w:hAnsi="宋体"/>
          <w:color w:val="auto"/>
          <w:szCs w:val="21"/>
          <w:highlight w:val="none"/>
        </w:rPr>
        <w:t>投标申请人（盖章）：</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p>
    <w:p>
      <w:pPr>
        <w:tabs>
          <w:tab w:val="left" w:pos="4320"/>
        </w:tabs>
        <w:adjustRightInd w:val="0"/>
        <w:snapToGrid w:val="0"/>
        <w:spacing w:line="440" w:lineRule="exact"/>
        <w:ind w:firstLine="3255" w:firstLineChars="1550"/>
        <w:rPr>
          <w:rFonts w:ascii="宋体" w:hAnsi="宋体"/>
          <w:color w:val="auto"/>
          <w:szCs w:val="21"/>
          <w:highlight w:val="none"/>
        </w:rPr>
      </w:pPr>
      <w:r>
        <w:rPr>
          <w:rFonts w:hint="eastAsia" w:ascii="宋体" w:hAnsi="宋体"/>
          <w:color w:val="auto"/>
          <w:szCs w:val="21"/>
          <w:highlight w:val="none"/>
        </w:rPr>
        <w:t>法定代表人（签字或盖章）：</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p>
    <w:p>
      <w:pPr>
        <w:adjustRightInd w:val="0"/>
        <w:snapToGrid w:val="0"/>
        <w:spacing w:line="440" w:lineRule="exact"/>
        <w:rPr>
          <w:rFonts w:ascii="宋体" w:hAnsi="宋体"/>
          <w:color w:val="auto"/>
          <w:szCs w:val="21"/>
          <w:highlight w:val="none"/>
        </w:rPr>
      </w:pPr>
      <w:r>
        <w:rPr>
          <w:rFonts w:hint="eastAsia" w:ascii="宋体" w:hAnsi="宋体"/>
          <w:color w:val="auto"/>
          <w:szCs w:val="21"/>
          <w:highlight w:val="none"/>
        </w:rPr>
        <w:t xml:space="preserve">                                日期：</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pPr>
        <w:spacing w:line="360" w:lineRule="auto"/>
        <w:ind w:firstLine="250" w:firstLineChars="98"/>
        <w:rPr>
          <w:color w:val="auto"/>
          <w:spacing w:val="8"/>
          <w:kern w:val="0"/>
          <w:sz w:val="24"/>
          <w:highlight w:val="none"/>
        </w:rPr>
      </w:pPr>
    </w:p>
    <w:p>
      <w:pPr>
        <w:spacing w:line="360" w:lineRule="auto"/>
        <w:rPr>
          <w:color w:val="auto"/>
          <w:spacing w:val="8"/>
          <w:kern w:val="0"/>
          <w:sz w:val="24"/>
          <w:highlight w:val="none"/>
        </w:rPr>
      </w:pPr>
    </w:p>
    <w:p>
      <w:pPr>
        <w:rPr>
          <w:rFonts w:hAnsi="宋体"/>
          <w:color w:val="auto"/>
          <w:highlight w:val="none"/>
        </w:rPr>
      </w:pPr>
      <w:r>
        <w:rPr>
          <w:rFonts w:hAnsi="宋体"/>
          <w:color w:val="auto"/>
          <w:highlight w:val="none"/>
        </w:rPr>
        <w:br w:type="page"/>
      </w:r>
    </w:p>
    <w:p>
      <w:pPr>
        <w:rPr>
          <w:rFonts w:hint="eastAsia" w:eastAsia="宋体"/>
          <w:color w:val="auto"/>
          <w:highlight w:val="none"/>
          <w:lang w:eastAsia="zh-CN"/>
        </w:rPr>
      </w:pPr>
      <w:r>
        <w:rPr>
          <w:rFonts w:hAnsi="宋体"/>
          <w:color w:val="auto"/>
          <w:highlight w:val="none"/>
        </w:rPr>
        <w:t>附表</w:t>
      </w:r>
      <w:r>
        <w:rPr>
          <w:rFonts w:hint="eastAsia"/>
          <w:color w:val="auto"/>
          <w:highlight w:val="none"/>
          <w:lang w:val="en-US" w:eastAsia="zh-CN"/>
        </w:rPr>
        <w:t>5</w:t>
      </w:r>
    </w:p>
    <w:p>
      <w:pPr>
        <w:pStyle w:val="77"/>
        <w:snapToGrid w:val="0"/>
        <w:spacing w:after="0" w:line="440" w:lineRule="exact"/>
        <w:rPr>
          <w:color w:val="auto"/>
          <w:sz w:val="28"/>
          <w:highlight w:val="none"/>
        </w:rPr>
      </w:pPr>
      <w:r>
        <w:rPr>
          <w:rFonts w:hAnsi="宋体"/>
          <w:color w:val="auto"/>
          <w:sz w:val="28"/>
          <w:highlight w:val="none"/>
        </w:rPr>
        <w:t>工程完工证明</w:t>
      </w:r>
    </w:p>
    <w:p>
      <w:pPr>
        <w:adjustRightInd w:val="0"/>
        <w:snapToGrid w:val="0"/>
        <w:spacing w:line="440" w:lineRule="exact"/>
        <w:rPr>
          <w:b/>
          <w:bCs/>
          <w:color w:val="auto"/>
          <w:highlight w:val="none"/>
        </w:rPr>
      </w:pPr>
    </w:p>
    <w:p>
      <w:pPr>
        <w:adjustRightInd w:val="0"/>
        <w:snapToGrid w:val="0"/>
        <w:spacing w:line="440" w:lineRule="exact"/>
        <w:rPr>
          <w:rFonts w:ascii="宋体" w:hAnsi="宋体"/>
          <w:color w:val="auto"/>
          <w:szCs w:val="21"/>
          <w:highlight w:val="none"/>
        </w:rPr>
      </w:pPr>
      <w:bookmarkStart w:id="595" w:name="_Toc404159965"/>
      <w:bookmarkStart w:id="596" w:name="_Toc465181340"/>
      <w:r>
        <w:rPr>
          <w:rFonts w:hint="eastAsia" w:ascii="宋体" w:hAnsi="宋体"/>
          <w:color w:val="auto"/>
          <w:szCs w:val="21"/>
          <w:highlight w:val="none"/>
          <w:u w:val="single"/>
        </w:rPr>
        <w:t xml:space="preserve">                   </w:t>
      </w:r>
      <w:r>
        <w:rPr>
          <w:rFonts w:hint="eastAsia" w:ascii="宋体" w:hAnsi="宋体"/>
          <w:color w:val="auto"/>
          <w:szCs w:val="21"/>
          <w:highlight w:val="none"/>
        </w:rPr>
        <w:t>：（招标人名称）</w:t>
      </w:r>
    </w:p>
    <w:p>
      <w:pPr>
        <w:adjustRightInd w:val="0"/>
        <w:snapToGrid w:val="0"/>
        <w:spacing w:line="440" w:lineRule="exact"/>
        <w:ind w:firstLine="422" w:firstLineChars="200"/>
        <w:rPr>
          <w:rFonts w:ascii="宋体" w:hAnsi="宋体"/>
          <w:color w:val="auto"/>
          <w:szCs w:val="21"/>
          <w:highlight w:val="none"/>
        </w:rPr>
      </w:pPr>
      <w:r>
        <w:rPr>
          <w:rFonts w:hint="eastAsia" w:ascii="宋体" w:hAnsi="宋体"/>
          <w:b/>
          <w:color w:val="auto"/>
          <w:szCs w:val="21"/>
          <w:highlight w:val="none"/>
          <w:u w:val="single"/>
        </w:rPr>
        <w:t xml:space="preserve">             </w:t>
      </w:r>
      <w:r>
        <w:rPr>
          <w:rFonts w:hint="eastAsia" w:ascii="宋体" w:hAnsi="宋体"/>
          <w:color w:val="auto"/>
          <w:szCs w:val="21"/>
          <w:highlight w:val="none"/>
        </w:rPr>
        <w:t>（中标单位名称）的项目经理（项目负责人）</w:t>
      </w:r>
      <w:r>
        <w:rPr>
          <w:rFonts w:hint="eastAsia" w:ascii="宋体" w:hAnsi="宋体"/>
          <w:b/>
          <w:color w:val="auto"/>
          <w:szCs w:val="21"/>
          <w:highlight w:val="none"/>
          <w:u w:val="single"/>
        </w:rPr>
        <w:t xml:space="preserve">              </w:t>
      </w:r>
      <w:r>
        <w:rPr>
          <w:rFonts w:hint="eastAsia" w:ascii="宋体" w:hAnsi="宋体"/>
          <w:color w:val="auto"/>
          <w:szCs w:val="21"/>
          <w:highlight w:val="none"/>
        </w:rPr>
        <w:t xml:space="preserve">（姓名及注册编号）承接我单位的 </w:t>
      </w:r>
      <w:r>
        <w:rPr>
          <w:rFonts w:hint="eastAsia" w:ascii="宋体" w:hAnsi="宋体"/>
          <w:b/>
          <w:color w:val="auto"/>
          <w:szCs w:val="21"/>
          <w:highlight w:val="none"/>
          <w:u w:val="single"/>
        </w:rPr>
        <w:t xml:space="preserve">                  </w:t>
      </w:r>
      <w:r>
        <w:rPr>
          <w:rFonts w:hint="eastAsia" w:ascii="宋体" w:hAnsi="宋体"/>
          <w:color w:val="auto"/>
          <w:szCs w:val="21"/>
          <w:highlight w:val="none"/>
        </w:rPr>
        <w:t>（项目名称）</w:t>
      </w:r>
      <w:r>
        <w:rPr>
          <w:rFonts w:hint="eastAsia" w:ascii="宋体" w:hAnsi="宋体"/>
          <w:b/>
          <w:color w:val="auto"/>
          <w:szCs w:val="21"/>
          <w:highlight w:val="none"/>
          <w:u w:val="single"/>
        </w:rPr>
        <w:t xml:space="preserve">              </w:t>
      </w:r>
      <w:r>
        <w:rPr>
          <w:rFonts w:hint="eastAsia" w:ascii="宋体" w:hAnsi="宋体"/>
          <w:color w:val="auto"/>
          <w:szCs w:val="21"/>
          <w:highlight w:val="none"/>
        </w:rPr>
        <w:t>（标段名称）于</w:t>
      </w:r>
      <w:r>
        <w:rPr>
          <w:rFonts w:hint="eastAsia" w:ascii="宋体" w:hAnsi="宋体"/>
          <w:b/>
          <w:color w:val="auto"/>
          <w:szCs w:val="21"/>
          <w:highlight w:val="none"/>
          <w:u w:val="single"/>
        </w:rPr>
        <w:t xml:space="preserve">    </w:t>
      </w:r>
      <w:r>
        <w:rPr>
          <w:rFonts w:hint="eastAsia" w:ascii="宋体" w:hAnsi="宋体"/>
          <w:color w:val="auto"/>
          <w:szCs w:val="21"/>
          <w:highlight w:val="none"/>
        </w:rPr>
        <w:t xml:space="preserve">年 </w:t>
      </w:r>
      <w:r>
        <w:rPr>
          <w:rFonts w:hint="eastAsia" w:ascii="宋体" w:hAnsi="宋体"/>
          <w:b/>
          <w:color w:val="auto"/>
          <w:szCs w:val="21"/>
          <w:highlight w:val="none"/>
          <w:u w:val="single"/>
        </w:rPr>
        <w:t xml:space="preserve">   </w:t>
      </w:r>
      <w:r>
        <w:rPr>
          <w:rFonts w:hint="eastAsia" w:ascii="宋体" w:hAnsi="宋体"/>
          <w:color w:val="auto"/>
          <w:szCs w:val="21"/>
          <w:highlight w:val="none"/>
        </w:rPr>
        <w:t>月</w:t>
      </w:r>
      <w:r>
        <w:rPr>
          <w:rFonts w:hint="eastAsia" w:ascii="宋体" w:hAnsi="宋体"/>
          <w:b/>
          <w:color w:val="auto"/>
          <w:szCs w:val="21"/>
          <w:highlight w:val="none"/>
          <w:u w:val="single"/>
        </w:rPr>
        <w:t xml:space="preserve">    </w:t>
      </w:r>
      <w:r>
        <w:rPr>
          <w:rFonts w:hint="eastAsia" w:ascii="宋体" w:hAnsi="宋体"/>
          <w:color w:val="auto"/>
          <w:szCs w:val="21"/>
          <w:highlight w:val="none"/>
        </w:rPr>
        <w:t>日完工，现同意该项目经理参加其他工程招投标活动。</w:t>
      </w:r>
    </w:p>
    <w:p>
      <w:pPr>
        <w:adjustRightInd w:val="0"/>
        <w:snapToGrid w:val="0"/>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特此证明。</w:t>
      </w:r>
    </w:p>
    <w:p>
      <w:pPr>
        <w:adjustRightInd w:val="0"/>
        <w:snapToGrid w:val="0"/>
        <w:spacing w:line="440" w:lineRule="exact"/>
        <w:rPr>
          <w:rFonts w:ascii="宋体" w:hAnsi="宋体"/>
          <w:color w:val="auto"/>
          <w:szCs w:val="21"/>
          <w:highlight w:val="none"/>
        </w:rPr>
      </w:pPr>
    </w:p>
    <w:p>
      <w:pPr>
        <w:adjustRightInd w:val="0"/>
        <w:snapToGrid w:val="0"/>
        <w:spacing w:line="440" w:lineRule="exact"/>
        <w:rPr>
          <w:rFonts w:ascii="宋体" w:hAnsi="宋体"/>
          <w:color w:val="auto"/>
          <w:szCs w:val="21"/>
          <w:highlight w:val="none"/>
        </w:rPr>
      </w:pPr>
      <w:r>
        <w:rPr>
          <w:rFonts w:hint="eastAsia" w:ascii="宋体" w:hAnsi="宋体"/>
          <w:color w:val="auto"/>
          <w:szCs w:val="21"/>
          <w:highlight w:val="none"/>
        </w:rPr>
        <w:t>注：如项目已竣工验收，附竣工验收单。</w:t>
      </w:r>
    </w:p>
    <w:p>
      <w:pPr>
        <w:adjustRightInd w:val="0"/>
        <w:snapToGrid w:val="0"/>
        <w:spacing w:line="440" w:lineRule="exact"/>
        <w:rPr>
          <w:rFonts w:ascii="宋体" w:hAnsi="宋体"/>
          <w:color w:val="auto"/>
          <w:szCs w:val="21"/>
          <w:highlight w:val="none"/>
        </w:rPr>
      </w:pPr>
    </w:p>
    <w:p>
      <w:pPr>
        <w:adjustRightInd w:val="0"/>
        <w:snapToGrid w:val="0"/>
        <w:spacing w:line="440" w:lineRule="exact"/>
        <w:rPr>
          <w:rFonts w:ascii="宋体" w:hAnsi="宋体"/>
          <w:color w:val="auto"/>
          <w:szCs w:val="21"/>
          <w:highlight w:val="none"/>
        </w:rPr>
      </w:pPr>
    </w:p>
    <w:p>
      <w:pPr>
        <w:adjustRightInd w:val="0"/>
        <w:snapToGrid w:val="0"/>
        <w:spacing w:line="440" w:lineRule="exact"/>
        <w:ind w:firstLine="422" w:firstLineChars="200"/>
        <w:rPr>
          <w:rFonts w:ascii="宋体" w:hAnsi="宋体"/>
          <w:b/>
          <w:color w:val="auto"/>
          <w:szCs w:val="21"/>
          <w:highlight w:val="none"/>
        </w:rPr>
      </w:pPr>
    </w:p>
    <w:p>
      <w:pPr>
        <w:adjustRightInd w:val="0"/>
        <w:snapToGrid w:val="0"/>
        <w:spacing w:line="440" w:lineRule="exact"/>
        <w:jc w:val="right"/>
        <w:rPr>
          <w:rFonts w:ascii="宋体" w:hAnsi="宋体"/>
          <w:color w:val="auto"/>
          <w:szCs w:val="21"/>
          <w:highlight w:val="none"/>
        </w:rPr>
      </w:pPr>
      <w:r>
        <w:rPr>
          <w:rFonts w:hint="eastAsia" w:ascii="宋体" w:hAnsi="宋体"/>
          <w:color w:val="auto"/>
          <w:szCs w:val="21"/>
          <w:highlight w:val="none"/>
        </w:rPr>
        <w:t>单位公章（注：单位内设科室盖章无效）</w:t>
      </w:r>
    </w:p>
    <w:p>
      <w:pPr>
        <w:adjustRightInd w:val="0"/>
        <w:snapToGrid w:val="0"/>
        <w:spacing w:line="440" w:lineRule="exact"/>
        <w:ind w:firstLine="4620" w:firstLineChars="2200"/>
        <w:rPr>
          <w:rFonts w:ascii="宋体" w:hAnsi="宋体"/>
          <w:color w:val="auto"/>
          <w:szCs w:val="21"/>
          <w:highlight w:val="none"/>
        </w:rPr>
        <w:sectPr>
          <w:pgSz w:w="11906" w:h="16838"/>
          <w:pgMar w:top="1440" w:right="1800" w:bottom="1440" w:left="1800" w:header="851" w:footer="992" w:gutter="0"/>
          <w:cols w:space="425" w:num="1"/>
          <w:docGrid w:type="lines" w:linePitch="312" w:charSpace="0"/>
        </w:sectPr>
      </w:pPr>
      <w:r>
        <w:rPr>
          <w:rFonts w:hint="eastAsia" w:ascii="宋体" w:hAnsi="宋体"/>
          <w:color w:val="auto"/>
          <w:szCs w:val="21"/>
          <w:highlight w:val="none"/>
        </w:rPr>
        <w:t>日期：        年       月       日</w:t>
      </w:r>
    </w:p>
    <w:p>
      <w:pPr>
        <w:rPr>
          <w:rFonts w:hint="default" w:ascii="Times New Roman" w:hAnsi="宋体" w:cs="Times New Roman"/>
          <w:color w:val="auto"/>
          <w:highlight w:val="none"/>
          <w:lang w:val="en-US" w:eastAsia="zh-CN"/>
        </w:rPr>
      </w:pPr>
      <w:r>
        <w:rPr>
          <w:rFonts w:hint="eastAsia" w:ascii="Times New Roman" w:hAnsi="宋体" w:cs="Times New Roman"/>
          <w:color w:val="auto"/>
          <w:highlight w:val="none"/>
          <w:lang w:val="en-US" w:eastAsia="zh-CN"/>
        </w:rPr>
        <w:t>附表6</w:t>
      </w:r>
    </w:p>
    <w:p>
      <w:pPr>
        <w:adjustRightInd w:val="0"/>
        <w:snapToGrid w:val="0"/>
        <w:spacing w:line="440" w:lineRule="exact"/>
        <w:jc w:val="center"/>
        <w:rPr>
          <w:rFonts w:hint="eastAsia" w:ascii="Times New Roman" w:hAnsi="宋体" w:eastAsia="宋体" w:cs="Times New Roman"/>
          <w:color w:val="auto"/>
          <w:kern w:val="0"/>
          <w:sz w:val="21"/>
          <w:szCs w:val="21"/>
          <w:highlight w:val="none"/>
          <w:lang w:val="en-US" w:eastAsia="zh-CN" w:bidi="ar-SA"/>
        </w:rPr>
      </w:pPr>
      <w:r>
        <w:rPr>
          <w:rFonts w:hint="eastAsia" w:ascii="Times New Roman" w:hAnsi="宋体" w:eastAsia="宋体" w:cs="Times New Roman"/>
          <w:color w:val="auto"/>
          <w:kern w:val="0"/>
          <w:sz w:val="21"/>
          <w:szCs w:val="21"/>
          <w:highlight w:val="none"/>
          <w:lang w:val="en-US" w:eastAsia="zh-CN" w:bidi="ar-SA"/>
        </w:rPr>
        <w:t>现场勘察回执</w:t>
      </w:r>
    </w:p>
    <w:p>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jc w:val="left"/>
        <w:textAlignment w:val="auto"/>
        <w:rPr>
          <w:rFonts w:hint="eastAsia" w:asciiTheme="minorEastAsia" w:hAnsiTheme="minorEastAsia" w:eastAsiaTheme="minorEastAsia" w:cstheme="minorEastAsia"/>
          <w:color w:val="auto"/>
          <w:kern w:val="0"/>
          <w:sz w:val="21"/>
          <w:szCs w:val="21"/>
          <w:highlight w:val="none"/>
        </w:rPr>
      </w:pPr>
    </w:p>
    <w:p>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jc w:val="left"/>
        <w:textAlignment w:val="auto"/>
        <w:rPr>
          <w:rFonts w:hint="eastAsia" w:asciiTheme="minorEastAsia" w:hAnsiTheme="minorEastAsia" w:eastAsiaTheme="minorEastAsia" w:cstheme="minorEastAsia"/>
          <w:color w:val="auto"/>
          <w:kern w:val="0"/>
          <w:sz w:val="21"/>
          <w:szCs w:val="21"/>
          <w:highlight w:val="none"/>
        </w:rPr>
      </w:pPr>
      <w:r>
        <w:rPr>
          <w:rFonts w:hint="eastAsia" w:asciiTheme="minorEastAsia" w:hAnsiTheme="minorEastAsia" w:eastAsiaTheme="minorEastAsia" w:cstheme="minorEastAsia"/>
          <w:color w:val="auto"/>
          <w:kern w:val="0"/>
          <w:sz w:val="21"/>
          <w:szCs w:val="21"/>
          <w:highlight w:val="none"/>
        </w:rPr>
        <w:t xml:space="preserve">兹证明 </w:t>
      </w:r>
      <w:r>
        <w:rPr>
          <w:rFonts w:hint="eastAsia" w:asciiTheme="minorEastAsia" w:hAnsiTheme="minorEastAsia" w:eastAsiaTheme="minorEastAsia" w:cstheme="minorEastAsia"/>
          <w:color w:val="auto"/>
          <w:kern w:val="0"/>
          <w:sz w:val="21"/>
          <w:szCs w:val="21"/>
          <w:highlight w:val="none"/>
          <w:u w:val="single"/>
        </w:rPr>
        <w:t xml:space="preserve">                      </w:t>
      </w:r>
      <w:r>
        <w:rPr>
          <w:rFonts w:hint="eastAsia" w:asciiTheme="minorEastAsia" w:hAnsiTheme="minorEastAsia" w:eastAsiaTheme="minorEastAsia" w:cstheme="minorEastAsia"/>
          <w:color w:val="auto"/>
          <w:kern w:val="0"/>
          <w:sz w:val="21"/>
          <w:szCs w:val="21"/>
          <w:highlight w:val="none"/>
        </w:rPr>
        <w:t>（投标单位名称）已派</w:t>
      </w:r>
      <w:r>
        <w:rPr>
          <w:rFonts w:hint="eastAsia" w:asciiTheme="minorEastAsia" w:hAnsiTheme="minorEastAsia" w:eastAsiaTheme="minorEastAsia" w:cstheme="minorEastAsia"/>
          <w:color w:val="auto"/>
          <w:kern w:val="0"/>
          <w:sz w:val="21"/>
          <w:szCs w:val="21"/>
          <w:highlight w:val="none"/>
          <w:u w:val="single"/>
        </w:rPr>
        <w:t xml:space="preserve">      </w:t>
      </w:r>
      <w:r>
        <w:rPr>
          <w:rFonts w:hint="eastAsia" w:asciiTheme="minorEastAsia" w:hAnsiTheme="minorEastAsia" w:eastAsiaTheme="minorEastAsia" w:cstheme="minorEastAsia"/>
          <w:color w:val="auto"/>
          <w:kern w:val="0"/>
          <w:sz w:val="21"/>
          <w:szCs w:val="21"/>
          <w:highlight w:val="none"/>
        </w:rPr>
        <w:t>（委托人）（电话：</w:t>
      </w:r>
      <w:r>
        <w:rPr>
          <w:rFonts w:hint="eastAsia" w:asciiTheme="minorEastAsia" w:hAnsiTheme="minorEastAsia" w:eastAsiaTheme="minorEastAsia" w:cstheme="minorEastAsia"/>
          <w:color w:val="auto"/>
          <w:kern w:val="0"/>
          <w:sz w:val="21"/>
          <w:szCs w:val="21"/>
          <w:highlight w:val="none"/>
          <w:u w:val="single"/>
        </w:rPr>
        <w:t xml:space="preserve">         </w:t>
      </w:r>
      <w:r>
        <w:rPr>
          <w:rFonts w:hint="eastAsia" w:asciiTheme="minorEastAsia" w:hAnsiTheme="minorEastAsia" w:eastAsiaTheme="minorEastAsia" w:cstheme="minorEastAsia"/>
          <w:color w:val="auto"/>
          <w:kern w:val="0"/>
          <w:sz w:val="21"/>
          <w:szCs w:val="21"/>
          <w:highlight w:val="none"/>
        </w:rPr>
        <w:t xml:space="preserve">）到 </w:t>
      </w:r>
      <w:r>
        <w:rPr>
          <w:rFonts w:hint="eastAsia" w:asciiTheme="minorEastAsia" w:hAnsiTheme="minorEastAsia" w:eastAsiaTheme="minorEastAsia" w:cstheme="minorEastAsia"/>
          <w:color w:val="auto"/>
          <w:kern w:val="0"/>
          <w:sz w:val="21"/>
          <w:szCs w:val="21"/>
          <w:highlight w:val="none"/>
          <w:u w:val="single"/>
        </w:rPr>
        <w:t xml:space="preserve"> </w:t>
      </w:r>
      <w:r>
        <w:rPr>
          <w:rFonts w:hint="eastAsia" w:asciiTheme="minorEastAsia" w:hAnsiTheme="minorEastAsia" w:eastAsiaTheme="minorEastAsia" w:cstheme="minorEastAsia"/>
          <w:color w:val="auto"/>
          <w:kern w:val="0"/>
          <w:sz w:val="21"/>
          <w:szCs w:val="21"/>
          <w:highlight w:val="none"/>
          <w:u w:val="single"/>
          <w:lang w:val="en-US" w:eastAsia="zh-CN"/>
        </w:rPr>
        <w:t xml:space="preserve">             </w:t>
      </w:r>
      <w:r>
        <w:rPr>
          <w:rFonts w:hint="eastAsia" w:asciiTheme="minorEastAsia" w:hAnsiTheme="minorEastAsia" w:eastAsiaTheme="minorEastAsia" w:cstheme="minorEastAsia"/>
          <w:color w:val="auto"/>
          <w:kern w:val="0"/>
          <w:sz w:val="21"/>
          <w:szCs w:val="21"/>
          <w:highlight w:val="none"/>
          <w:u w:val="single"/>
        </w:rPr>
        <w:t xml:space="preserve">  </w:t>
      </w:r>
      <w:r>
        <w:rPr>
          <w:rFonts w:hint="eastAsia" w:asciiTheme="minorEastAsia" w:hAnsiTheme="minorEastAsia" w:eastAsiaTheme="minorEastAsia" w:cstheme="minorEastAsia"/>
          <w:color w:val="auto"/>
          <w:kern w:val="0"/>
          <w:sz w:val="21"/>
          <w:szCs w:val="21"/>
          <w:highlight w:val="none"/>
        </w:rPr>
        <w:t>（项目名称）现场进行实地勘察。</w:t>
      </w:r>
    </w:p>
    <w:p>
      <w:pPr>
        <w:spacing w:line="360" w:lineRule="auto"/>
        <w:ind w:firstLine="420" w:firstLineChars="200"/>
        <w:rPr>
          <w:rFonts w:hint="eastAsia" w:asciiTheme="minorEastAsia" w:hAnsiTheme="minorEastAsia" w:eastAsiaTheme="minorEastAsia" w:cstheme="minorEastAsia"/>
          <w:color w:val="auto"/>
          <w:kern w:val="0"/>
          <w:sz w:val="21"/>
          <w:szCs w:val="21"/>
          <w:highlight w:val="none"/>
          <w:lang w:eastAsia="zh-CN"/>
        </w:rPr>
      </w:pPr>
      <w:r>
        <w:rPr>
          <w:rFonts w:hint="eastAsia" w:asciiTheme="minorEastAsia" w:hAnsiTheme="minorEastAsia" w:eastAsiaTheme="minorEastAsia" w:cstheme="minorEastAsia"/>
          <w:color w:val="auto"/>
          <w:kern w:val="0"/>
          <w:sz w:val="21"/>
          <w:szCs w:val="21"/>
          <w:highlight w:val="none"/>
        </w:rPr>
        <w:t>经现场勘察，该投标单位对本项目现场状况及周边相关社会环境己充分了解，并承诺</w:t>
      </w:r>
      <w:r>
        <w:rPr>
          <w:rFonts w:hint="eastAsia" w:asciiTheme="minorEastAsia" w:hAnsiTheme="minorEastAsia" w:eastAsiaTheme="minorEastAsia" w:cstheme="minorEastAsia"/>
          <w:color w:val="auto"/>
          <w:kern w:val="0"/>
          <w:sz w:val="21"/>
          <w:szCs w:val="21"/>
          <w:highlight w:val="none"/>
          <w:lang w:eastAsia="zh-CN"/>
        </w:rPr>
        <w:t>：</w:t>
      </w:r>
    </w:p>
    <w:p>
      <w:pPr>
        <w:numPr>
          <w:ilvl w:val="0"/>
          <w:numId w:val="4"/>
        </w:numPr>
        <w:spacing w:line="360" w:lineRule="auto"/>
        <w:ind w:firstLine="420" w:firstLineChars="200"/>
        <w:rPr>
          <w:rFonts w:hAnsi="宋体"/>
          <w:color w:val="auto"/>
          <w:kern w:val="0"/>
          <w:szCs w:val="21"/>
          <w:highlight w:val="none"/>
        </w:rPr>
      </w:pPr>
      <w:r>
        <w:rPr>
          <w:rFonts w:hint="eastAsia" w:asciiTheme="minorEastAsia" w:hAnsiTheme="minorEastAsia" w:eastAsiaTheme="minorEastAsia" w:cstheme="minorEastAsia"/>
          <w:color w:val="auto"/>
          <w:kern w:val="0"/>
          <w:sz w:val="21"/>
          <w:szCs w:val="21"/>
          <w:highlight w:val="none"/>
        </w:rPr>
        <w:t>中标</w:t>
      </w:r>
      <w:r>
        <w:rPr>
          <w:rFonts w:hint="eastAsia" w:asciiTheme="minorEastAsia" w:hAnsiTheme="minorEastAsia" w:eastAsiaTheme="minorEastAsia" w:cstheme="minorEastAsia"/>
          <w:color w:val="auto"/>
          <w:kern w:val="0"/>
          <w:sz w:val="21"/>
          <w:szCs w:val="21"/>
          <w:highlight w:val="none"/>
          <w:lang w:val="en-US" w:eastAsia="zh-CN"/>
        </w:rPr>
        <w:t>后</w:t>
      </w:r>
      <w:r>
        <w:rPr>
          <w:rFonts w:hint="eastAsia" w:asciiTheme="minorEastAsia" w:hAnsiTheme="minorEastAsia" w:eastAsiaTheme="minorEastAsia" w:cstheme="minorEastAsia"/>
          <w:color w:val="auto"/>
          <w:kern w:val="0"/>
          <w:sz w:val="21"/>
          <w:szCs w:val="21"/>
          <w:highlight w:val="none"/>
        </w:rPr>
        <w:t>不对场地现状提出异议，并已根据施工图纸对工程分部分项清单确认没有漏项</w:t>
      </w:r>
      <w:r>
        <w:rPr>
          <w:rFonts w:hint="eastAsia" w:asciiTheme="minorEastAsia" w:hAnsiTheme="minorEastAsia" w:eastAsiaTheme="minorEastAsia" w:cstheme="minorEastAsia"/>
          <w:color w:val="auto"/>
          <w:kern w:val="0"/>
          <w:sz w:val="21"/>
          <w:szCs w:val="21"/>
          <w:highlight w:val="none"/>
          <w:lang w:eastAsia="zh-CN"/>
        </w:rPr>
        <w:t>，</w:t>
      </w:r>
      <w:r>
        <w:rPr>
          <w:rFonts w:hint="eastAsia" w:asciiTheme="minorEastAsia" w:hAnsiTheme="minorEastAsia" w:eastAsiaTheme="minorEastAsia" w:cstheme="minorEastAsia"/>
          <w:color w:val="auto"/>
          <w:kern w:val="0"/>
          <w:sz w:val="21"/>
          <w:szCs w:val="21"/>
          <w:highlight w:val="none"/>
          <w:lang w:val="en-US" w:eastAsia="zh-CN"/>
        </w:rPr>
        <w:t>中标后</w:t>
      </w:r>
      <w:r>
        <w:rPr>
          <w:rFonts w:hint="eastAsia" w:hAnsi="宋体"/>
          <w:color w:val="auto"/>
          <w:kern w:val="0"/>
          <w:szCs w:val="21"/>
          <w:highlight w:val="none"/>
          <w:lang w:val="en-US" w:eastAsia="zh-CN"/>
        </w:rPr>
        <w:t>不因不了解场地现状、工程量清单漏项要求招标人增加任何费用</w:t>
      </w:r>
      <w:r>
        <w:rPr>
          <w:rFonts w:hAnsi="宋体"/>
          <w:color w:val="auto"/>
          <w:kern w:val="0"/>
          <w:szCs w:val="21"/>
          <w:highlight w:val="none"/>
        </w:rPr>
        <w:t>。</w:t>
      </w:r>
    </w:p>
    <w:p>
      <w:pPr>
        <w:numPr>
          <w:ilvl w:val="0"/>
          <w:numId w:val="4"/>
        </w:numPr>
        <w:spacing w:line="360" w:lineRule="auto"/>
        <w:ind w:firstLine="420" w:firstLineChars="200"/>
        <w:rPr>
          <w:rFonts w:hAnsi="宋体"/>
          <w:color w:val="auto"/>
          <w:kern w:val="0"/>
          <w:szCs w:val="21"/>
          <w:highlight w:val="yellow"/>
        </w:rPr>
      </w:pPr>
      <w:r>
        <w:rPr>
          <w:rFonts w:hint="eastAsia" w:asciiTheme="minorEastAsia" w:hAnsiTheme="minorEastAsia" w:eastAsiaTheme="minorEastAsia" w:cstheme="minorEastAsia"/>
          <w:color w:val="auto"/>
          <w:kern w:val="0"/>
          <w:sz w:val="21"/>
          <w:szCs w:val="21"/>
          <w:highlight w:val="none"/>
        </w:rPr>
        <w:t>对现场线路、管路、装饰、土建等</w:t>
      </w:r>
      <w:r>
        <w:rPr>
          <w:rFonts w:hint="eastAsia" w:asciiTheme="minorEastAsia" w:hAnsiTheme="minorEastAsia" w:eastAsiaTheme="minorEastAsia" w:cstheme="minorEastAsia"/>
          <w:color w:val="auto"/>
          <w:kern w:val="0"/>
          <w:sz w:val="21"/>
          <w:szCs w:val="21"/>
          <w:highlight w:val="none"/>
          <w:lang w:val="en-US" w:eastAsia="zh-CN"/>
        </w:rPr>
        <w:t>已</w:t>
      </w:r>
      <w:r>
        <w:rPr>
          <w:rFonts w:hint="eastAsia" w:asciiTheme="minorEastAsia" w:hAnsiTheme="minorEastAsia" w:eastAsiaTheme="minorEastAsia" w:cstheme="minorEastAsia"/>
          <w:color w:val="auto"/>
          <w:kern w:val="0"/>
          <w:sz w:val="21"/>
          <w:szCs w:val="21"/>
          <w:highlight w:val="none"/>
        </w:rPr>
        <w:t>进行核实、</w:t>
      </w:r>
      <w:r>
        <w:rPr>
          <w:rFonts w:hint="eastAsia" w:asciiTheme="minorEastAsia" w:hAnsiTheme="minorEastAsia" w:eastAsiaTheme="minorEastAsia" w:cstheme="minorEastAsia"/>
          <w:color w:val="auto"/>
          <w:kern w:val="0"/>
          <w:sz w:val="21"/>
          <w:szCs w:val="21"/>
          <w:highlight w:val="none"/>
          <w:lang w:val="en-US" w:eastAsia="zh-CN"/>
        </w:rPr>
        <w:t>中标后</w:t>
      </w:r>
      <w:r>
        <w:rPr>
          <w:rFonts w:hint="eastAsia" w:asciiTheme="minorEastAsia" w:hAnsiTheme="minorEastAsia" w:eastAsiaTheme="minorEastAsia" w:cstheme="minorEastAsia"/>
          <w:color w:val="auto"/>
          <w:kern w:val="0"/>
          <w:sz w:val="21"/>
          <w:szCs w:val="21"/>
          <w:highlight w:val="none"/>
        </w:rPr>
        <w:t>对现场情况不以场地存在瑕疵及与图纸不符</w:t>
      </w:r>
      <w:r>
        <w:rPr>
          <w:rFonts w:hint="eastAsia" w:asciiTheme="minorEastAsia" w:hAnsiTheme="minorEastAsia" w:eastAsiaTheme="minorEastAsia" w:cstheme="minorEastAsia"/>
          <w:color w:val="auto"/>
          <w:kern w:val="0"/>
          <w:sz w:val="21"/>
          <w:szCs w:val="21"/>
          <w:highlight w:val="none"/>
          <w:lang w:eastAsia="zh-CN"/>
        </w:rPr>
        <w:t>、</w:t>
      </w:r>
      <w:r>
        <w:rPr>
          <w:rFonts w:hint="eastAsia" w:asciiTheme="minorEastAsia" w:hAnsiTheme="minorEastAsia" w:eastAsiaTheme="minorEastAsia" w:cstheme="minorEastAsia"/>
          <w:color w:val="auto"/>
          <w:kern w:val="0"/>
          <w:sz w:val="21"/>
          <w:szCs w:val="21"/>
          <w:highlight w:val="none"/>
        </w:rPr>
        <w:t>影响施工需改道等等增加成本为由拒绝签署项目合同书或履行所约定的各项义务</w:t>
      </w:r>
      <w:r>
        <w:rPr>
          <w:rFonts w:hint="eastAsia" w:asciiTheme="minorEastAsia" w:hAnsiTheme="minorEastAsia" w:eastAsiaTheme="minorEastAsia" w:cstheme="minorEastAsia"/>
          <w:color w:val="auto"/>
          <w:kern w:val="0"/>
          <w:sz w:val="21"/>
          <w:szCs w:val="21"/>
          <w:highlight w:val="none"/>
          <w:lang w:eastAsia="zh-CN"/>
        </w:rPr>
        <w:t>。</w:t>
      </w:r>
    </w:p>
    <w:p>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jc w:val="left"/>
        <w:textAlignment w:val="auto"/>
        <w:rPr>
          <w:rFonts w:hint="eastAsia" w:asciiTheme="minorEastAsia" w:hAnsiTheme="minorEastAsia" w:eastAsiaTheme="minorEastAsia" w:cstheme="minorEastAsia"/>
          <w:color w:val="auto"/>
          <w:kern w:val="0"/>
          <w:sz w:val="21"/>
          <w:szCs w:val="21"/>
          <w:highlight w:val="none"/>
        </w:rPr>
      </w:pP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Theme="minorEastAsia" w:hAnsiTheme="minorEastAsia" w:eastAsiaTheme="minorEastAsia" w:cstheme="minorEastAsia"/>
          <w:color w:val="auto"/>
          <w:kern w:val="0"/>
          <w:sz w:val="21"/>
          <w:szCs w:val="21"/>
          <w:highlight w:val="none"/>
        </w:rPr>
      </w:pPr>
      <w:r>
        <w:rPr>
          <w:rFonts w:hint="eastAsia" w:asciiTheme="minorEastAsia" w:hAnsiTheme="minorEastAsia" w:eastAsiaTheme="minorEastAsia" w:cstheme="minorEastAsia"/>
          <w:color w:val="auto"/>
          <w:kern w:val="0"/>
          <w:sz w:val="21"/>
          <w:szCs w:val="21"/>
          <w:highlight w:val="none"/>
        </w:rPr>
        <w:t xml:space="preserve">投 标 人 全 称：                      </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Theme="minorEastAsia" w:hAnsiTheme="minorEastAsia" w:eastAsiaTheme="minorEastAsia" w:cstheme="minorEastAsia"/>
          <w:color w:val="auto"/>
          <w:kern w:val="0"/>
          <w:sz w:val="21"/>
          <w:szCs w:val="21"/>
          <w:highlight w:val="none"/>
        </w:rPr>
      </w:pPr>
      <w:r>
        <w:rPr>
          <w:rFonts w:hint="eastAsia" w:asciiTheme="minorEastAsia" w:hAnsiTheme="minorEastAsia" w:eastAsiaTheme="minorEastAsia" w:cstheme="minorEastAsia"/>
          <w:color w:val="auto"/>
          <w:kern w:val="0"/>
          <w:sz w:val="21"/>
          <w:szCs w:val="21"/>
          <w:highlight w:val="none"/>
        </w:rPr>
        <w:t>投标单位书面授权人确认签字：          （签字）</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Theme="minorEastAsia" w:hAnsiTheme="minorEastAsia" w:eastAsiaTheme="minorEastAsia" w:cstheme="minorEastAsia"/>
          <w:color w:val="auto"/>
          <w:kern w:val="0"/>
          <w:sz w:val="21"/>
          <w:szCs w:val="21"/>
          <w:highlight w:val="none"/>
        </w:rPr>
      </w:pPr>
      <w:r>
        <w:rPr>
          <w:rFonts w:hint="eastAsia" w:asciiTheme="minorEastAsia" w:hAnsiTheme="minorEastAsia" w:eastAsiaTheme="minorEastAsia" w:cstheme="minorEastAsia"/>
          <w:color w:val="auto"/>
          <w:kern w:val="0"/>
          <w:sz w:val="21"/>
          <w:szCs w:val="21"/>
          <w:highlight w:val="none"/>
        </w:rPr>
        <w:t xml:space="preserve">招 标 人 全 称：  南通市保安服务有限公司   </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Theme="minorEastAsia" w:hAnsiTheme="minorEastAsia" w:eastAsiaTheme="minorEastAsia" w:cstheme="minorEastAsia"/>
          <w:color w:val="auto"/>
          <w:kern w:val="0"/>
          <w:sz w:val="21"/>
          <w:szCs w:val="21"/>
          <w:highlight w:val="none"/>
        </w:rPr>
      </w:pPr>
      <w:r>
        <w:rPr>
          <w:rFonts w:hint="eastAsia" w:asciiTheme="minorEastAsia" w:hAnsiTheme="minorEastAsia" w:eastAsiaTheme="minorEastAsia" w:cstheme="minorEastAsia"/>
          <w:color w:val="auto"/>
          <w:kern w:val="0"/>
          <w:sz w:val="21"/>
          <w:szCs w:val="21"/>
          <w:highlight w:val="none"/>
        </w:rPr>
        <w:t>招标项目负责人：                （签字或盖章）</w:t>
      </w:r>
    </w:p>
    <w:p>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Theme="minorEastAsia" w:hAnsiTheme="minorEastAsia" w:eastAsiaTheme="minorEastAsia" w:cstheme="minorEastAsia"/>
          <w:color w:val="auto"/>
          <w:kern w:val="0"/>
          <w:sz w:val="21"/>
          <w:szCs w:val="21"/>
          <w:highlight w:val="none"/>
        </w:rPr>
      </w:pPr>
      <w:r>
        <w:rPr>
          <w:rFonts w:hint="eastAsia" w:asciiTheme="minorEastAsia" w:hAnsiTheme="minorEastAsia" w:eastAsiaTheme="minorEastAsia" w:cstheme="minorEastAsia"/>
          <w:color w:val="auto"/>
          <w:kern w:val="0"/>
          <w:sz w:val="21"/>
          <w:szCs w:val="21"/>
          <w:highlight w:val="none"/>
        </w:rPr>
        <w:t>2023 年    月    日</w:t>
      </w:r>
    </w:p>
    <w:p>
      <w:pPr>
        <w:adjustRightInd w:val="0"/>
        <w:snapToGrid w:val="0"/>
        <w:spacing w:line="440" w:lineRule="exact"/>
        <w:jc w:val="center"/>
        <w:rPr>
          <w:rFonts w:hAnsi="宋体"/>
          <w:color w:val="auto"/>
          <w:kern w:val="0"/>
          <w:sz w:val="21"/>
          <w:szCs w:val="21"/>
          <w:highlight w:val="none"/>
        </w:rPr>
      </w:pPr>
    </w:p>
    <w:p>
      <w:pPr>
        <w:adjustRightInd w:val="0"/>
        <w:snapToGrid w:val="0"/>
        <w:spacing w:line="440" w:lineRule="exact"/>
        <w:jc w:val="center"/>
        <w:rPr>
          <w:rFonts w:hAnsi="宋体"/>
          <w:color w:val="auto"/>
          <w:kern w:val="0"/>
          <w:sz w:val="44"/>
          <w:szCs w:val="44"/>
          <w:highlight w:val="none"/>
        </w:rPr>
      </w:pPr>
    </w:p>
    <w:p>
      <w:pPr>
        <w:adjustRightInd w:val="0"/>
        <w:snapToGrid w:val="0"/>
        <w:spacing w:line="440" w:lineRule="exact"/>
        <w:jc w:val="center"/>
        <w:rPr>
          <w:rFonts w:hAnsi="宋体"/>
          <w:color w:val="auto"/>
          <w:kern w:val="0"/>
          <w:sz w:val="44"/>
          <w:szCs w:val="44"/>
          <w:highlight w:val="none"/>
        </w:rPr>
      </w:pPr>
    </w:p>
    <w:p>
      <w:pPr>
        <w:adjustRightInd w:val="0"/>
        <w:snapToGrid w:val="0"/>
        <w:spacing w:line="440" w:lineRule="exact"/>
        <w:jc w:val="center"/>
        <w:rPr>
          <w:rFonts w:hAnsi="宋体"/>
          <w:color w:val="auto"/>
          <w:kern w:val="0"/>
          <w:sz w:val="44"/>
          <w:szCs w:val="44"/>
          <w:highlight w:val="none"/>
        </w:rPr>
      </w:pPr>
    </w:p>
    <w:p>
      <w:pPr>
        <w:adjustRightInd w:val="0"/>
        <w:snapToGrid w:val="0"/>
        <w:spacing w:line="440" w:lineRule="exact"/>
        <w:jc w:val="center"/>
        <w:rPr>
          <w:rFonts w:hAnsi="宋体"/>
          <w:color w:val="auto"/>
          <w:kern w:val="0"/>
          <w:sz w:val="44"/>
          <w:szCs w:val="44"/>
          <w:highlight w:val="none"/>
        </w:rPr>
      </w:pPr>
    </w:p>
    <w:p>
      <w:pPr>
        <w:adjustRightInd w:val="0"/>
        <w:snapToGrid w:val="0"/>
        <w:spacing w:line="440" w:lineRule="exact"/>
        <w:jc w:val="center"/>
        <w:rPr>
          <w:rFonts w:hAnsi="宋体"/>
          <w:color w:val="auto"/>
          <w:kern w:val="0"/>
          <w:sz w:val="44"/>
          <w:szCs w:val="44"/>
          <w:highlight w:val="none"/>
        </w:rPr>
      </w:pPr>
    </w:p>
    <w:p>
      <w:pPr>
        <w:adjustRightInd w:val="0"/>
        <w:snapToGrid w:val="0"/>
        <w:spacing w:line="440" w:lineRule="exact"/>
        <w:jc w:val="center"/>
        <w:rPr>
          <w:rFonts w:hAnsi="宋体"/>
          <w:color w:val="auto"/>
          <w:kern w:val="0"/>
          <w:sz w:val="44"/>
          <w:szCs w:val="44"/>
          <w:highlight w:val="none"/>
        </w:rPr>
      </w:pPr>
    </w:p>
    <w:p>
      <w:pPr>
        <w:adjustRightInd w:val="0"/>
        <w:snapToGrid w:val="0"/>
        <w:spacing w:line="440" w:lineRule="exact"/>
        <w:jc w:val="center"/>
        <w:rPr>
          <w:rFonts w:hAnsi="宋体"/>
          <w:color w:val="auto"/>
          <w:kern w:val="0"/>
          <w:sz w:val="44"/>
          <w:szCs w:val="44"/>
          <w:highlight w:val="none"/>
        </w:rPr>
      </w:pPr>
    </w:p>
    <w:p>
      <w:pPr>
        <w:adjustRightInd w:val="0"/>
        <w:snapToGrid w:val="0"/>
        <w:spacing w:line="440" w:lineRule="exact"/>
        <w:jc w:val="center"/>
        <w:rPr>
          <w:color w:val="auto"/>
          <w:sz w:val="44"/>
          <w:szCs w:val="44"/>
          <w:highlight w:val="none"/>
        </w:rPr>
      </w:pPr>
      <w:r>
        <w:rPr>
          <w:rFonts w:hAnsi="宋体"/>
          <w:color w:val="auto"/>
          <w:kern w:val="0"/>
          <w:sz w:val="44"/>
          <w:szCs w:val="44"/>
          <w:highlight w:val="none"/>
        </w:rPr>
        <w:t>第八章</w:t>
      </w:r>
      <w:r>
        <w:rPr>
          <w:rFonts w:hint="eastAsia" w:hAnsi="宋体"/>
          <w:color w:val="auto"/>
          <w:kern w:val="0"/>
          <w:sz w:val="44"/>
          <w:szCs w:val="44"/>
          <w:highlight w:val="none"/>
        </w:rPr>
        <w:t xml:space="preserve"> </w:t>
      </w:r>
      <w:r>
        <w:rPr>
          <w:rFonts w:hAnsi="宋体"/>
          <w:color w:val="auto"/>
          <w:kern w:val="0"/>
          <w:sz w:val="44"/>
          <w:szCs w:val="44"/>
          <w:highlight w:val="none"/>
        </w:rPr>
        <w:t>工程量清单</w:t>
      </w:r>
      <w:bookmarkEnd w:id="595"/>
      <w:bookmarkEnd w:id="596"/>
    </w:p>
    <w:p>
      <w:pPr>
        <w:jc w:val="center"/>
        <w:rPr>
          <w:rFonts w:ascii="宋体" w:hAnsi="宋体"/>
          <w:color w:val="auto"/>
          <w:highlight w:val="none"/>
        </w:rPr>
      </w:pPr>
    </w:p>
    <w:p>
      <w:pPr>
        <w:jc w:val="center"/>
        <w:rPr>
          <w:rFonts w:ascii="宋体" w:hAnsi="宋体"/>
          <w:color w:val="auto"/>
          <w:highlight w:val="none"/>
        </w:rPr>
      </w:pPr>
    </w:p>
    <w:p>
      <w:pPr>
        <w:jc w:val="center"/>
        <w:rPr>
          <w:rFonts w:ascii="宋体" w:hAnsi="宋体"/>
          <w:color w:val="auto"/>
          <w:highlight w:val="none"/>
        </w:rPr>
      </w:pPr>
      <w:r>
        <w:rPr>
          <w:rFonts w:hint="eastAsia" w:ascii="宋体" w:hAnsi="宋体"/>
          <w:color w:val="auto"/>
          <w:highlight w:val="none"/>
        </w:rPr>
        <w:t>（“南通市</w:t>
      </w:r>
      <w:r>
        <w:rPr>
          <w:rFonts w:hint="eastAsia" w:ascii="宋体" w:hAnsi="宋体"/>
          <w:color w:val="auto"/>
          <w:highlight w:val="none"/>
          <w:lang w:val="en-US" w:eastAsia="zh-CN"/>
        </w:rPr>
        <w:t>保安服务有限公司</w:t>
      </w:r>
      <w:r>
        <w:rPr>
          <w:rFonts w:hint="eastAsia" w:ascii="宋体" w:hAnsi="宋体"/>
          <w:color w:val="auto"/>
          <w:highlight w:val="none"/>
        </w:rPr>
        <w:t>”下载）</w:t>
      </w:r>
    </w:p>
    <w:p>
      <w:pPr>
        <w:rPr>
          <w:color w:val="auto"/>
          <w:highlight w:val="none"/>
        </w:rPr>
      </w:pPr>
    </w:p>
    <w:p>
      <w:pPr>
        <w:rPr>
          <w:color w:val="auto"/>
          <w:highlight w:val="none"/>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50"/>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auto"/>
    <w:pitch w:val="default"/>
    <w:sig w:usb0="00000000" w:usb1="00000000" w:usb2="00000000" w:usb3="00000000" w:csb0="00040000" w:csb1="00000000"/>
  </w:font>
  <w:font w:name="monospace">
    <w:altName w:val="Segoe Print"/>
    <w:panose1 w:val="00000000000000000000"/>
    <w:charset w:val="00"/>
    <w:family w:val="auto"/>
    <w:pitch w:val="default"/>
    <w:sig w:usb0="00000000" w:usb1="00000000" w:usb2="00000000" w:usb3="00000000" w:csb0="00040001" w:csb1="00000000"/>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时尚中黑简体">
    <w:panose1 w:val="01010104010101010101"/>
    <w:charset w:val="86"/>
    <w:family w:val="auto"/>
    <w:pitch w:val="default"/>
    <w:sig w:usb0="800002BF" w:usb1="184F6CF8" w:usb2="00000012" w:usb3="00000000" w:csb0="00040001" w:csb1="00000000"/>
  </w:font>
  <w:font w:name="华文中宋">
    <w:panose1 w:val="02010600040101010101"/>
    <w:charset w:val="86"/>
    <w:family w:val="auto"/>
    <w:pitch w:val="default"/>
    <w:sig w:usb0="00000287" w:usb1="080F0000" w:usb2="00000000" w:usb3="00000000" w:csb0="0004009F" w:csb1="DFD70000"/>
  </w:font>
  <w:font w:name="Arial Narrow">
    <w:panose1 w:val="020B0606020202030204"/>
    <w:charset w:val="00"/>
    <w:family w:val="swiss"/>
    <w:pitch w:val="default"/>
    <w:sig w:usb0="00000287" w:usb1="00000800" w:usb2="00000000" w:usb3="00000000" w:csb0="2000009F" w:csb1="DFD70000"/>
  </w:font>
  <w:font w:name="楷体_GB2312">
    <w:altName w:val="楷体"/>
    <w:panose1 w:val="02010609030101010101"/>
    <w:charset w:val="86"/>
    <w:family w:val="modern"/>
    <w:pitch w:val="default"/>
    <w:sig w:usb0="00000000" w:usb1="00000000" w:usb2="00000000" w:usb3="00000000" w:csb0="00040000" w:csb1="00000000"/>
  </w:font>
  <w:font w:name="华文细黑">
    <w:panose1 w:val="02010600040101010101"/>
    <w:charset w:val="86"/>
    <w:family w:val="auto"/>
    <w:pitch w:val="default"/>
    <w:sig w:usb0="00000287" w:usb1="080F0000" w:usb2="00000000" w:usb3="00000000" w:csb0="0004009F" w:csb1="DFD70000"/>
  </w:font>
  <w:font w:name="Arial Unicode MS">
    <w:panose1 w:val="020B0604020202020204"/>
    <w:charset w:val="86"/>
    <w:family w:val="swiss"/>
    <w:pitch w:val="default"/>
    <w:sig w:usb0="FFFFFFFF" w:usb1="E9FFFFFF" w:usb2="0000003F" w:usb3="00000000" w:csb0="603F01FF" w:csb1="FFFF0000"/>
  </w:font>
  <w:font w:name="长城仿宋">
    <w:altName w:val="宋体"/>
    <w:panose1 w:val="00000000000000000000"/>
    <w:charset w:val="86"/>
    <w:family w:val="auto"/>
    <w:pitch w:val="default"/>
    <w:sig w:usb0="00000000" w:usb1="00000000" w:usb2="00000010" w:usb3="00000000" w:csb0="00040000" w:csb1="00000000"/>
  </w:font>
  <w:font w:name="Plotter">
    <w:altName w:val="Times New Roman"/>
    <w:panose1 w:val="00000000000000000000"/>
    <w:charset w:val="00"/>
    <w:family w:val="roman"/>
    <w:pitch w:val="default"/>
    <w:sig w:usb0="00000000" w:usb1="00000000" w:usb2="00000000" w:usb3="00000000" w:csb0="00000003" w:csb1="0012CEFC"/>
  </w:font>
  <w:font w:name="Microsoft YaHei UI">
    <w:panose1 w:val="020B0503020204020204"/>
    <w:charset w:val="86"/>
    <w:family w:val="swiss"/>
    <w:pitch w:val="default"/>
    <w:sig w:usb0="80000287" w:usb1="2ACF3C50" w:usb2="00000016" w:usb3="00000000" w:csb0="0004001F" w:csb1="00000000"/>
  </w:font>
  <w:font w:name="Calibri Light">
    <w:panose1 w:val="020F0302020204030204"/>
    <w:charset w:val="00"/>
    <w:family w:val="swiss"/>
    <w:pitch w:val="default"/>
    <w:sig w:usb0="E4002EFF" w:usb1="C000247B" w:usb2="00000009" w:usb3="00000000" w:csb0="200001FF" w:csb1="00000000"/>
  </w:font>
  <w:font w:name="Impact">
    <w:panose1 w:val="020B0806030902050204"/>
    <w:charset w:val="00"/>
    <w:family w:val="swiss"/>
    <w:pitch w:val="default"/>
    <w:sig w:usb0="00000287" w:usb1="00000000" w:usb2="00000000" w:usb3="00000000" w:csb0="2000009F" w:csb1="DFD70000"/>
  </w:font>
  <w:font w:name="Cambria Math">
    <w:panose1 w:val="02040503050406030204"/>
    <w:charset w:val="00"/>
    <w:family w:val="roman"/>
    <w:pitch w:val="default"/>
    <w:sig w:usb0="E00006FF" w:usb1="420024FF" w:usb2="02000000" w:usb3="00000000" w:csb0="2000019F" w:csb1="00000000"/>
  </w:font>
  <w:font w:name="MingLiU_HKSCS">
    <w:altName w:val="PMingLiU-ExtB"/>
    <w:panose1 w:val="02020500000000000000"/>
    <w:charset w:val="88"/>
    <w:family w:val="roman"/>
    <w:pitch w:val="default"/>
    <w:sig w:usb0="00000000" w:usb1="00000000" w:usb2="00000016" w:usb3="00000000" w:csb0="00100001"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楷体">
    <w:panose1 w:val="02010609060101010101"/>
    <w:charset w:val="86"/>
    <w:family w:val="auto"/>
    <w:pitch w:val="default"/>
    <w:sig w:usb0="800002BF" w:usb1="38CF7CFA" w:usb2="00000016" w:usb3="00000000" w:csb0="00040001"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pPr>
                      <w:pStyle w:val="3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framePr w:wrap="around" w:vAnchor="text" w:hAnchor="margin" w:xAlign="center" w:y="1"/>
      <w:rPr>
        <w:rStyle w:val="62"/>
      </w:rPr>
    </w:pPr>
    <w:r>
      <w:fldChar w:fldCharType="begin"/>
    </w:r>
    <w:r>
      <w:rPr>
        <w:rStyle w:val="62"/>
      </w:rPr>
      <w:instrText xml:space="preserve">PAGE  </w:instrText>
    </w:r>
    <w:r>
      <w:fldChar w:fldCharType="end"/>
    </w:r>
  </w:p>
  <w:p>
    <w:pPr>
      <w:pStyle w:val="3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6"/>
      <w:pBdr>
        <w:bottom w:val="none" w:color="auto" w:sz="0" w:space="1"/>
      </w:pBdr>
      <w:ind w:right="420"/>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F"/>
    <w:multiLevelType w:val="singleLevel"/>
    <w:tmpl w:val="FFFFFF7F"/>
    <w:lvl w:ilvl="0" w:tentative="0">
      <w:start w:val="1"/>
      <w:numFmt w:val="decimal"/>
      <w:pStyle w:val="13"/>
      <w:lvlText w:val="%1."/>
      <w:lvlJc w:val="left"/>
      <w:pPr>
        <w:tabs>
          <w:tab w:val="left" w:pos="780"/>
        </w:tabs>
        <w:ind w:left="780" w:hanging="360"/>
      </w:pPr>
    </w:lvl>
  </w:abstractNum>
  <w:abstractNum w:abstractNumId="1">
    <w:nsid w:val="120E936F"/>
    <w:multiLevelType w:val="singleLevel"/>
    <w:tmpl w:val="120E936F"/>
    <w:lvl w:ilvl="0" w:tentative="0">
      <w:start w:val="1"/>
      <w:numFmt w:val="decimal"/>
      <w:suff w:val="nothing"/>
      <w:lvlText w:val="（%1）"/>
      <w:lvlJc w:val="left"/>
    </w:lvl>
  </w:abstractNum>
  <w:abstractNum w:abstractNumId="2">
    <w:nsid w:val="1BC9EB82"/>
    <w:multiLevelType w:val="singleLevel"/>
    <w:tmpl w:val="1BC9EB82"/>
    <w:lvl w:ilvl="0" w:tentative="0">
      <w:start w:val="1"/>
      <w:numFmt w:val="decimal"/>
      <w:lvlText w:val="(%1)"/>
      <w:lvlJc w:val="left"/>
      <w:pPr>
        <w:ind w:left="425" w:hanging="425"/>
      </w:pPr>
      <w:rPr>
        <w:rFonts w:hint="default"/>
      </w:rPr>
    </w:lvl>
  </w:abstractNum>
  <w:abstractNum w:abstractNumId="3">
    <w:nsid w:val="3B3C56B2"/>
    <w:multiLevelType w:val="singleLevel"/>
    <w:tmpl w:val="3B3C56B2"/>
    <w:lvl w:ilvl="0" w:tentative="0">
      <w:start w:val="1"/>
      <w:numFmt w:val="decimal"/>
      <w:suff w:val="nothing"/>
      <w:lvlText w:val="%1、"/>
      <w:lvlJc w:val="left"/>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hideSpellingError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YxOTZiZTA5NGE2N2ZiZTY0YjVkMWYyZGIzNGU0MGIifQ=="/>
  </w:docVars>
  <w:rsids>
    <w:rsidRoot w:val="52F72180"/>
    <w:rsid w:val="00003A41"/>
    <w:rsid w:val="000137E4"/>
    <w:rsid w:val="000304DE"/>
    <w:rsid w:val="00031285"/>
    <w:rsid w:val="0003519F"/>
    <w:rsid w:val="000361A4"/>
    <w:rsid w:val="00043AD6"/>
    <w:rsid w:val="00071A06"/>
    <w:rsid w:val="00074087"/>
    <w:rsid w:val="00080029"/>
    <w:rsid w:val="00085226"/>
    <w:rsid w:val="0008603F"/>
    <w:rsid w:val="000A2396"/>
    <w:rsid w:val="000A7A0B"/>
    <w:rsid w:val="000B06E2"/>
    <w:rsid w:val="000C379F"/>
    <w:rsid w:val="000D479E"/>
    <w:rsid w:val="000D651D"/>
    <w:rsid w:val="000E4F26"/>
    <w:rsid w:val="000E7CEF"/>
    <w:rsid w:val="00104010"/>
    <w:rsid w:val="00106D1F"/>
    <w:rsid w:val="001365EA"/>
    <w:rsid w:val="00180BD4"/>
    <w:rsid w:val="00197470"/>
    <w:rsid w:val="001A2003"/>
    <w:rsid w:val="001A23B9"/>
    <w:rsid w:val="001A5653"/>
    <w:rsid w:val="001B6EDD"/>
    <w:rsid w:val="001D5DB4"/>
    <w:rsid w:val="001E7D83"/>
    <w:rsid w:val="002068E1"/>
    <w:rsid w:val="00206D73"/>
    <w:rsid w:val="00223898"/>
    <w:rsid w:val="002655E4"/>
    <w:rsid w:val="002A17DC"/>
    <w:rsid w:val="002B4B9C"/>
    <w:rsid w:val="002C18B2"/>
    <w:rsid w:val="002C4EC2"/>
    <w:rsid w:val="002C51A8"/>
    <w:rsid w:val="002C7D8C"/>
    <w:rsid w:val="002D5DE4"/>
    <w:rsid w:val="002E24A5"/>
    <w:rsid w:val="002E29F9"/>
    <w:rsid w:val="002F3D3D"/>
    <w:rsid w:val="002F55A8"/>
    <w:rsid w:val="00307022"/>
    <w:rsid w:val="00311798"/>
    <w:rsid w:val="003303CE"/>
    <w:rsid w:val="00342720"/>
    <w:rsid w:val="00342FF4"/>
    <w:rsid w:val="003508E3"/>
    <w:rsid w:val="00360D11"/>
    <w:rsid w:val="00391500"/>
    <w:rsid w:val="003A46CC"/>
    <w:rsid w:val="003B5E39"/>
    <w:rsid w:val="003B6976"/>
    <w:rsid w:val="003C48DD"/>
    <w:rsid w:val="003E67A4"/>
    <w:rsid w:val="003E7519"/>
    <w:rsid w:val="00402262"/>
    <w:rsid w:val="004266CE"/>
    <w:rsid w:val="004338C6"/>
    <w:rsid w:val="0043725C"/>
    <w:rsid w:val="00454A17"/>
    <w:rsid w:val="00471872"/>
    <w:rsid w:val="00492D9C"/>
    <w:rsid w:val="00494175"/>
    <w:rsid w:val="004B42CA"/>
    <w:rsid w:val="004B462F"/>
    <w:rsid w:val="004B604A"/>
    <w:rsid w:val="004D19F2"/>
    <w:rsid w:val="004E3348"/>
    <w:rsid w:val="004E3564"/>
    <w:rsid w:val="004F04CE"/>
    <w:rsid w:val="004F1608"/>
    <w:rsid w:val="00512874"/>
    <w:rsid w:val="005308F2"/>
    <w:rsid w:val="005374E7"/>
    <w:rsid w:val="00540B64"/>
    <w:rsid w:val="00543001"/>
    <w:rsid w:val="0055335B"/>
    <w:rsid w:val="005549B2"/>
    <w:rsid w:val="005935B4"/>
    <w:rsid w:val="00594E78"/>
    <w:rsid w:val="005A0C03"/>
    <w:rsid w:val="005C5464"/>
    <w:rsid w:val="005C7565"/>
    <w:rsid w:val="005D0A7C"/>
    <w:rsid w:val="005E183A"/>
    <w:rsid w:val="005E1ACF"/>
    <w:rsid w:val="005E1B2B"/>
    <w:rsid w:val="005F06B7"/>
    <w:rsid w:val="005F6B01"/>
    <w:rsid w:val="0060255E"/>
    <w:rsid w:val="00622A99"/>
    <w:rsid w:val="00654635"/>
    <w:rsid w:val="00660FB9"/>
    <w:rsid w:val="00665D2A"/>
    <w:rsid w:val="00686F49"/>
    <w:rsid w:val="006C1D98"/>
    <w:rsid w:val="006C29FE"/>
    <w:rsid w:val="006D414B"/>
    <w:rsid w:val="006D70CD"/>
    <w:rsid w:val="006D7F75"/>
    <w:rsid w:val="006E271C"/>
    <w:rsid w:val="006F293D"/>
    <w:rsid w:val="0074435D"/>
    <w:rsid w:val="00783B7D"/>
    <w:rsid w:val="00786406"/>
    <w:rsid w:val="00793D32"/>
    <w:rsid w:val="007A71AD"/>
    <w:rsid w:val="007B6B17"/>
    <w:rsid w:val="007C40BE"/>
    <w:rsid w:val="007C461F"/>
    <w:rsid w:val="007D4EFD"/>
    <w:rsid w:val="008008A3"/>
    <w:rsid w:val="0080420C"/>
    <w:rsid w:val="00807105"/>
    <w:rsid w:val="00817094"/>
    <w:rsid w:val="00821737"/>
    <w:rsid w:val="00863AF5"/>
    <w:rsid w:val="008841B5"/>
    <w:rsid w:val="00894F5B"/>
    <w:rsid w:val="008A2833"/>
    <w:rsid w:val="008B2150"/>
    <w:rsid w:val="008B223C"/>
    <w:rsid w:val="008B2EFF"/>
    <w:rsid w:val="008D1FA7"/>
    <w:rsid w:val="008D348A"/>
    <w:rsid w:val="008F010C"/>
    <w:rsid w:val="008F4644"/>
    <w:rsid w:val="00912F16"/>
    <w:rsid w:val="0091473A"/>
    <w:rsid w:val="00917D4A"/>
    <w:rsid w:val="0092441E"/>
    <w:rsid w:val="00952E2A"/>
    <w:rsid w:val="00966D2B"/>
    <w:rsid w:val="00970CF8"/>
    <w:rsid w:val="009721A4"/>
    <w:rsid w:val="00972FE0"/>
    <w:rsid w:val="00983613"/>
    <w:rsid w:val="00992907"/>
    <w:rsid w:val="009C45E7"/>
    <w:rsid w:val="009E66F2"/>
    <w:rsid w:val="009F5749"/>
    <w:rsid w:val="009F77FF"/>
    <w:rsid w:val="00A0532F"/>
    <w:rsid w:val="00A4430C"/>
    <w:rsid w:val="00A5579F"/>
    <w:rsid w:val="00A84D56"/>
    <w:rsid w:val="00A851CF"/>
    <w:rsid w:val="00A91C9D"/>
    <w:rsid w:val="00A93380"/>
    <w:rsid w:val="00A944F4"/>
    <w:rsid w:val="00A95FEF"/>
    <w:rsid w:val="00AB50F3"/>
    <w:rsid w:val="00AB5BF7"/>
    <w:rsid w:val="00B22DF9"/>
    <w:rsid w:val="00B27B16"/>
    <w:rsid w:val="00B464E1"/>
    <w:rsid w:val="00B64FCC"/>
    <w:rsid w:val="00B66166"/>
    <w:rsid w:val="00B83814"/>
    <w:rsid w:val="00B95EA8"/>
    <w:rsid w:val="00B97C7C"/>
    <w:rsid w:val="00BD781C"/>
    <w:rsid w:val="00BD7D68"/>
    <w:rsid w:val="00BE0094"/>
    <w:rsid w:val="00BE71FE"/>
    <w:rsid w:val="00BF058D"/>
    <w:rsid w:val="00C02607"/>
    <w:rsid w:val="00C15D19"/>
    <w:rsid w:val="00C4341C"/>
    <w:rsid w:val="00C77CD4"/>
    <w:rsid w:val="00C93764"/>
    <w:rsid w:val="00CA0938"/>
    <w:rsid w:val="00CA1134"/>
    <w:rsid w:val="00CA4D38"/>
    <w:rsid w:val="00CF59F8"/>
    <w:rsid w:val="00D22DA4"/>
    <w:rsid w:val="00D53958"/>
    <w:rsid w:val="00D7432F"/>
    <w:rsid w:val="00D83849"/>
    <w:rsid w:val="00D85EAA"/>
    <w:rsid w:val="00DC28EF"/>
    <w:rsid w:val="00DC4E9D"/>
    <w:rsid w:val="00DD44C7"/>
    <w:rsid w:val="00DE6A1F"/>
    <w:rsid w:val="00E00D4D"/>
    <w:rsid w:val="00E107DE"/>
    <w:rsid w:val="00E34C68"/>
    <w:rsid w:val="00E53FA8"/>
    <w:rsid w:val="00E73988"/>
    <w:rsid w:val="00E769DA"/>
    <w:rsid w:val="00E82E12"/>
    <w:rsid w:val="00EA0DF4"/>
    <w:rsid w:val="00EB3912"/>
    <w:rsid w:val="00EC39F2"/>
    <w:rsid w:val="00EF5E1D"/>
    <w:rsid w:val="00F1038E"/>
    <w:rsid w:val="00F112C2"/>
    <w:rsid w:val="00F227FB"/>
    <w:rsid w:val="00F26BAE"/>
    <w:rsid w:val="00F30932"/>
    <w:rsid w:val="00F52463"/>
    <w:rsid w:val="00F537A3"/>
    <w:rsid w:val="00F92DFB"/>
    <w:rsid w:val="00F96CCD"/>
    <w:rsid w:val="00FA7E59"/>
    <w:rsid w:val="00FB13C3"/>
    <w:rsid w:val="00FB356B"/>
    <w:rsid w:val="00FC251A"/>
    <w:rsid w:val="00FF0586"/>
    <w:rsid w:val="00FF2E5E"/>
    <w:rsid w:val="00FF43BC"/>
    <w:rsid w:val="018C085C"/>
    <w:rsid w:val="02386E3D"/>
    <w:rsid w:val="023A5678"/>
    <w:rsid w:val="02B3200D"/>
    <w:rsid w:val="04B46EC1"/>
    <w:rsid w:val="04BB39E9"/>
    <w:rsid w:val="05F728FA"/>
    <w:rsid w:val="061554D8"/>
    <w:rsid w:val="064B152E"/>
    <w:rsid w:val="088257DA"/>
    <w:rsid w:val="088346D2"/>
    <w:rsid w:val="08BA15F2"/>
    <w:rsid w:val="09150091"/>
    <w:rsid w:val="0A951211"/>
    <w:rsid w:val="0B2F49E5"/>
    <w:rsid w:val="0B392F2E"/>
    <w:rsid w:val="0B68215D"/>
    <w:rsid w:val="0B8B296C"/>
    <w:rsid w:val="0B955598"/>
    <w:rsid w:val="0B9F76C9"/>
    <w:rsid w:val="0C9B69E4"/>
    <w:rsid w:val="0C9E222B"/>
    <w:rsid w:val="0D5A6B1A"/>
    <w:rsid w:val="0E343F5F"/>
    <w:rsid w:val="0F6878D7"/>
    <w:rsid w:val="109C3648"/>
    <w:rsid w:val="12420088"/>
    <w:rsid w:val="13BD743A"/>
    <w:rsid w:val="15FD4C86"/>
    <w:rsid w:val="1652332B"/>
    <w:rsid w:val="17FF2717"/>
    <w:rsid w:val="1923608A"/>
    <w:rsid w:val="19BF0653"/>
    <w:rsid w:val="1AC02C88"/>
    <w:rsid w:val="1B9B1872"/>
    <w:rsid w:val="1BB00A56"/>
    <w:rsid w:val="1BF17BED"/>
    <w:rsid w:val="1D4E1160"/>
    <w:rsid w:val="1EA27958"/>
    <w:rsid w:val="1F25302C"/>
    <w:rsid w:val="1FEE719D"/>
    <w:rsid w:val="200A199D"/>
    <w:rsid w:val="20487479"/>
    <w:rsid w:val="212862D1"/>
    <w:rsid w:val="23155233"/>
    <w:rsid w:val="237B1C04"/>
    <w:rsid w:val="23863CED"/>
    <w:rsid w:val="23993155"/>
    <w:rsid w:val="23A979DB"/>
    <w:rsid w:val="23C87467"/>
    <w:rsid w:val="243E6375"/>
    <w:rsid w:val="24D57081"/>
    <w:rsid w:val="25794A4C"/>
    <w:rsid w:val="28803B5E"/>
    <w:rsid w:val="28BB1F40"/>
    <w:rsid w:val="2962571C"/>
    <w:rsid w:val="29EE484F"/>
    <w:rsid w:val="2A0C4820"/>
    <w:rsid w:val="2B102172"/>
    <w:rsid w:val="2C081757"/>
    <w:rsid w:val="2C2D05D2"/>
    <w:rsid w:val="2C3C74D6"/>
    <w:rsid w:val="2C7F39CF"/>
    <w:rsid w:val="2D4D4C04"/>
    <w:rsid w:val="2D83304B"/>
    <w:rsid w:val="2EEA0FDE"/>
    <w:rsid w:val="2F3C1703"/>
    <w:rsid w:val="3015619E"/>
    <w:rsid w:val="30A10943"/>
    <w:rsid w:val="31417964"/>
    <w:rsid w:val="34841780"/>
    <w:rsid w:val="348C4EDB"/>
    <w:rsid w:val="349923B3"/>
    <w:rsid w:val="356848A0"/>
    <w:rsid w:val="35E93C67"/>
    <w:rsid w:val="37AC435C"/>
    <w:rsid w:val="38482980"/>
    <w:rsid w:val="3873261B"/>
    <w:rsid w:val="38995E18"/>
    <w:rsid w:val="392B2D30"/>
    <w:rsid w:val="39FB11E9"/>
    <w:rsid w:val="3ABD24A5"/>
    <w:rsid w:val="3B2A728C"/>
    <w:rsid w:val="3C6113C7"/>
    <w:rsid w:val="3CEF050B"/>
    <w:rsid w:val="3D12155A"/>
    <w:rsid w:val="3D385C00"/>
    <w:rsid w:val="3D960B78"/>
    <w:rsid w:val="3F516B05"/>
    <w:rsid w:val="40742FD3"/>
    <w:rsid w:val="40E55CFB"/>
    <w:rsid w:val="41BD0482"/>
    <w:rsid w:val="421B33FA"/>
    <w:rsid w:val="426972F6"/>
    <w:rsid w:val="44412258"/>
    <w:rsid w:val="46EE5581"/>
    <w:rsid w:val="483E7756"/>
    <w:rsid w:val="48653621"/>
    <w:rsid w:val="4866783D"/>
    <w:rsid w:val="498135A2"/>
    <w:rsid w:val="498B765A"/>
    <w:rsid w:val="49EC3AD2"/>
    <w:rsid w:val="4A9B5DA6"/>
    <w:rsid w:val="4BB961D4"/>
    <w:rsid w:val="4C193549"/>
    <w:rsid w:val="4C837C16"/>
    <w:rsid w:val="4CD26D6A"/>
    <w:rsid w:val="4D172204"/>
    <w:rsid w:val="4E2D3F0F"/>
    <w:rsid w:val="4FA77D1F"/>
    <w:rsid w:val="4FBD1B21"/>
    <w:rsid w:val="5074071D"/>
    <w:rsid w:val="512D792E"/>
    <w:rsid w:val="52F72180"/>
    <w:rsid w:val="5395573C"/>
    <w:rsid w:val="544A727E"/>
    <w:rsid w:val="54751090"/>
    <w:rsid w:val="54FB1595"/>
    <w:rsid w:val="553C04C2"/>
    <w:rsid w:val="55B92F6C"/>
    <w:rsid w:val="565344CE"/>
    <w:rsid w:val="56CE6835"/>
    <w:rsid w:val="57D87E0A"/>
    <w:rsid w:val="58214A87"/>
    <w:rsid w:val="59B14918"/>
    <w:rsid w:val="5B0354D7"/>
    <w:rsid w:val="5CD12BF8"/>
    <w:rsid w:val="5D521F6E"/>
    <w:rsid w:val="5DA705CF"/>
    <w:rsid w:val="5F824661"/>
    <w:rsid w:val="5FE86BBA"/>
    <w:rsid w:val="60890E84"/>
    <w:rsid w:val="60D82CE4"/>
    <w:rsid w:val="61312061"/>
    <w:rsid w:val="615502AD"/>
    <w:rsid w:val="61CA2AE2"/>
    <w:rsid w:val="626A1EF3"/>
    <w:rsid w:val="63ED5954"/>
    <w:rsid w:val="64877904"/>
    <w:rsid w:val="65505E78"/>
    <w:rsid w:val="68C83A2C"/>
    <w:rsid w:val="68D4417F"/>
    <w:rsid w:val="698728B8"/>
    <w:rsid w:val="69DB153D"/>
    <w:rsid w:val="6ACC7F74"/>
    <w:rsid w:val="6B276A25"/>
    <w:rsid w:val="6B442D3C"/>
    <w:rsid w:val="6BE40822"/>
    <w:rsid w:val="6C495068"/>
    <w:rsid w:val="6C631AEE"/>
    <w:rsid w:val="6DC76061"/>
    <w:rsid w:val="6EA9579E"/>
    <w:rsid w:val="6ED859E0"/>
    <w:rsid w:val="70DC10C0"/>
    <w:rsid w:val="718304F0"/>
    <w:rsid w:val="730F637A"/>
    <w:rsid w:val="73520FF0"/>
    <w:rsid w:val="739E701F"/>
    <w:rsid w:val="73F9496E"/>
    <w:rsid w:val="743261FE"/>
    <w:rsid w:val="752F592A"/>
    <w:rsid w:val="75A56FFE"/>
    <w:rsid w:val="77334AF0"/>
    <w:rsid w:val="78D874CB"/>
    <w:rsid w:val="79940DD9"/>
    <w:rsid w:val="79B55907"/>
    <w:rsid w:val="7BC76BAB"/>
    <w:rsid w:val="7C0B7998"/>
    <w:rsid w:val="7C5B57B7"/>
    <w:rsid w:val="7CAD5CB9"/>
    <w:rsid w:val="7D9F2B56"/>
    <w:rsid w:val="7E3C2153"/>
    <w:rsid w:val="7F2A6B70"/>
    <w:rsid w:val="7F731864"/>
    <w:rsid w:val="7FF03A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qFormat="1" w:unhideWhenUsed="0" w:uiPriority="0" w:semiHidden="0" w:name="index 4"/>
    <w:lsdException w:qFormat="1" w:unhideWhenUsed="0" w:uiPriority="0" w:semiHidden="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iPriority="99" w:semiHidden="0" w:name="footer"/>
    <w:lsdException w:uiPriority="0" w:name="index heading"/>
    <w:lsdException w:qFormat="1" w:unhideWhenUsed="0" w:uiPriority="0" w:semiHidden="0" w:name="caption"/>
    <w:lsdException w:qFormat="1" w:unhideWhenUsed="0" w:uiPriority="99" w:semiHidden="0" w:name="table of figures"/>
    <w:lsdException w:uiPriority="0" w:name="envelope address"/>
    <w:lsdException w:qFormat="1" w:unhideWhenUsed="0" w:uiPriority="0" w:semiHidden="0" w:name="envelope return"/>
    <w:lsdException w:qFormat="1" w:unhideWhenUsed="0" w:uiPriority="99"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nhideWhenUsed="0" w:uiPriority="0" w:semiHidden="0" w:name="table of authorities"/>
    <w:lsdException w:uiPriority="0" w:name="macro"/>
    <w:lsdException w:qFormat="1" w:unhideWhenUsed="0" w:uiPriority="0" w:semiHidden="0" w:name="toa heading"/>
    <w:lsdException w:qFormat="1"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qFormat="1" w:unhideWhenUsed="0" w:uiPriority="99"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0" w:semiHidden="0" w:name="Normal (Web)"/>
    <w:lsdException w:qFormat="1" w:unhideWhenUsed="0" w:uiPriority="0" w:semiHidden="0" w:name="HTML Acronym"/>
    <w:lsdException w:uiPriority="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88"/>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89"/>
    <w:qFormat/>
    <w:uiPriority w:val="9"/>
    <w:pPr>
      <w:keepNext/>
      <w:keepLines/>
      <w:spacing w:before="260" w:after="260" w:line="415" w:lineRule="auto"/>
      <w:outlineLvl w:val="1"/>
    </w:pPr>
    <w:rPr>
      <w:rFonts w:ascii="Arial" w:hAnsi="Arial" w:eastAsia="黑体"/>
      <w:b/>
      <w:bCs/>
      <w:sz w:val="32"/>
      <w:szCs w:val="32"/>
    </w:rPr>
  </w:style>
  <w:style w:type="paragraph" w:styleId="5">
    <w:name w:val="heading 3"/>
    <w:basedOn w:val="1"/>
    <w:next w:val="1"/>
    <w:link w:val="90"/>
    <w:qFormat/>
    <w:uiPriority w:val="0"/>
    <w:pPr>
      <w:keepNext/>
      <w:keepLines/>
      <w:spacing w:before="260" w:after="260" w:line="416" w:lineRule="auto"/>
      <w:outlineLvl w:val="2"/>
    </w:pPr>
    <w:rPr>
      <w:b/>
      <w:bCs/>
      <w:sz w:val="32"/>
      <w:szCs w:val="32"/>
    </w:rPr>
  </w:style>
  <w:style w:type="paragraph" w:styleId="6">
    <w:name w:val="heading 4"/>
    <w:basedOn w:val="1"/>
    <w:next w:val="1"/>
    <w:link w:val="91"/>
    <w:qFormat/>
    <w:uiPriority w:val="0"/>
    <w:pPr>
      <w:keepNext/>
      <w:keepLines/>
      <w:spacing w:before="280" w:after="290" w:line="374" w:lineRule="auto"/>
      <w:outlineLvl w:val="3"/>
    </w:pPr>
    <w:rPr>
      <w:rFonts w:ascii="Arial" w:hAnsi="Arial" w:eastAsia="黑体"/>
      <w:b/>
      <w:bCs/>
      <w:sz w:val="28"/>
      <w:szCs w:val="28"/>
    </w:rPr>
  </w:style>
  <w:style w:type="paragraph" w:styleId="7">
    <w:name w:val="heading 5"/>
    <w:basedOn w:val="1"/>
    <w:next w:val="1"/>
    <w:link w:val="83"/>
    <w:qFormat/>
    <w:uiPriority w:val="0"/>
    <w:pPr>
      <w:keepNext/>
      <w:keepLines/>
      <w:spacing w:before="280" w:after="290" w:line="376" w:lineRule="auto"/>
      <w:outlineLvl w:val="4"/>
    </w:pPr>
    <w:rPr>
      <w:b/>
      <w:bCs/>
      <w:sz w:val="28"/>
      <w:szCs w:val="28"/>
    </w:rPr>
  </w:style>
  <w:style w:type="paragraph" w:styleId="8">
    <w:name w:val="heading 6"/>
    <w:basedOn w:val="1"/>
    <w:next w:val="1"/>
    <w:link w:val="84"/>
    <w:qFormat/>
    <w:uiPriority w:val="0"/>
    <w:pPr>
      <w:keepNext/>
      <w:keepLines/>
      <w:spacing w:before="240" w:after="64" w:line="317" w:lineRule="auto"/>
      <w:outlineLvl w:val="5"/>
    </w:pPr>
    <w:rPr>
      <w:rFonts w:ascii="Cambria" w:hAnsi="Cambria"/>
      <w:b/>
      <w:bCs/>
      <w:sz w:val="24"/>
    </w:rPr>
  </w:style>
  <w:style w:type="paragraph" w:styleId="9">
    <w:name w:val="heading 7"/>
    <w:basedOn w:val="1"/>
    <w:next w:val="1"/>
    <w:link w:val="85"/>
    <w:qFormat/>
    <w:uiPriority w:val="0"/>
    <w:pPr>
      <w:keepNext/>
      <w:keepLines/>
      <w:spacing w:before="240" w:after="64" w:line="317" w:lineRule="auto"/>
      <w:outlineLvl w:val="6"/>
    </w:pPr>
    <w:rPr>
      <w:rFonts w:ascii="Calibri" w:hAnsi="Calibri"/>
      <w:b/>
      <w:bCs/>
      <w:sz w:val="24"/>
    </w:rPr>
  </w:style>
  <w:style w:type="paragraph" w:styleId="10">
    <w:name w:val="heading 8"/>
    <w:basedOn w:val="1"/>
    <w:next w:val="1"/>
    <w:link w:val="86"/>
    <w:qFormat/>
    <w:uiPriority w:val="0"/>
    <w:pPr>
      <w:keepNext/>
      <w:keepLines/>
      <w:spacing w:before="240" w:after="64" w:line="317" w:lineRule="auto"/>
      <w:outlineLvl w:val="7"/>
    </w:pPr>
    <w:rPr>
      <w:rFonts w:ascii="Cambria" w:hAnsi="Cambria"/>
      <w:sz w:val="24"/>
    </w:rPr>
  </w:style>
  <w:style w:type="paragraph" w:styleId="11">
    <w:name w:val="heading 9"/>
    <w:basedOn w:val="1"/>
    <w:next w:val="1"/>
    <w:link w:val="87"/>
    <w:qFormat/>
    <w:uiPriority w:val="0"/>
    <w:pPr>
      <w:keepNext/>
      <w:keepLines/>
      <w:spacing w:before="240" w:after="64" w:line="317" w:lineRule="auto"/>
      <w:outlineLvl w:val="8"/>
    </w:pPr>
    <w:rPr>
      <w:rFonts w:ascii="Cambria" w:hAnsi="Cambria"/>
      <w:szCs w:val="21"/>
    </w:rPr>
  </w:style>
  <w:style w:type="character" w:default="1" w:styleId="59">
    <w:name w:val="Default Paragraph Font"/>
    <w:semiHidden/>
    <w:unhideWhenUsed/>
    <w:qFormat/>
    <w:uiPriority w:val="1"/>
  </w:style>
  <w:style w:type="table" w:default="1" w:styleId="57">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link w:val="114"/>
    <w:qFormat/>
    <w:uiPriority w:val="0"/>
    <w:pPr>
      <w:spacing w:line="360" w:lineRule="auto"/>
    </w:pPr>
    <w:rPr>
      <w:rFonts w:eastAsia="仿宋_GB2312" w:asciiTheme="minorHAnsi" w:hAnsiTheme="minorHAnsi" w:cstheme="minorBidi"/>
      <w:sz w:val="23"/>
    </w:rPr>
  </w:style>
  <w:style w:type="paragraph" w:styleId="12">
    <w:name w:val="toc 7"/>
    <w:basedOn w:val="1"/>
    <w:next w:val="1"/>
    <w:qFormat/>
    <w:uiPriority w:val="39"/>
    <w:pPr>
      <w:ind w:left="2520" w:leftChars="1200"/>
    </w:pPr>
    <w:rPr>
      <w:rFonts w:ascii="Calibri" w:hAnsi="Calibri"/>
      <w:szCs w:val="22"/>
    </w:rPr>
  </w:style>
  <w:style w:type="paragraph" w:styleId="13">
    <w:name w:val="List Number 2"/>
    <w:basedOn w:val="1"/>
    <w:qFormat/>
    <w:uiPriority w:val="0"/>
    <w:pPr>
      <w:widowControl/>
      <w:numPr>
        <w:ilvl w:val="0"/>
        <w:numId w:val="1"/>
      </w:numPr>
      <w:contextualSpacing/>
      <w:jc w:val="left"/>
    </w:pPr>
    <w:rPr>
      <w:rFonts w:ascii="宋体" w:hAnsi="宋体" w:cs="宋体"/>
      <w:kern w:val="0"/>
      <w:sz w:val="24"/>
    </w:rPr>
  </w:style>
  <w:style w:type="paragraph" w:styleId="14">
    <w:name w:val="Normal Indent"/>
    <w:basedOn w:val="1"/>
    <w:link w:val="92"/>
    <w:qFormat/>
    <w:uiPriority w:val="0"/>
    <w:pPr>
      <w:adjustRightInd w:val="0"/>
      <w:spacing w:line="360" w:lineRule="atLeast"/>
      <w:ind w:firstLine="482"/>
      <w:textAlignment w:val="baseline"/>
    </w:pPr>
    <w:rPr>
      <w:rFonts w:asciiTheme="minorHAnsi" w:hAnsiTheme="minorHAnsi" w:cstheme="minorBidi"/>
      <w:sz w:val="24"/>
    </w:rPr>
  </w:style>
  <w:style w:type="paragraph" w:styleId="15">
    <w:name w:val="caption"/>
    <w:basedOn w:val="1"/>
    <w:next w:val="1"/>
    <w:qFormat/>
    <w:uiPriority w:val="0"/>
    <w:rPr>
      <w:rFonts w:ascii="Cambria" w:hAnsi="Cambria" w:eastAsia="黑体"/>
      <w:sz w:val="20"/>
      <w:szCs w:val="20"/>
    </w:rPr>
  </w:style>
  <w:style w:type="paragraph" w:styleId="16">
    <w:name w:val="index 5"/>
    <w:basedOn w:val="1"/>
    <w:next w:val="1"/>
    <w:qFormat/>
    <w:uiPriority w:val="0"/>
    <w:pPr>
      <w:ind w:left="800" w:leftChars="800"/>
    </w:pPr>
    <w:rPr>
      <w:rFonts w:ascii="Calibri" w:hAnsi="Calibri"/>
    </w:rPr>
  </w:style>
  <w:style w:type="paragraph" w:styleId="17">
    <w:name w:val="Document Map"/>
    <w:basedOn w:val="1"/>
    <w:link w:val="93"/>
    <w:qFormat/>
    <w:uiPriority w:val="0"/>
    <w:pPr>
      <w:shd w:val="clear" w:color="auto" w:fill="000080"/>
    </w:pPr>
    <w:rPr>
      <w:shd w:val="clear" w:color="auto" w:fill="000080"/>
    </w:rPr>
  </w:style>
  <w:style w:type="paragraph" w:styleId="18">
    <w:name w:val="toa heading"/>
    <w:basedOn w:val="1"/>
    <w:next w:val="1"/>
    <w:qFormat/>
    <w:uiPriority w:val="0"/>
    <w:pPr>
      <w:adjustRightInd w:val="0"/>
      <w:spacing w:line="360" w:lineRule="atLeast"/>
      <w:jc w:val="center"/>
      <w:textAlignment w:val="baseline"/>
    </w:pPr>
    <w:rPr>
      <w:rFonts w:ascii="Arial" w:hAnsi="Arial" w:eastAsia="黑体"/>
      <w:kern w:val="0"/>
      <w:sz w:val="36"/>
      <w:szCs w:val="20"/>
    </w:rPr>
  </w:style>
  <w:style w:type="paragraph" w:styleId="19">
    <w:name w:val="annotation text"/>
    <w:basedOn w:val="1"/>
    <w:link w:val="94"/>
    <w:qFormat/>
    <w:uiPriority w:val="0"/>
    <w:pPr>
      <w:jc w:val="left"/>
    </w:pPr>
  </w:style>
  <w:style w:type="paragraph" w:styleId="20">
    <w:name w:val="Salutation"/>
    <w:basedOn w:val="1"/>
    <w:next w:val="1"/>
    <w:link w:val="95"/>
    <w:qFormat/>
    <w:uiPriority w:val="0"/>
    <w:pPr>
      <w:widowControl/>
    </w:pPr>
    <w:rPr>
      <w:rFonts w:hAnsi="宋体"/>
      <w:kern w:val="0"/>
      <w:sz w:val="30"/>
      <w:szCs w:val="20"/>
    </w:rPr>
  </w:style>
  <w:style w:type="paragraph" w:styleId="21">
    <w:name w:val="Body Text 3"/>
    <w:basedOn w:val="1"/>
    <w:next w:val="1"/>
    <w:link w:val="96"/>
    <w:qFormat/>
    <w:uiPriority w:val="0"/>
    <w:pPr>
      <w:spacing w:line="500" w:lineRule="exact"/>
    </w:pPr>
    <w:rPr>
      <w:rFonts w:hAnsi="宋体"/>
      <w:color w:val="000000"/>
      <w:kern w:val="0"/>
      <w:sz w:val="24"/>
      <w:szCs w:val="20"/>
    </w:rPr>
  </w:style>
  <w:style w:type="paragraph" w:styleId="22">
    <w:name w:val="Body Text Indent"/>
    <w:basedOn w:val="1"/>
    <w:next w:val="23"/>
    <w:link w:val="98"/>
    <w:qFormat/>
    <w:uiPriority w:val="0"/>
    <w:pPr>
      <w:spacing w:before="240" w:line="360" w:lineRule="auto"/>
      <w:ind w:firstLine="552" w:firstLineChars="263"/>
    </w:pPr>
    <w:rPr>
      <w:rFonts w:ascii="宋体" w:hAnsi="宋体"/>
      <w:szCs w:val="20"/>
    </w:rPr>
  </w:style>
  <w:style w:type="paragraph" w:styleId="23">
    <w:name w:val="envelope return"/>
    <w:basedOn w:val="1"/>
    <w:qFormat/>
    <w:uiPriority w:val="0"/>
    <w:pPr>
      <w:snapToGrid w:val="0"/>
    </w:pPr>
    <w:rPr>
      <w:rFonts w:ascii="Arial" w:hAnsi="Arial" w:eastAsia="宋体" w:cs="Times New Roman"/>
      <w:lang w:bidi="ar-SA"/>
    </w:rPr>
  </w:style>
  <w:style w:type="paragraph" w:styleId="24">
    <w:name w:val="Block Text"/>
    <w:basedOn w:val="1"/>
    <w:next w:val="1"/>
    <w:qFormat/>
    <w:uiPriority w:val="0"/>
    <w:pPr>
      <w:spacing w:line="360" w:lineRule="auto"/>
      <w:ind w:right="210" w:firstLine="560"/>
    </w:pPr>
    <w:rPr>
      <w:rFonts w:ascii="宋体" w:hAnsi="宋体" w:cs="宋体"/>
      <w:color w:val="000000"/>
      <w:kern w:val="0"/>
      <w:sz w:val="24"/>
      <w:szCs w:val="20"/>
    </w:rPr>
  </w:style>
  <w:style w:type="paragraph" w:styleId="25">
    <w:name w:val="index 4"/>
    <w:basedOn w:val="1"/>
    <w:next w:val="1"/>
    <w:qFormat/>
    <w:uiPriority w:val="0"/>
    <w:pPr>
      <w:ind w:left="600" w:leftChars="600"/>
    </w:pPr>
  </w:style>
  <w:style w:type="paragraph" w:styleId="26">
    <w:name w:val="toc 5"/>
    <w:basedOn w:val="1"/>
    <w:next w:val="1"/>
    <w:qFormat/>
    <w:uiPriority w:val="39"/>
    <w:pPr>
      <w:ind w:left="1680" w:leftChars="800"/>
    </w:pPr>
    <w:rPr>
      <w:rFonts w:ascii="Calibri" w:hAnsi="Calibri"/>
      <w:szCs w:val="22"/>
    </w:rPr>
  </w:style>
  <w:style w:type="paragraph" w:styleId="27">
    <w:name w:val="toc 3"/>
    <w:basedOn w:val="28"/>
    <w:next w:val="28"/>
    <w:qFormat/>
    <w:uiPriority w:val="39"/>
    <w:pPr>
      <w:ind w:left="840" w:leftChars="400"/>
    </w:pPr>
  </w:style>
  <w:style w:type="paragraph" w:customStyle="1" w:styleId="28">
    <w:name w:val="正文_0"/>
    <w:qFormat/>
    <w:uiPriority w:val="0"/>
    <w:pPr>
      <w:widowControl w:val="0"/>
      <w:jc w:val="both"/>
    </w:pPr>
    <w:rPr>
      <w:rFonts w:ascii="Calibri" w:hAnsi="Calibri" w:eastAsia="宋体" w:cs="Times New Roman"/>
      <w:kern w:val="2"/>
      <w:sz w:val="21"/>
      <w:szCs w:val="22"/>
      <w:lang w:val="en-US" w:eastAsia="zh-CN" w:bidi="ar-SA"/>
    </w:rPr>
  </w:style>
  <w:style w:type="paragraph" w:styleId="29">
    <w:name w:val="Plain Text"/>
    <w:basedOn w:val="1"/>
    <w:link w:val="99"/>
    <w:qFormat/>
    <w:uiPriority w:val="0"/>
    <w:rPr>
      <w:rFonts w:ascii="宋体" w:hAnsi="Courier New"/>
    </w:rPr>
  </w:style>
  <w:style w:type="paragraph" w:styleId="30">
    <w:name w:val="toc 8"/>
    <w:basedOn w:val="1"/>
    <w:next w:val="1"/>
    <w:qFormat/>
    <w:uiPriority w:val="39"/>
    <w:pPr>
      <w:ind w:left="2940" w:leftChars="1400"/>
    </w:pPr>
    <w:rPr>
      <w:rFonts w:ascii="Calibri" w:hAnsi="Calibri"/>
      <w:szCs w:val="22"/>
    </w:rPr>
  </w:style>
  <w:style w:type="paragraph" w:styleId="31">
    <w:name w:val="Date"/>
    <w:basedOn w:val="1"/>
    <w:next w:val="1"/>
    <w:link w:val="100"/>
    <w:qFormat/>
    <w:uiPriority w:val="0"/>
    <w:pPr>
      <w:ind w:left="100" w:leftChars="2500"/>
    </w:pPr>
    <w:rPr>
      <w:rFonts w:asciiTheme="minorHAnsi" w:hAnsiTheme="minorHAnsi" w:eastAsiaTheme="minorEastAsia" w:cstheme="minorBidi"/>
    </w:rPr>
  </w:style>
  <w:style w:type="paragraph" w:styleId="32">
    <w:name w:val="Body Text Indent 2"/>
    <w:basedOn w:val="1"/>
    <w:link w:val="101"/>
    <w:qFormat/>
    <w:uiPriority w:val="0"/>
    <w:pPr>
      <w:spacing w:after="120" w:line="480" w:lineRule="auto"/>
      <w:ind w:left="420" w:leftChars="200"/>
    </w:pPr>
  </w:style>
  <w:style w:type="paragraph" w:styleId="33">
    <w:name w:val="endnote text"/>
    <w:basedOn w:val="1"/>
    <w:link w:val="102"/>
    <w:qFormat/>
    <w:uiPriority w:val="0"/>
    <w:pPr>
      <w:snapToGrid w:val="0"/>
      <w:jc w:val="left"/>
    </w:pPr>
  </w:style>
  <w:style w:type="paragraph" w:styleId="34">
    <w:name w:val="Balloon Text"/>
    <w:basedOn w:val="1"/>
    <w:link w:val="103"/>
    <w:qFormat/>
    <w:uiPriority w:val="0"/>
    <w:rPr>
      <w:sz w:val="18"/>
      <w:szCs w:val="18"/>
    </w:rPr>
  </w:style>
  <w:style w:type="paragraph" w:styleId="35">
    <w:name w:val="footer"/>
    <w:basedOn w:val="1"/>
    <w:link w:val="105"/>
    <w:unhideWhenUsed/>
    <w:qFormat/>
    <w:uiPriority w:val="99"/>
    <w:pPr>
      <w:tabs>
        <w:tab w:val="center" w:pos="4153"/>
        <w:tab w:val="right" w:pos="8306"/>
      </w:tabs>
      <w:snapToGrid w:val="0"/>
      <w:jc w:val="left"/>
    </w:pPr>
    <w:rPr>
      <w:sz w:val="18"/>
      <w:szCs w:val="18"/>
    </w:rPr>
  </w:style>
  <w:style w:type="paragraph" w:styleId="36">
    <w:name w:val="header"/>
    <w:basedOn w:val="1"/>
    <w:link w:val="81"/>
    <w:qFormat/>
    <w:uiPriority w:val="0"/>
    <w:pPr>
      <w:pBdr>
        <w:bottom w:val="single" w:color="auto" w:sz="6" w:space="1"/>
      </w:pBdr>
      <w:tabs>
        <w:tab w:val="center" w:pos="4153"/>
        <w:tab w:val="right" w:pos="8306"/>
      </w:tabs>
      <w:snapToGrid w:val="0"/>
      <w:jc w:val="center"/>
    </w:pPr>
    <w:rPr>
      <w:sz w:val="18"/>
      <w:szCs w:val="18"/>
    </w:rPr>
  </w:style>
  <w:style w:type="paragraph" w:styleId="37">
    <w:name w:val="toc 1"/>
    <w:basedOn w:val="1"/>
    <w:next w:val="1"/>
    <w:qFormat/>
    <w:uiPriority w:val="39"/>
    <w:pPr>
      <w:spacing w:before="60" w:line="400" w:lineRule="exact"/>
    </w:pPr>
    <w:rPr>
      <w:rFonts w:eastAsia="黑体"/>
    </w:rPr>
  </w:style>
  <w:style w:type="paragraph" w:styleId="38">
    <w:name w:val="toc 4"/>
    <w:basedOn w:val="1"/>
    <w:next w:val="1"/>
    <w:qFormat/>
    <w:uiPriority w:val="39"/>
    <w:pPr>
      <w:ind w:left="1260" w:leftChars="600"/>
    </w:pPr>
    <w:rPr>
      <w:rFonts w:ascii="Calibri" w:hAnsi="Calibri"/>
      <w:szCs w:val="22"/>
    </w:rPr>
  </w:style>
  <w:style w:type="paragraph" w:styleId="39">
    <w:name w:val="Subtitle"/>
    <w:basedOn w:val="1"/>
    <w:next w:val="1"/>
    <w:link w:val="107"/>
    <w:qFormat/>
    <w:uiPriority w:val="0"/>
    <w:pPr>
      <w:spacing w:before="240" w:after="60" w:line="312" w:lineRule="auto"/>
      <w:jc w:val="center"/>
      <w:outlineLvl w:val="1"/>
    </w:pPr>
    <w:rPr>
      <w:rFonts w:ascii="Cambria" w:hAnsi="Cambria"/>
      <w:b/>
      <w:bCs/>
      <w:kern w:val="28"/>
      <w:sz w:val="32"/>
      <w:szCs w:val="32"/>
    </w:rPr>
  </w:style>
  <w:style w:type="paragraph" w:styleId="40">
    <w:name w:val="List"/>
    <w:basedOn w:val="1"/>
    <w:next w:val="1"/>
    <w:qFormat/>
    <w:uiPriority w:val="0"/>
    <w:pPr>
      <w:ind w:left="200" w:hanging="200"/>
    </w:pPr>
    <w:rPr>
      <w:rFonts w:hAnsi="宋体" w:cs="宋体"/>
      <w:kern w:val="0"/>
      <w:szCs w:val="20"/>
    </w:rPr>
  </w:style>
  <w:style w:type="paragraph" w:styleId="41">
    <w:name w:val="footnote text"/>
    <w:basedOn w:val="1"/>
    <w:next w:val="16"/>
    <w:link w:val="108"/>
    <w:qFormat/>
    <w:uiPriority w:val="0"/>
    <w:pPr>
      <w:adjustRightInd w:val="0"/>
      <w:spacing w:line="312" w:lineRule="atLeast"/>
      <w:jc w:val="left"/>
      <w:textAlignment w:val="baseline"/>
    </w:pPr>
    <w:rPr>
      <w:kern w:val="0"/>
      <w:sz w:val="18"/>
      <w:szCs w:val="20"/>
    </w:rPr>
  </w:style>
  <w:style w:type="paragraph" w:styleId="42">
    <w:name w:val="toc 6"/>
    <w:basedOn w:val="1"/>
    <w:next w:val="1"/>
    <w:qFormat/>
    <w:uiPriority w:val="39"/>
    <w:pPr>
      <w:ind w:left="2100" w:leftChars="1000"/>
    </w:pPr>
    <w:rPr>
      <w:rFonts w:ascii="Calibri" w:hAnsi="Calibri"/>
      <w:szCs w:val="22"/>
    </w:rPr>
  </w:style>
  <w:style w:type="paragraph" w:styleId="43">
    <w:name w:val="Body Text Indent 3"/>
    <w:basedOn w:val="1"/>
    <w:next w:val="18"/>
    <w:link w:val="109"/>
    <w:qFormat/>
    <w:uiPriority w:val="0"/>
    <w:pPr>
      <w:spacing w:after="120"/>
      <w:ind w:left="420"/>
    </w:pPr>
    <w:rPr>
      <w:rFonts w:hAnsi="宋体"/>
      <w:kern w:val="0"/>
      <w:sz w:val="16"/>
      <w:szCs w:val="20"/>
    </w:rPr>
  </w:style>
  <w:style w:type="paragraph" w:styleId="44">
    <w:name w:val="table of figures"/>
    <w:basedOn w:val="1"/>
    <w:next w:val="1"/>
    <w:qFormat/>
    <w:uiPriority w:val="99"/>
    <w:pPr>
      <w:ind w:left="200" w:leftChars="200" w:hanging="200" w:hangingChars="200"/>
    </w:pPr>
  </w:style>
  <w:style w:type="paragraph" w:styleId="45">
    <w:name w:val="toc 2"/>
    <w:basedOn w:val="1"/>
    <w:next w:val="1"/>
    <w:qFormat/>
    <w:uiPriority w:val="39"/>
    <w:pPr>
      <w:ind w:left="420" w:leftChars="200"/>
    </w:pPr>
    <w:rPr>
      <w:rFonts w:ascii="Calibri" w:hAnsi="Calibri"/>
      <w:szCs w:val="22"/>
    </w:rPr>
  </w:style>
  <w:style w:type="paragraph" w:styleId="46">
    <w:name w:val="toc 9"/>
    <w:basedOn w:val="1"/>
    <w:next w:val="1"/>
    <w:qFormat/>
    <w:uiPriority w:val="39"/>
    <w:pPr>
      <w:ind w:left="3360" w:leftChars="1600"/>
    </w:pPr>
    <w:rPr>
      <w:rFonts w:ascii="Calibri" w:hAnsi="Calibri"/>
      <w:szCs w:val="22"/>
    </w:rPr>
  </w:style>
  <w:style w:type="paragraph" w:styleId="47">
    <w:name w:val="Body Text 2"/>
    <w:basedOn w:val="1"/>
    <w:next w:val="48"/>
    <w:link w:val="110"/>
    <w:qFormat/>
    <w:uiPriority w:val="0"/>
    <w:pPr>
      <w:spacing w:line="320" w:lineRule="exact"/>
      <w:ind w:right="-108"/>
      <w:jc w:val="center"/>
    </w:pPr>
    <w:rPr>
      <w:rFonts w:hAnsi="宋体"/>
      <w:kern w:val="0"/>
      <w:sz w:val="24"/>
      <w:szCs w:val="20"/>
    </w:rPr>
  </w:style>
  <w:style w:type="paragraph" w:customStyle="1" w:styleId="48">
    <w:name w:val="目录 61"/>
    <w:basedOn w:val="1"/>
    <w:next w:val="1"/>
    <w:qFormat/>
    <w:uiPriority w:val="0"/>
    <w:pPr>
      <w:ind w:left="2100"/>
    </w:pPr>
    <w:rPr>
      <w:rFonts w:ascii="Calibri" w:hAnsi="宋体" w:cs="宋体"/>
      <w:kern w:val="0"/>
      <w:szCs w:val="20"/>
    </w:rPr>
  </w:style>
  <w:style w:type="paragraph" w:styleId="49">
    <w:name w:val="List Continue 2"/>
    <w:basedOn w:val="1"/>
    <w:qFormat/>
    <w:uiPriority w:val="99"/>
    <w:pPr>
      <w:spacing w:after="120"/>
      <w:ind w:left="840"/>
    </w:pPr>
  </w:style>
  <w:style w:type="paragraph" w:styleId="50">
    <w:name w:val="HTML Preformatted"/>
    <w:basedOn w:val="1"/>
    <w:next w:val="51"/>
    <w:link w:val="111"/>
    <w:qFormat/>
    <w:uiPriority w:val="0"/>
    <w:pPr>
      <w:widowControl/>
    </w:pPr>
    <w:rPr>
      <w:rFonts w:ascii="Arial" w:hAnsi="宋体"/>
      <w:kern w:val="0"/>
      <w:sz w:val="24"/>
      <w:szCs w:val="20"/>
    </w:rPr>
  </w:style>
  <w:style w:type="paragraph" w:customStyle="1" w:styleId="51">
    <w:name w:val="目录 91"/>
    <w:basedOn w:val="1"/>
    <w:next w:val="1"/>
    <w:qFormat/>
    <w:uiPriority w:val="0"/>
    <w:pPr>
      <w:ind w:left="3360"/>
    </w:pPr>
    <w:rPr>
      <w:rFonts w:ascii="Calibri" w:hAnsi="宋体" w:cs="宋体"/>
      <w:kern w:val="0"/>
      <w:szCs w:val="20"/>
    </w:rPr>
  </w:style>
  <w:style w:type="paragraph" w:styleId="52">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53">
    <w:name w:val="Title"/>
    <w:basedOn w:val="1"/>
    <w:next w:val="1"/>
    <w:link w:val="112"/>
    <w:qFormat/>
    <w:uiPriority w:val="0"/>
    <w:pPr>
      <w:spacing w:before="240" w:after="60"/>
      <w:jc w:val="center"/>
      <w:outlineLvl w:val="0"/>
    </w:pPr>
    <w:rPr>
      <w:rFonts w:ascii="Cambria" w:hAnsi="Cambria"/>
      <w:b/>
      <w:bCs/>
      <w:sz w:val="32"/>
      <w:szCs w:val="32"/>
    </w:rPr>
  </w:style>
  <w:style w:type="paragraph" w:styleId="54">
    <w:name w:val="annotation subject"/>
    <w:basedOn w:val="19"/>
    <w:next w:val="19"/>
    <w:link w:val="113"/>
    <w:qFormat/>
    <w:uiPriority w:val="0"/>
    <w:rPr>
      <w:b/>
      <w:bCs/>
    </w:rPr>
  </w:style>
  <w:style w:type="paragraph" w:styleId="55">
    <w:name w:val="Body Text First Indent"/>
    <w:next w:val="1"/>
    <w:link w:val="115"/>
    <w:qFormat/>
    <w:uiPriority w:val="0"/>
    <w:pPr>
      <w:widowControl w:val="0"/>
      <w:spacing w:after="120"/>
      <w:ind w:firstLine="420"/>
      <w:jc w:val="both"/>
    </w:pPr>
    <w:rPr>
      <w:rFonts w:ascii="Times New Roman" w:hAnsi="宋体" w:eastAsia="宋体" w:cs="宋体"/>
      <w:sz w:val="21"/>
      <w:lang w:val="en-US" w:eastAsia="zh-CN" w:bidi="ar-SA"/>
    </w:rPr>
  </w:style>
  <w:style w:type="paragraph" w:styleId="56">
    <w:name w:val="Body Text First Indent 2"/>
    <w:basedOn w:val="22"/>
    <w:link w:val="482"/>
    <w:unhideWhenUsed/>
    <w:qFormat/>
    <w:uiPriority w:val="99"/>
    <w:pPr>
      <w:spacing w:before="0" w:after="120" w:line="240" w:lineRule="auto"/>
      <w:ind w:left="420" w:leftChars="200" w:firstLine="420" w:firstLineChars="200"/>
    </w:pPr>
    <w:rPr>
      <w:rFonts w:eastAsia="仿宋_GB2312"/>
      <w:szCs w:val="24"/>
    </w:rPr>
  </w:style>
  <w:style w:type="table" w:styleId="58">
    <w:name w:val="Table Grid"/>
    <w:basedOn w:val="5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0">
    <w:name w:val="Strong"/>
    <w:qFormat/>
    <w:uiPriority w:val="0"/>
    <w:rPr>
      <w:b/>
      <w:bCs/>
    </w:rPr>
  </w:style>
  <w:style w:type="character" w:styleId="61">
    <w:name w:val="endnote reference"/>
    <w:qFormat/>
    <w:uiPriority w:val="0"/>
    <w:rPr>
      <w:vertAlign w:val="superscript"/>
    </w:rPr>
  </w:style>
  <w:style w:type="character" w:styleId="62">
    <w:name w:val="page number"/>
    <w:basedOn w:val="59"/>
    <w:qFormat/>
    <w:uiPriority w:val="0"/>
  </w:style>
  <w:style w:type="character" w:styleId="63">
    <w:name w:val="FollowedHyperlink"/>
    <w:qFormat/>
    <w:uiPriority w:val="99"/>
    <w:rPr>
      <w:color w:val="DD8905"/>
      <w:u w:val="none"/>
    </w:rPr>
  </w:style>
  <w:style w:type="character" w:styleId="64">
    <w:name w:val="Emphasis"/>
    <w:qFormat/>
    <w:uiPriority w:val="0"/>
    <w:rPr>
      <w:i/>
      <w:iCs/>
    </w:rPr>
  </w:style>
  <w:style w:type="character" w:styleId="65">
    <w:name w:val="HTML Definition"/>
    <w:qFormat/>
    <w:uiPriority w:val="0"/>
  </w:style>
  <w:style w:type="character" w:styleId="66">
    <w:name w:val="HTML Typewriter"/>
    <w:qFormat/>
    <w:uiPriority w:val="0"/>
    <w:rPr>
      <w:rFonts w:ascii="monospace" w:hAnsi="monospace" w:eastAsia="monospace" w:cs="monospace"/>
      <w:sz w:val="20"/>
    </w:rPr>
  </w:style>
  <w:style w:type="character" w:styleId="67">
    <w:name w:val="HTML Acronym"/>
    <w:basedOn w:val="59"/>
    <w:qFormat/>
    <w:uiPriority w:val="0"/>
  </w:style>
  <w:style w:type="character" w:styleId="68">
    <w:name w:val="HTML Variable"/>
    <w:qFormat/>
    <w:uiPriority w:val="0"/>
  </w:style>
  <w:style w:type="character" w:styleId="69">
    <w:name w:val="Hyperlink"/>
    <w:unhideWhenUsed/>
    <w:qFormat/>
    <w:uiPriority w:val="99"/>
    <w:rPr>
      <w:color w:val="0000FF"/>
      <w:u w:val="single"/>
    </w:rPr>
  </w:style>
  <w:style w:type="character" w:styleId="70">
    <w:name w:val="HTML Code"/>
    <w:qFormat/>
    <w:uiPriority w:val="0"/>
    <w:rPr>
      <w:rFonts w:hint="default" w:ascii="monospace" w:hAnsi="monospace" w:eastAsia="monospace" w:cs="monospace"/>
      <w:sz w:val="20"/>
    </w:rPr>
  </w:style>
  <w:style w:type="character" w:styleId="71">
    <w:name w:val="annotation reference"/>
    <w:qFormat/>
    <w:uiPriority w:val="0"/>
    <w:rPr>
      <w:sz w:val="21"/>
      <w:szCs w:val="21"/>
    </w:rPr>
  </w:style>
  <w:style w:type="character" w:styleId="72">
    <w:name w:val="HTML Cite"/>
    <w:qFormat/>
    <w:uiPriority w:val="0"/>
  </w:style>
  <w:style w:type="character" w:styleId="73">
    <w:name w:val="footnote reference"/>
    <w:qFormat/>
    <w:uiPriority w:val="99"/>
    <w:rPr>
      <w:rFonts w:cs="Times New Roman"/>
      <w:vertAlign w:val="superscript"/>
    </w:rPr>
  </w:style>
  <w:style w:type="character" w:styleId="74">
    <w:name w:val="HTML Keyboard"/>
    <w:qFormat/>
    <w:uiPriority w:val="0"/>
    <w:rPr>
      <w:rFonts w:hint="default" w:ascii="monospace" w:hAnsi="monospace" w:eastAsia="monospace" w:cs="monospace"/>
      <w:sz w:val="20"/>
    </w:rPr>
  </w:style>
  <w:style w:type="character" w:styleId="75">
    <w:name w:val="HTML Sample"/>
    <w:qFormat/>
    <w:uiPriority w:val="0"/>
    <w:rPr>
      <w:rFonts w:hint="default" w:ascii="monospace" w:hAnsi="monospace" w:eastAsia="monospace" w:cs="monospace"/>
    </w:rPr>
  </w:style>
  <w:style w:type="paragraph" w:customStyle="1" w:styleId="76">
    <w:name w:val="目录 82"/>
    <w:next w:val="1"/>
    <w:qFormat/>
    <w:uiPriority w:val="0"/>
    <w:pPr>
      <w:wordWrap w:val="0"/>
      <w:ind w:left="2975"/>
      <w:jc w:val="both"/>
    </w:pPr>
    <w:rPr>
      <w:rFonts w:ascii="宋体" w:hAnsi="宋体" w:eastAsia="宋体" w:cs="宋体"/>
      <w:sz w:val="21"/>
      <w:lang w:val="en-US" w:eastAsia="zh-CN" w:bidi="ar-SA"/>
    </w:rPr>
  </w:style>
  <w:style w:type="paragraph" w:customStyle="1" w:styleId="77">
    <w:name w:val="flType"/>
    <w:basedOn w:val="1"/>
    <w:qFormat/>
    <w:uiPriority w:val="0"/>
    <w:pPr>
      <w:adjustRightInd w:val="0"/>
      <w:spacing w:after="284" w:line="113" w:lineRule="atLeast"/>
      <w:jc w:val="center"/>
    </w:pPr>
    <w:rPr>
      <w:kern w:val="0"/>
      <w:sz w:val="24"/>
      <w:szCs w:val="20"/>
    </w:rPr>
  </w:style>
  <w:style w:type="paragraph" w:customStyle="1" w:styleId="78">
    <w:name w:val="Heading 71"/>
    <w:basedOn w:val="1"/>
    <w:qFormat/>
    <w:uiPriority w:val="0"/>
    <w:pPr>
      <w:jc w:val="left"/>
      <w:outlineLvl w:val="7"/>
    </w:pPr>
    <w:rPr>
      <w:rFonts w:ascii="宋体" w:hAnsi="宋体" w:cs="宋体"/>
      <w:kern w:val="0"/>
      <w:sz w:val="28"/>
      <w:szCs w:val="28"/>
      <w:lang w:eastAsia="en-US"/>
    </w:rPr>
  </w:style>
  <w:style w:type="paragraph" w:customStyle="1" w:styleId="79">
    <w:name w:val="Table Paragraph"/>
    <w:basedOn w:val="1"/>
    <w:qFormat/>
    <w:uiPriority w:val="0"/>
    <w:pPr>
      <w:jc w:val="left"/>
    </w:pPr>
    <w:rPr>
      <w:rFonts w:ascii="Calibri" w:hAnsi="Calibri" w:cs="Calibri"/>
      <w:kern w:val="0"/>
      <w:sz w:val="22"/>
      <w:szCs w:val="22"/>
      <w:lang w:eastAsia="en-US"/>
    </w:rPr>
  </w:style>
  <w:style w:type="paragraph" w:customStyle="1" w:styleId="80">
    <w:name w:val="Heading 41"/>
    <w:basedOn w:val="1"/>
    <w:qFormat/>
    <w:uiPriority w:val="0"/>
    <w:pPr>
      <w:jc w:val="left"/>
      <w:outlineLvl w:val="4"/>
    </w:pPr>
    <w:rPr>
      <w:rFonts w:ascii="宋体" w:hAnsi="宋体" w:cs="宋体"/>
      <w:kern w:val="0"/>
      <w:sz w:val="32"/>
      <w:szCs w:val="32"/>
      <w:lang w:eastAsia="en-US"/>
    </w:rPr>
  </w:style>
  <w:style w:type="character" w:customStyle="1" w:styleId="81">
    <w:name w:val="页眉 字符"/>
    <w:basedOn w:val="59"/>
    <w:link w:val="36"/>
    <w:qFormat/>
    <w:uiPriority w:val="0"/>
    <w:rPr>
      <w:kern w:val="2"/>
      <w:sz w:val="18"/>
      <w:szCs w:val="18"/>
    </w:rPr>
  </w:style>
  <w:style w:type="character" w:customStyle="1" w:styleId="82">
    <w:name w:val="未处理的提及1"/>
    <w:basedOn w:val="59"/>
    <w:unhideWhenUsed/>
    <w:qFormat/>
    <w:uiPriority w:val="99"/>
    <w:rPr>
      <w:color w:val="605E5C"/>
      <w:shd w:val="clear" w:color="auto" w:fill="E1DFDD"/>
    </w:rPr>
  </w:style>
  <w:style w:type="character" w:customStyle="1" w:styleId="83">
    <w:name w:val="标题 5 字符"/>
    <w:basedOn w:val="59"/>
    <w:link w:val="7"/>
    <w:qFormat/>
    <w:uiPriority w:val="0"/>
    <w:rPr>
      <w:b/>
      <w:bCs/>
      <w:kern w:val="2"/>
      <w:sz w:val="28"/>
      <w:szCs w:val="28"/>
    </w:rPr>
  </w:style>
  <w:style w:type="character" w:customStyle="1" w:styleId="84">
    <w:name w:val="标题 6 字符"/>
    <w:basedOn w:val="59"/>
    <w:link w:val="8"/>
    <w:qFormat/>
    <w:uiPriority w:val="0"/>
    <w:rPr>
      <w:rFonts w:ascii="Cambria" w:hAnsi="Cambria"/>
      <w:b/>
      <w:bCs/>
      <w:kern w:val="2"/>
      <w:sz w:val="24"/>
      <w:szCs w:val="24"/>
    </w:rPr>
  </w:style>
  <w:style w:type="character" w:customStyle="1" w:styleId="85">
    <w:name w:val="标题 7 字符"/>
    <w:basedOn w:val="59"/>
    <w:link w:val="9"/>
    <w:qFormat/>
    <w:uiPriority w:val="0"/>
    <w:rPr>
      <w:rFonts w:ascii="Calibri" w:hAnsi="Calibri"/>
      <w:b/>
      <w:bCs/>
      <w:kern w:val="2"/>
      <w:sz w:val="24"/>
      <w:szCs w:val="24"/>
    </w:rPr>
  </w:style>
  <w:style w:type="character" w:customStyle="1" w:styleId="86">
    <w:name w:val="标题 8 字符"/>
    <w:basedOn w:val="59"/>
    <w:link w:val="10"/>
    <w:qFormat/>
    <w:uiPriority w:val="0"/>
    <w:rPr>
      <w:rFonts w:ascii="Cambria" w:hAnsi="Cambria"/>
      <w:kern w:val="2"/>
      <w:sz w:val="24"/>
      <w:szCs w:val="24"/>
    </w:rPr>
  </w:style>
  <w:style w:type="character" w:customStyle="1" w:styleId="87">
    <w:name w:val="标题 9 字符"/>
    <w:basedOn w:val="59"/>
    <w:link w:val="11"/>
    <w:qFormat/>
    <w:uiPriority w:val="0"/>
    <w:rPr>
      <w:rFonts w:ascii="Cambria" w:hAnsi="Cambria"/>
      <w:kern w:val="2"/>
      <w:sz w:val="21"/>
      <w:szCs w:val="21"/>
    </w:rPr>
  </w:style>
  <w:style w:type="character" w:customStyle="1" w:styleId="88">
    <w:name w:val="标题 1 字符"/>
    <w:basedOn w:val="59"/>
    <w:link w:val="3"/>
    <w:qFormat/>
    <w:uiPriority w:val="0"/>
    <w:rPr>
      <w:b/>
      <w:bCs/>
      <w:kern w:val="44"/>
      <w:sz w:val="44"/>
      <w:szCs w:val="44"/>
    </w:rPr>
  </w:style>
  <w:style w:type="character" w:customStyle="1" w:styleId="89">
    <w:name w:val="标题 2 字符"/>
    <w:basedOn w:val="59"/>
    <w:link w:val="4"/>
    <w:qFormat/>
    <w:uiPriority w:val="9"/>
    <w:rPr>
      <w:rFonts w:ascii="Arial" w:hAnsi="Arial" w:eastAsia="黑体"/>
      <w:b/>
      <w:bCs/>
      <w:kern w:val="2"/>
      <w:sz w:val="32"/>
      <w:szCs w:val="32"/>
    </w:rPr>
  </w:style>
  <w:style w:type="character" w:customStyle="1" w:styleId="90">
    <w:name w:val="标题 3 字符"/>
    <w:basedOn w:val="59"/>
    <w:link w:val="5"/>
    <w:qFormat/>
    <w:uiPriority w:val="0"/>
    <w:rPr>
      <w:b/>
      <w:bCs/>
      <w:kern w:val="2"/>
      <w:sz w:val="32"/>
      <w:szCs w:val="32"/>
    </w:rPr>
  </w:style>
  <w:style w:type="character" w:customStyle="1" w:styleId="91">
    <w:name w:val="标题 4 字符"/>
    <w:basedOn w:val="59"/>
    <w:link w:val="6"/>
    <w:qFormat/>
    <w:uiPriority w:val="0"/>
    <w:rPr>
      <w:rFonts w:ascii="Arial" w:hAnsi="Arial" w:eastAsia="黑体"/>
      <w:b/>
      <w:bCs/>
      <w:kern w:val="2"/>
      <w:sz w:val="28"/>
      <w:szCs w:val="28"/>
    </w:rPr>
  </w:style>
  <w:style w:type="character" w:customStyle="1" w:styleId="92">
    <w:name w:val="正文缩进 字符"/>
    <w:link w:val="14"/>
    <w:qFormat/>
    <w:uiPriority w:val="0"/>
    <w:rPr>
      <w:rFonts w:asciiTheme="minorHAnsi" w:hAnsiTheme="minorHAnsi" w:cstheme="minorBidi"/>
      <w:kern w:val="2"/>
      <w:sz w:val="24"/>
      <w:szCs w:val="24"/>
    </w:rPr>
  </w:style>
  <w:style w:type="character" w:customStyle="1" w:styleId="93">
    <w:name w:val="文档结构图 字符"/>
    <w:basedOn w:val="59"/>
    <w:link w:val="17"/>
    <w:qFormat/>
    <w:uiPriority w:val="0"/>
    <w:rPr>
      <w:kern w:val="2"/>
      <w:sz w:val="21"/>
      <w:szCs w:val="24"/>
      <w:shd w:val="clear" w:color="auto" w:fill="000080"/>
    </w:rPr>
  </w:style>
  <w:style w:type="character" w:customStyle="1" w:styleId="94">
    <w:name w:val="批注文字 字符"/>
    <w:basedOn w:val="59"/>
    <w:link w:val="19"/>
    <w:qFormat/>
    <w:uiPriority w:val="0"/>
    <w:rPr>
      <w:kern w:val="2"/>
      <w:sz w:val="21"/>
      <w:szCs w:val="24"/>
    </w:rPr>
  </w:style>
  <w:style w:type="character" w:customStyle="1" w:styleId="95">
    <w:name w:val="称呼 字符"/>
    <w:basedOn w:val="59"/>
    <w:link w:val="20"/>
    <w:qFormat/>
    <w:uiPriority w:val="0"/>
    <w:rPr>
      <w:rFonts w:hAnsi="宋体"/>
      <w:sz w:val="30"/>
    </w:rPr>
  </w:style>
  <w:style w:type="character" w:customStyle="1" w:styleId="96">
    <w:name w:val="正文文本 3 字符"/>
    <w:basedOn w:val="59"/>
    <w:link w:val="21"/>
    <w:qFormat/>
    <w:uiPriority w:val="0"/>
    <w:rPr>
      <w:rFonts w:hAnsi="宋体"/>
      <w:color w:val="000000"/>
      <w:sz w:val="24"/>
    </w:rPr>
  </w:style>
  <w:style w:type="character" w:customStyle="1" w:styleId="97">
    <w:name w:val="正文文本 字符"/>
    <w:basedOn w:val="59"/>
    <w:qFormat/>
    <w:uiPriority w:val="0"/>
    <w:rPr>
      <w:kern w:val="2"/>
      <w:sz w:val="21"/>
      <w:szCs w:val="22"/>
    </w:rPr>
  </w:style>
  <w:style w:type="character" w:customStyle="1" w:styleId="98">
    <w:name w:val="正文文本缩进 字符"/>
    <w:basedOn w:val="59"/>
    <w:link w:val="22"/>
    <w:qFormat/>
    <w:uiPriority w:val="0"/>
    <w:rPr>
      <w:rFonts w:ascii="宋体" w:hAnsi="宋体"/>
      <w:kern w:val="2"/>
      <w:sz w:val="21"/>
    </w:rPr>
  </w:style>
  <w:style w:type="character" w:customStyle="1" w:styleId="99">
    <w:name w:val="纯文本 字符"/>
    <w:basedOn w:val="59"/>
    <w:link w:val="29"/>
    <w:qFormat/>
    <w:uiPriority w:val="0"/>
    <w:rPr>
      <w:rFonts w:ascii="宋体" w:hAnsi="Courier New"/>
      <w:kern w:val="2"/>
      <w:sz w:val="21"/>
      <w:szCs w:val="24"/>
    </w:rPr>
  </w:style>
  <w:style w:type="character" w:customStyle="1" w:styleId="100">
    <w:name w:val="日期 字符"/>
    <w:basedOn w:val="59"/>
    <w:link w:val="31"/>
    <w:qFormat/>
    <w:uiPriority w:val="0"/>
    <w:rPr>
      <w:rFonts w:asciiTheme="minorHAnsi" w:hAnsiTheme="minorHAnsi" w:eastAsiaTheme="minorEastAsia" w:cstheme="minorBidi"/>
      <w:kern w:val="2"/>
      <w:sz w:val="21"/>
      <w:szCs w:val="24"/>
    </w:rPr>
  </w:style>
  <w:style w:type="character" w:customStyle="1" w:styleId="101">
    <w:name w:val="正文文本缩进 2 字符"/>
    <w:basedOn w:val="59"/>
    <w:link w:val="32"/>
    <w:qFormat/>
    <w:uiPriority w:val="0"/>
    <w:rPr>
      <w:kern w:val="2"/>
      <w:sz w:val="21"/>
      <w:szCs w:val="24"/>
    </w:rPr>
  </w:style>
  <w:style w:type="character" w:customStyle="1" w:styleId="102">
    <w:name w:val="尾注文本 字符"/>
    <w:basedOn w:val="59"/>
    <w:link w:val="33"/>
    <w:qFormat/>
    <w:uiPriority w:val="0"/>
    <w:rPr>
      <w:kern w:val="2"/>
      <w:sz w:val="21"/>
      <w:szCs w:val="24"/>
    </w:rPr>
  </w:style>
  <w:style w:type="character" w:customStyle="1" w:styleId="103">
    <w:name w:val="批注框文本 字符"/>
    <w:basedOn w:val="59"/>
    <w:link w:val="34"/>
    <w:qFormat/>
    <w:uiPriority w:val="0"/>
    <w:rPr>
      <w:kern w:val="2"/>
      <w:sz w:val="18"/>
      <w:szCs w:val="18"/>
    </w:rPr>
  </w:style>
  <w:style w:type="character" w:customStyle="1" w:styleId="104">
    <w:name w:val="页脚 字符"/>
    <w:basedOn w:val="59"/>
    <w:qFormat/>
    <w:uiPriority w:val="99"/>
    <w:rPr>
      <w:kern w:val="2"/>
      <w:sz w:val="18"/>
      <w:szCs w:val="18"/>
    </w:rPr>
  </w:style>
  <w:style w:type="character" w:customStyle="1" w:styleId="105">
    <w:name w:val="页脚 字符1"/>
    <w:link w:val="35"/>
    <w:qFormat/>
    <w:uiPriority w:val="0"/>
    <w:rPr>
      <w:kern w:val="2"/>
      <w:sz w:val="18"/>
      <w:szCs w:val="18"/>
    </w:rPr>
  </w:style>
  <w:style w:type="character" w:customStyle="1" w:styleId="106">
    <w:name w:val="页眉 字符1"/>
    <w:qFormat/>
    <w:uiPriority w:val="0"/>
    <w:rPr>
      <w:kern w:val="2"/>
      <w:sz w:val="18"/>
      <w:szCs w:val="18"/>
    </w:rPr>
  </w:style>
  <w:style w:type="character" w:customStyle="1" w:styleId="107">
    <w:name w:val="副标题 字符"/>
    <w:basedOn w:val="59"/>
    <w:link w:val="39"/>
    <w:qFormat/>
    <w:uiPriority w:val="0"/>
    <w:rPr>
      <w:rFonts w:ascii="Cambria" w:hAnsi="Cambria"/>
      <w:b/>
      <w:bCs/>
      <w:kern w:val="28"/>
      <w:sz w:val="32"/>
      <w:szCs w:val="32"/>
    </w:rPr>
  </w:style>
  <w:style w:type="character" w:customStyle="1" w:styleId="108">
    <w:name w:val="脚注文本 字符"/>
    <w:basedOn w:val="59"/>
    <w:link w:val="41"/>
    <w:qFormat/>
    <w:uiPriority w:val="0"/>
    <w:rPr>
      <w:sz w:val="18"/>
    </w:rPr>
  </w:style>
  <w:style w:type="character" w:customStyle="1" w:styleId="109">
    <w:name w:val="正文文本缩进 3 字符"/>
    <w:basedOn w:val="59"/>
    <w:link w:val="43"/>
    <w:qFormat/>
    <w:uiPriority w:val="0"/>
    <w:rPr>
      <w:rFonts w:hAnsi="宋体"/>
      <w:sz w:val="16"/>
    </w:rPr>
  </w:style>
  <w:style w:type="character" w:customStyle="1" w:styleId="110">
    <w:name w:val="正文文本 2 字符"/>
    <w:basedOn w:val="59"/>
    <w:link w:val="47"/>
    <w:qFormat/>
    <w:uiPriority w:val="0"/>
    <w:rPr>
      <w:rFonts w:hAnsi="宋体"/>
      <w:sz w:val="24"/>
    </w:rPr>
  </w:style>
  <w:style w:type="character" w:customStyle="1" w:styleId="111">
    <w:name w:val="HTML 预设格式 字符"/>
    <w:basedOn w:val="59"/>
    <w:link w:val="50"/>
    <w:qFormat/>
    <w:uiPriority w:val="0"/>
    <w:rPr>
      <w:rFonts w:ascii="Arial" w:hAnsi="宋体"/>
      <w:sz w:val="24"/>
    </w:rPr>
  </w:style>
  <w:style w:type="character" w:customStyle="1" w:styleId="112">
    <w:name w:val="标题 字符"/>
    <w:basedOn w:val="59"/>
    <w:link w:val="53"/>
    <w:qFormat/>
    <w:uiPriority w:val="0"/>
    <w:rPr>
      <w:rFonts w:ascii="Cambria" w:hAnsi="Cambria"/>
      <w:b/>
      <w:bCs/>
      <w:kern w:val="2"/>
      <w:sz w:val="32"/>
      <w:szCs w:val="32"/>
    </w:rPr>
  </w:style>
  <w:style w:type="character" w:customStyle="1" w:styleId="113">
    <w:name w:val="批注主题 字符"/>
    <w:basedOn w:val="94"/>
    <w:link w:val="54"/>
    <w:qFormat/>
    <w:uiPriority w:val="0"/>
    <w:rPr>
      <w:b/>
      <w:bCs/>
      <w:kern w:val="2"/>
      <w:sz w:val="21"/>
      <w:szCs w:val="24"/>
    </w:rPr>
  </w:style>
  <w:style w:type="character" w:customStyle="1" w:styleId="114">
    <w:name w:val="正文文本 字符1"/>
    <w:basedOn w:val="59"/>
    <w:link w:val="2"/>
    <w:qFormat/>
    <w:uiPriority w:val="0"/>
    <w:rPr>
      <w:rFonts w:eastAsia="仿宋_GB2312" w:asciiTheme="minorHAnsi" w:hAnsiTheme="minorHAnsi" w:cstheme="minorBidi"/>
      <w:kern w:val="2"/>
      <w:sz w:val="23"/>
      <w:szCs w:val="24"/>
    </w:rPr>
  </w:style>
  <w:style w:type="character" w:customStyle="1" w:styleId="115">
    <w:name w:val="正文文本首行缩进 字符"/>
    <w:basedOn w:val="114"/>
    <w:link w:val="55"/>
    <w:qFormat/>
    <w:uiPriority w:val="0"/>
    <w:rPr>
      <w:rFonts w:hAnsi="宋体" w:eastAsia="仿宋_GB2312" w:cs="宋体" w:asciiTheme="minorHAnsi"/>
      <w:kern w:val="2"/>
      <w:sz w:val="21"/>
      <w:szCs w:val="24"/>
    </w:rPr>
  </w:style>
  <w:style w:type="character" w:customStyle="1" w:styleId="116">
    <w:name w:val="HTML 预设格式 Char"/>
    <w:qFormat/>
    <w:uiPriority w:val="0"/>
    <w:rPr>
      <w:sz w:val="20"/>
    </w:rPr>
  </w:style>
  <w:style w:type="character" w:customStyle="1" w:styleId="117">
    <w:name w:val="Heading 1 Char"/>
    <w:qFormat/>
    <w:uiPriority w:val="0"/>
    <w:rPr>
      <w:rFonts w:eastAsia="宋体"/>
      <w:b/>
      <w:bCs/>
      <w:kern w:val="44"/>
      <w:sz w:val="32"/>
      <w:szCs w:val="44"/>
      <w:lang w:val="en-US" w:eastAsia="zh-CN" w:bidi="ar-SA"/>
    </w:rPr>
  </w:style>
  <w:style w:type="character" w:customStyle="1" w:styleId="118">
    <w:name w:val="Char Char1"/>
    <w:qFormat/>
    <w:uiPriority w:val="0"/>
    <w:rPr>
      <w:sz w:val="20"/>
    </w:rPr>
  </w:style>
  <w:style w:type="character" w:customStyle="1" w:styleId="119">
    <w:name w:val="样式10 Char"/>
    <w:qFormat/>
    <w:uiPriority w:val="0"/>
    <w:rPr>
      <w:sz w:val="20"/>
    </w:rPr>
  </w:style>
  <w:style w:type="character" w:customStyle="1" w:styleId="120">
    <w:name w:val="正文文本 3 Char2"/>
    <w:qFormat/>
    <w:uiPriority w:val="0"/>
    <w:rPr>
      <w:kern w:val="2"/>
      <w:sz w:val="16"/>
      <w:szCs w:val="16"/>
    </w:rPr>
  </w:style>
  <w:style w:type="character" w:customStyle="1" w:styleId="121">
    <w:name w:val="Footer Char"/>
    <w:qFormat/>
    <w:uiPriority w:val="0"/>
    <w:rPr>
      <w:rFonts w:eastAsia="宋体"/>
      <w:kern w:val="2"/>
      <w:sz w:val="18"/>
      <w:szCs w:val="18"/>
      <w:lang w:val="en-US" w:eastAsia="zh-CN" w:bidi="ar-SA"/>
    </w:rPr>
  </w:style>
  <w:style w:type="character" w:customStyle="1" w:styleId="122">
    <w:name w:val="引用 字符"/>
    <w:link w:val="123"/>
    <w:qFormat/>
    <w:uiPriority w:val="0"/>
    <w:rPr>
      <w:i/>
      <w:iCs/>
      <w:color w:val="000000"/>
    </w:rPr>
  </w:style>
  <w:style w:type="paragraph" w:styleId="123">
    <w:name w:val="Quote"/>
    <w:basedOn w:val="1"/>
    <w:next w:val="1"/>
    <w:link w:val="122"/>
    <w:qFormat/>
    <w:uiPriority w:val="0"/>
    <w:rPr>
      <w:i/>
      <w:iCs/>
      <w:color w:val="000000"/>
      <w:kern w:val="0"/>
      <w:sz w:val="20"/>
      <w:szCs w:val="20"/>
    </w:rPr>
  </w:style>
  <w:style w:type="character" w:customStyle="1" w:styleId="124">
    <w:name w:val="引用 字符1"/>
    <w:basedOn w:val="59"/>
    <w:qFormat/>
    <w:uiPriority w:val="29"/>
    <w:rPr>
      <w:i/>
      <w:iCs/>
      <w:color w:val="404040" w:themeColor="text1" w:themeTint="BF"/>
      <w:kern w:val="2"/>
      <w:sz w:val="21"/>
      <w:szCs w:val="24"/>
      <w14:textFill>
        <w14:solidFill>
          <w14:schemeClr w14:val="tx1">
            <w14:lumMod w14:val="75000"/>
            <w14:lumOff w14:val="25000"/>
          </w14:schemeClr>
        </w14:solidFill>
      </w14:textFill>
    </w:rPr>
  </w:style>
  <w:style w:type="character" w:customStyle="1" w:styleId="125">
    <w:name w:val="标题 Char2"/>
    <w:qFormat/>
    <w:uiPriority w:val="0"/>
    <w:rPr>
      <w:rFonts w:ascii="Cambria" w:hAnsi="Cambria" w:eastAsia="宋体" w:cs="Times New Roman"/>
      <w:b/>
      <w:bCs/>
      <w:sz w:val="32"/>
      <w:szCs w:val="32"/>
    </w:rPr>
  </w:style>
  <w:style w:type="character" w:customStyle="1" w:styleId="126">
    <w:name w:val="Char Char10"/>
    <w:qFormat/>
    <w:uiPriority w:val="0"/>
    <w:rPr>
      <w:sz w:val="20"/>
    </w:rPr>
  </w:style>
  <w:style w:type="character" w:customStyle="1" w:styleId="127">
    <w:name w:val="样式3 Char Char"/>
    <w:qFormat/>
    <w:uiPriority w:val="0"/>
    <w:rPr>
      <w:b/>
      <w:sz w:val="20"/>
    </w:rPr>
  </w:style>
  <w:style w:type="character" w:customStyle="1" w:styleId="128">
    <w:name w:val="明显强调1"/>
    <w:qFormat/>
    <w:uiPriority w:val="0"/>
    <w:rPr>
      <w:b/>
      <w:bCs/>
      <w:i/>
      <w:iCs/>
      <w:color w:val="4F81BD"/>
    </w:rPr>
  </w:style>
  <w:style w:type="character" w:customStyle="1" w:styleId="129">
    <w:name w:val="批注文字 Char Char"/>
    <w:qFormat/>
    <w:uiPriority w:val="0"/>
    <w:rPr>
      <w:rFonts w:ascii="宋体" w:hAnsi="Times New Roman" w:eastAsia="宋体" w:cs="Times New Roman"/>
      <w:sz w:val="28"/>
      <w:szCs w:val="20"/>
    </w:rPr>
  </w:style>
  <w:style w:type="character" w:customStyle="1" w:styleId="130">
    <w:name w:val="副标题 Char1"/>
    <w:qFormat/>
    <w:uiPriority w:val="11"/>
    <w:rPr>
      <w:rFonts w:hint="default" w:ascii="Cambria" w:hAnsi="Cambria" w:cs="Times New Roman"/>
      <w:b/>
      <w:bCs/>
      <w:kern w:val="28"/>
      <w:sz w:val="32"/>
      <w:szCs w:val="32"/>
    </w:rPr>
  </w:style>
  <w:style w:type="character" w:customStyle="1" w:styleId="131">
    <w:name w:val="样式14 Char"/>
    <w:qFormat/>
    <w:uiPriority w:val="0"/>
    <w:rPr>
      <w:sz w:val="20"/>
    </w:rPr>
  </w:style>
  <w:style w:type="character" w:customStyle="1" w:styleId="132">
    <w:name w:val="Comment Subject Char"/>
    <w:qFormat/>
    <w:uiPriority w:val="0"/>
    <w:rPr>
      <w:b/>
      <w:sz w:val="24"/>
      <w:lang w:bidi="ar-SA"/>
    </w:rPr>
  </w:style>
  <w:style w:type="character" w:customStyle="1" w:styleId="133">
    <w:name w:val="Comment Text Char"/>
    <w:qFormat/>
    <w:uiPriority w:val="0"/>
    <w:rPr>
      <w:rFonts w:cs="Times New Roman"/>
      <w:sz w:val="24"/>
      <w:szCs w:val="24"/>
    </w:rPr>
  </w:style>
  <w:style w:type="character" w:customStyle="1" w:styleId="134">
    <w:name w:val="title2"/>
    <w:qFormat/>
    <w:uiPriority w:val="0"/>
    <w:rPr>
      <w:b/>
      <w:color w:val="111111"/>
      <w:sz w:val="20"/>
      <w:u w:val="none"/>
    </w:rPr>
  </w:style>
  <w:style w:type="character" w:customStyle="1" w:styleId="135">
    <w:name w:val="日期 Char1"/>
    <w:qFormat/>
    <w:uiPriority w:val="0"/>
    <w:rPr>
      <w:rFonts w:ascii="Times New Roman" w:hAnsi="Times New Roman" w:eastAsia="宋体" w:cs="Times New Roman"/>
      <w:szCs w:val="24"/>
    </w:rPr>
  </w:style>
  <w:style w:type="character" w:customStyle="1" w:styleId="136">
    <w:name w:val="超链接_0"/>
    <w:qFormat/>
    <w:uiPriority w:val="99"/>
    <w:rPr>
      <w:rFonts w:ascii="Calibri" w:hAnsi="Calibri" w:cs="Times New Roman"/>
      <w:color w:val="0000FF"/>
      <w:u w:val="single"/>
    </w:rPr>
  </w:style>
  <w:style w:type="character" w:customStyle="1" w:styleId="137">
    <w:name w:val="样式3 Char Char Char Char"/>
    <w:qFormat/>
    <w:uiPriority w:val="0"/>
    <w:rPr>
      <w:b/>
      <w:sz w:val="20"/>
    </w:rPr>
  </w:style>
  <w:style w:type="character" w:customStyle="1" w:styleId="138">
    <w:name w:val="newsbg1"/>
    <w:qFormat/>
    <w:uiPriority w:val="0"/>
    <w:rPr>
      <w:sz w:val="20"/>
    </w:rPr>
  </w:style>
  <w:style w:type="character" w:customStyle="1" w:styleId="139">
    <w:name w:val="Char Char8"/>
    <w:qFormat/>
    <w:uiPriority w:val="0"/>
    <w:rPr>
      <w:sz w:val="20"/>
    </w:rPr>
  </w:style>
  <w:style w:type="character" w:customStyle="1" w:styleId="140">
    <w:name w:val="Char Char Char Char Char Char"/>
    <w:qFormat/>
    <w:uiPriority w:val="0"/>
    <w:rPr>
      <w:sz w:val="20"/>
    </w:rPr>
  </w:style>
  <w:style w:type="character" w:customStyle="1" w:styleId="141">
    <w:name w:val="正文文本 Char2"/>
    <w:qFormat/>
    <w:uiPriority w:val="99"/>
    <w:rPr>
      <w:sz w:val="20"/>
    </w:rPr>
  </w:style>
  <w:style w:type="character" w:customStyle="1" w:styleId="142">
    <w:name w:val="明显引用 Char2"/>
    <w:link w:val="143"/>
    <w:qFormat/>
    <w:uiPriority w:val="30"/>
    <w:rPr>
      <w:b/>
      <w:i/>
      <w:color w:val="4F81BD"/>
      <w:kern w:val="2"/>
      <w:sz w:val="22"/>
    </w:rPr>
  </w:style>
  <w:style w:type="paragraph" w:customStyle="1" w:styleId="143">
    <w:name w:val="明显引用2"/>
    <w:basedOn w:val="1"/>
    <w:next w:val="1"/>
    <w:link w:val="142"/>
    <w:qFormat/>
    <w:uiPriority w:val="0"/>
    <w:pPr>
      <w:pBdr>
        <w:bottom w:val="single" w:color="4F81BD" w:sz="4" w:space="4"/>
      </w:pBdr>
      <w:spacing w:before="200" w:after="280"/>
      <w:ind w:left="936" w:right="936"/>
    </w:pPr>
    <w:rPr>
      <w:b/>
      <w:i/>
      <w:color w:val="4F81BD"/>
      <w:sz w:val="22"/>
      <w:szCs w:val="20"/>
    </w:rPr>
  </w:style>
  <w:style w:type="character" w:customStyle="1" w:styleId="144">
    <w:name w:val="Balloon Text Char"/>
    <w:qFormat/>
    <w:uiPriority w:val="0"/>
    <w:rPr>
      <w:sz w:val="18"/>
      <w:lang w:bidi="ar-SA"/>
    </w:rPr>
  </w:style>
  <w:style w:type="character" w:customStyle="1" w:styleId="145">
    <w:name w:val="普通文字 Char"/>
    <w:qFormat/>
    <w:uiPriority w:val="0"/>
    <w:rPr>
      <w:sz w:val="20"/>
    </w:rPr>
  </w:style>
  <w:style w:type="character" w:customStyle="1" w:styleId="146">
    <w:name w:val="仿宋，小四"/>
    <w:qFormat/>
    <w:uiPriority w:val="0"/>
    <w:rPr>
      <w:sz w:val="20"/>
    </w:rPr>
  </w:style>
  <w:style w:type="character" w:customStyle="1" w:styleId="147">
    <w:name w:val="样式 Char"/>
    <w:link w:val="148"/>
    <w:qFormat/>
    <w:locked/>
    <w:uiPriority w:val="0"/>
    <w:rPr>
      <w:rFonts w:ascii="宋体" w:hAnsi="宋体" w:cs="宋体"/>
      <w:sz w:val="24"/>
      <w:szCs w:val="24"/>
    </w:rPr>
  </w:style>
  <w:style w:type="paragraph" w:customStyle="1" w:styleId="148">
    <w:name w:val="样式"/>
    <w:link w:val="147"/>
    <w:qFormat/>
    <w:uiPriority w:val="0"/>
    <w:pPr>
      <w:widowControl w:val="0"/>
      <w:autoSpaceDE w:val="0"/>
      <w:autoSpaceDN w:val="0"/>
      <w:adjustRightInd w:val="0"/>
    </w:pPr>
    <w:rPr>
      <w:rFonts w:ascii="宋体" w:hAnsi="宋体" w:eastAsia="宋体" w:cs="宋体"/>
      <w:sz w:val="24"/>
      <w:szCs w:val="24"/>
      <w:lang w:val="en-US" w:eastAsia="zh-CN" w:bidi="ar-SA"/>
    </w:rPr>
  </w:style>
  <w:style w:type="character" w:customStyle="1" w:styleId="149">
    <w:name w:val="style41"/>
    <w:qFormat/>
    <w:uiPriority w:val="0"/>
    <w:rPr>
      <w:rFonts w:ascii="Verdana" w:hAnsi="Verdana"/>
      <w:color w:val="AA1515"/>
      <w:kern w:val="0"/>
      <w:sz w:val="20"/>
      <w:lang w:eastAsia="en-US"/>
    </w:rPr>
  </w:style>
  <w:style w:type="character" w:customStyle="1" w:styleId="150">
    <w:name w:val="明显引用 Char1"/>
    <w:qFormat/>
    <w:uiPriority w:val="30"/>
    <w:rPr>
      <w:rFonts w:ascii="Times New Roman" w:hAnsi="Times New Roman" w:eastAsia="宋体" w:cs="Times New Roman"/>
      <w:b/>
      <w:bCs/>
      <w:i/>
      <w:iCs/>
      <w:color w:val="4F81BD"/>
      <w:szCs w:val="24"/>
    </w:rPr>
  </w:style>
  <w:style w:type="character" w:customStyle="1" w:styleId="151">
    <w:name w:val="样式12 Char"/>
    <w:qFormat/>
    <w:uiPriority w:val="0"/>
    <w:rPr>
      <w:sz w:val="20"/>
    </w:rPr>
  </w:style>
  <w:style w:type="character" w:customStyle="1" w:styleId="152">
    <w:name w:val="引用 Char2"/>
    <w:link w:val="153"/>
    <w:qFormat/>
    <w:uiPriority w:val="29"/>
    <w:rPr>
      <w:i/>
      <w:color w:val="000000"/>
      <w:kern w:val="2"/>
      <w:sz w:val="22"/>
    </w:rPr>
  </w:style>
  <w:style w:type="paragraph" w:customStyle="1" w:styleId="153">
    <w:name w:val="引用2"/>
    <w:basedOn w:val="1"/>
    <w:next w:val="1"/>
    <w:link w:val="152"/>
    <w:qFormat/>
    <w:uiPriority w:val="0"/>
    <w:rPr>
      <w:i/>
      <w:color w:val="000000"/>
      <w:sz w:val="22"/>
      <w:szCs w:val="20"/>
    </w:rPr>
  </w:style>
  <w:style w:type="character" w:customStyle="1" w:styleId="154">
    <w:name w:val="样式 标题 3h3section:3Level 3 HeadH3level_3PIM 33rd level3H... Char Char"/>
    <w:qFormat/>
    <w:uiPriority w:val="0"/>
    <w:rPr>
      <w:b/>
      <w:sz w:val="20"/>
    </w:rPr>
  </w:style>
  <w:style w:type="character" w:customStyle="1" w:styleId="155">
    <w:name w:val="Heading 3 Char"/>
    <w:qFormat/>
    <w:uiPriority w:val="0"/>
    <w:rPr>
      <w:rFonts w:cs="Times New Roman"/>
      <w:b/>
      <w:bCs/>
      <w:kern w:val="2"/>
      <w:sz w:val="32"/>
      <w:szCs w:val="32"/>
    </w:rPr>
  </w:style>
  <w:style w:type="character" w:customStyle="1" w:styleId="156">
    <w:name w:val="Char Char24"/>
    <w:qFormat/>
    <w:uiPriority w:val="0"/>
    <w:rPr>
      <w:rFonts w:eastAsia="宋体"/>
      <w:b/>
      <w:bCs/>
      <w:kern w:val="44"/>
      <w:sz w:val="32"/>
      <w:szCs w:val="44"/>
      <w:lang w:val="en-US" w:eastAsia="zh-CN" w:bidi="ar-SA"/>
    </w:rPr>
  </w:style>
  <w:style w:type="character" w:customStyle="1" w:styleId="157">
    <w:name w:val="Title Char"/>
    <w:qFormat/>
    <w:uiPriority w:val="0"/>
    <w:rPr>
      <w:rFonts w:ascii="Cambria" w:hAnsi="Cambria"/>
      <w:b/>
      <w:sz w:val="32"/>
      <w:lang w:bidi="ar-SA"/>
    </w:rPr>
  </w:style>
  <w:style w:type="character" w:customStyle="1" w:styleId="158">
    <w:name w:val="textcontents"/>
    <w:qFormat/>
    <w:uiPriority w:val="0"/>
    <w:rPr>
      <w:rFonts w:cs="Times New Roman"/>
    </w:rPr>
  </w:style>
  <w:style w:type="character" w:customStyle="1" w:styleId="159">
    <w:name w:val="正文文本 2 Char1"/>
    <w:qFormat/>
    <w:uiPriority w:val="0"/>
    <w:rPr>
      <w:kern w:val="2"/>
      <w:sz w:val="21"/>
      <w:szCs w:val="24"/>
    </w:rPr>
  </w:style>
  <w:style w:type="character" w:customStyle="1" w:styleId="160">
    <w:name w:val="不明显参考1"/>
    <w:qFormat/>
    <w:uiPriority w:val="0"/>
    <w:rPr>
      <w:smallCaps/>
      <w:color w:val="C0504D"/>
      <w:u w:val="single"/>
    </w:rPr>
  </w:style>
  <w:style w:type="character" w:customStyle="1" w:styleId="161">
    <w:name w:val="Char Char18"/>
    <w:qFormat/>
    <w:uiPriority w:val="0"/>
    <w:rPr>
      <w:rFonts w:ascii="Times New Roman" w:hAnsi="Times New Roman" w:eastAsia="宋体" w:cs="Times New Roman"/>
      <w:b/>
      <w:bCs/>
      <w:sz w:val="28"/>
      <w:szCs w:val="28"/>
    </w:rPr>
  </w:style>
  <w:style w:type="character" w:customStyle="1" w:styleId="162">
    <w:name w:val="正文文本 3 Char1"/>
    <w:qFormat/>
    <w:uiPriority w:val="0"/>
    <w:rPr>
      <w:kern w:val="2"/>
      <w:sz w:val="16"/>
      <w:szCs w:val="16"/>
    </w:rPr>
  </w:style>
  <w:style w:type="character" w:customStyle="1" w:styleId="163">
    <w:name w:val="标题 Char1"/>
    <w:qFormat/>
    <w:uiPriority w:val="10"/>
    <w:rPr>
      <w:rFonts w:ascii="Cambria" w:hAnsi="Cambria" w:eastAsia="宋体" w:cs="Times New Roman"/>
      <w:b/>
      <w:bCs/>
      <w:sz w:val="32"/>
      <w:szCs w:val="32"/>
    </w:rPr>
  </w:style>
  <w:style w:type="character" w:customStyle="1" w:styleId="164">
    <w:name w:val="Header Char"/>
    <w:qFormat/>
    <w:uiPriority w:val="0"/>
    <w:rPr>
      <w:rFonts w:eastAsia="宋体"/>
      <w:kern w:val="2"/>
      <w:sz w:val="18"/>
      <w:szCs w:val="18"/>
      <w:lang w:val="en-US" w:eastAsia="zh-CN" w:bidi="ar-SA"/>
    </w:rPr>
  </w:style>
  <w:style w:type="character" w:customStyle="1" w:styleId="165">
    <w:name w:val="样式13 Char"/>
    <w:qFormat/>
    <w:uiPriority w:val="0"/>
    <w:rPr>
      <w:sz w:val="20"/>
    </w:rPr>
  </w:style>
  <w:style w:type="character" w:customStyle="1" w:styleId="166">
    <w:name w:val="样式9 Char"/>
    <w:qFormat/>
    <w:uiPriority w:val="0"/>
    <w:rPr>
      <w:sz w:val="20"/>
    </w:rPr>
  </w:style>
  <w:style w:type="character" w:customStyle="1" w:styleId="167">
    <w:name w:val="Char Char6"/>
    <w:qFormat/>
    <w:uiPriority w:val="0"/>
    <w:rPr>
      <w:rFonts w:eastAsia="宋体"/>
      <w:b/>
      <w:bCs/>
      <w:kern w:val="44"/>
      <w:sz w:val="32"/>
      <w:szCs w:val="44"/>
      <w:lang w:val="en-US" w:eastAsia="zh-CN" w:bidi="ar-SA"/>
    </w:rPr>
  </w:style>
  <w:style w:type="character" w:customStyle="1" w:styleId="168">
    <w:name w:val="批注文字 Char1"/>
    <w:qFormat/>
    <w:uiPriority w:val="0"/>
    <w:rPr>
      <w:rFonts w:ascii="Times New Roman" w:hAnsi="Times New Roman" w:eastAsia="宋体" w:cs="Times New Roman"/>
      <w:szCs w:val="24"/>
    </w:rPr>
  </w:style>
  <w:style w:type="character" w:customStyle="1" w:styleId="169">
    <w:name w:val="标题 3 Char1"/>
    <w:qFormat/>
    <w:uiPriority w:val="0"/>
    <w:rPr>
      <w:rFonts w:ascii="Calibri" w:hAnsi="Calibri" w:eastAsia="宋体" w:cs="Arial"/>
      <w:b/>
      <w:kern w:val="0"/>
      <w:sz w:val="32"/>
      <w:szCs w:val="20"/>
    </w:rPr>
  </w:style>
  <w:style w:type="character" w:customStyle="1" w:styleId="170">
    <w:name w:val="tt21"/>
    <w:qFormat/>
    <w:uiPriority w:val="0"/>
    <w:rPr>
      <w:b/>
      <w:sz w:val="20"/>
    </w:rPr>
  </w:style>
  <w:style w:type="character" w:customStyle="1" w:styleId="171">
    <w:name w:val="Heading 4 Char"/>
    <w:qFormat/>
    <w:uiPriority w:val="0"/>
    <w:rPr>
      <w:rFonts w:ascii="Arial" w:hAnsi="Arial" w:eastAsia="宋体"/>
      <w:b/>
      <w:bCs/>
      <w:kern w:val="2"/>
      <w:sz w:val="21"/>
      <w:szCs w:val="28"/>
      <w:lang w:val="en-US" w:eastAsia="zh-CN" w:bidi="ar-SA"/>
    </w:rPr>
  </w:style>
  <w:style w:type="character" w:customStyle="1" w:styleId="172">
    <w:name w:val="Char Char91"/>
    <w:qFormat/>
    <w:uiPriority w:val="0"/>
    <w:rPr>
      <w:rFonts w:eastAsia="宋体"/>
      <w:b/>
      <w:bCs/>
      <w:kern w:val="44"/>
      <w:sz w:val="32"/>
      <w:szCs w:val="44"/>
      <w:lang w:val="en-US" w:eastAsia="zh-CN" w:bidi="ar-SA"/>
    </w:rPr>
  </w:style>
  <w:style w:type="character" w:customStyle="1" w:styleId="173">
    <w:name w:val="批注框文本 Char1"/>
    <w:qFormat/>
    <w:uiPriority w:val="0"/>
    <w:rPr>
      <w:rFonts w:ascii="Times New Roman" w:hAnsi="Times New Roman" w:eastAsia="宋体" w:cs="Times New Roman"/>
      <w:sz w:val="18"/>
      <w:szCs w:val="18"/>
    </w:rPr>
  </w:style>
  <w:style w:type="character" w:customStyle="1" w:styleId="174">
    <w:name w:val="引用 Char1"/>
    <w:qFormat/>
    <w:uiPriority w:val="29"/>
    <w:rPr>
      <w:rFonts w:ascii="Times New Roman" w:hAnsi="Times New Roman" w:eastAsia="宋体" w:cs="Times New Roman"/>
      <w:i/>
      <w:iCs/>
      <w:color w:val="000000"/>
      <w:szCs w:val="24"/>
    </w:rPr>
  </w:style>
  <w:style w:type="character" w:customStyle="1" w:styleId="175">
    <w:name w:val="正文（首行缩进两字） Char Char Char Char Char Char Char Char Char Char Char Char Char Char Char Char Char Char Char Char Char Char Char Char Char Char Char Char Char Char Char Char Char Char Char Char Char Char Char Char Char Char Char Char Char Char"/>
    <w:qFormat/>
    <w:uiPriority w:val="0"/>
    <w:rPr>
      <w:sz w:val="20"/>
    </w:rPr>
  </w:style>
  <w:style w:type="character" w:customStyle="1" w:styleId="176">
    <w:name w:val="Date Char"/>
    <w:qFormat/>
    <w:uiPriority w:val="0"/>
    <w:rPr>
      <w:rFonts w:eastAsia="宋体"/>
      <w:kern w:val="2"/>
      <w:sz w:val="21"/>
      <w:szCs w:val="24"/>
      <w:lang w:val="en-US" w:eastAsia="zh-CN" w:bidi="ar-SA"/>
    </w:rPr>
  </w:style>
  <w:style w:type="character" w:customStyle="1" w:styleId="177">
    <w:name w:val="明显参考1"/>
    <w:qFormat/>
    <w:uiPriority w:val="0"/>
    <w:rPr>
      <w:b/>
      <w:bCs/>
      <w:smallCaps/>
      <w:color w:val="C0504D"/>
      <w:spacing w:val="5"/>
      <w:u w:val="single"/>
    </w:rPr>
  </w:style>
  <w:style w:type="character" w:customStyle="1" w:styleId="178">
    <w:name w:val="Plain Text Char"/>
    <w:qFormat/>
    <w:uiPriority w:val="0"/>
    <w:rPr>
      <w:rFonts w:ascii="宋体" w:hAnsi="Courier New" w:eastAsia="宋体"/>
      <w:sz w:val="24"/>
      <w:lang w:bidi="ar-SA"/>
    </w:rPr>
  </w:style>
  <w:style w:type="character" w:customStyle="1" w:styleId="179">
    <w:name w:val="Comment Text Char1"/>
    <w:qFormat/>
    <w:uiPriority w:val="0"/>
    <w:rPr>
      <w:sz w:val="24"/>
      <w:lang w:bidi="ar-SA"/>
    </w:rPr>
  </w:style>
  <w:style w:type="character" w:customStyle="1" w:styleId="180">
    <w:name w:val="Char Char19"/>
    <w:qFormat/>
    <w:uiPriority w:val="0"/>
    <w:rPr>
      <w:rFonts w:ascii="Arial" w:hAnsi="Arial" w:eastAsia="宋体" w:cs="Times New Roman"/>
      <w:b/>
      <w:bCs/>
      <w:szCs w:val="28"/>
    </w:rPr>
  </w:style>
  <w:style w:type="character" w:customStyle="1" w:styleId="181">
    <w:name w:val="Document Map Char"/>
    <w:qFormat/>
    <w:uiPriority w:val="0"/>
    <w:rPr>
      <w:rFonts w:eastAsia="宋体"/>
      <w:kern w:val="2"/>
      <w:sz w:val="21"/>
      <w:szCs w:val="24"/>
      <w:lang w:val="en-US" w:eastAsia="zh-CN" w:bidi="ar-SA"/>
    </w:rPr>
  </w:style>
  <w:style w:type="character" w:customStyle="1" w:styleId="182">
    <w:name w:val="apple-converted-space"/>
    <w:qFormat/>
    <w:uiPriority w:val="0"/>
    <w:rPr>
      <w:sz w:val="20"/>
    </w:rPr>
  </w:style>
  <w:style w:type="character" w:customStyle="1" w:styleId="183">
    <w:name w:val="正文文本 Char1"/>
    <w:qFormat/>
    <w:uiPriority w:val="0"/>
    <w:rPr>
      <w:kern w:val="2"/>
      <w:sz w:val="21"/>
      <w:szCs w:val="22"/>
    </w:rPr>
  </w:style>
  <w:style w:type="character" w:customStyle="1" w:styleId="184">
    <w:name w:val="标题4 Char Char"/>
    <w:link w:val="185"/>
    <w:qFormat/>
    <w:uiPriority w:val="0"/>
    <w:rPr>
      <w:rFonts w:ascii="Arial" w:hAnsi="Arial"/>
      <w:b/>
      <w:bCs/>
      <w:sz w:val="24"/>
      <w:szCs w:val="32"/>
    </w:rPr>
  </w:style>
  <w:style w:type="paragraph" w:customStyle="1" w:styleId="185">
    <w:name w:val="标题4"/>
    <w:basedOn w:val="4"/>
    <w:next w:val="25"/>
    <w:link w:val="184"/>
    <w:qFormat/>
    <w:uiPriority w:val="0"/>
    <w:pPr>
      <w:spacing w:before="60" w:after="60" w:line="413" w:lineRule="auto"/>
    </w:pPr>
    <w:rPr>
      <w:rFonts w:eastAsia="宋体"/>
      <w:kern w:val="0"/>
      <w:sz w:val="24"/>
    </w:rPr>
  </w:style>
  <w:style w:type="character" w:customStyle="1" w:styleId="186">
    <w:name w:val="Variable"/>
    <w:qFormat/>
    <w:uiPriority w:val="0"/>
    <w:rPr>
      <w:i/>
    </w:rPr>
  </w:style>
  <w:style w:type="character" w:customStyle="1" w:styleId="187">
    <w:name w:val="level1"/>
    <w:qFormat/>
    <w:uiPriority w:val="0"/>
    <w:rPr>
      <w:sz w:val="20"/>
    </w:rPr>
  </w:style>
  <w:style w:type="character" w:customStyle="1" w:styleId="188">
    <w:name w:val="Char Char4"/>
    <w:qFormat/>
    <w:uiPriority w:val="0"/>
    <w:rPr>
      <w:b/>
      <w:sz w:val="20"/>
    </w:rPr>
  </w:style>
  <w:style w:type="character" w:customStyle="1" w:styleId="189">
    <w:name w:val="Char Char5"/>
    <w:qFormat/>
    <w:uiPriority w:val="0"/>
    <w:rPr>
      <w:sz w:val="20"/>
    </w:rPr>
  </w:style>
  <w:style w:type="character" w:customStyle="1" w:styleId="190">
    <w:name w:val="书籍标题1"/>
    <w:qFormat/>
    <w:uiPriority w:val="0"/>
    <w:rPr>
      <w:b/>
      <w:bCs/>
      <w:smallCaps/>
      <w:spacing w:val="5"/>
    </w:rPr>
  </w:style>
  <w:style w:type="character" w:customStyle="1" w:styleId="191">
    <w:name w:val="标题4 Char1"/>
    <w:qFormat/>
    <w:uiPriority w:val="0"/>
    <w:rPr>
      <w:rFonts w:eastAsia="宋体"/>
      <w:sz w:val="24"/>
      <w:szCs w:val="24"/>
      <w:lang w:val="en-US" w:eastAsia="zh-CN" w:bidi="ar-SA"/>
    </w:rPr>
  </w:style>
  <w:style w:type="character" w:customStyle="1" w:styleId="192">
    <w:name w:val="批注文字 Char"/>
    <w:qFormat/>
    <w:uiPriority w:val="0"/>
    <w:rPr>
      <w:kern w:val="2"/>
      <w:sz w:val="21"/>
      <w:szCs w:val="24"/>
    </w:rPr>
  </w:style>
  <w:style w:type="character" w:customStyle="1" w:styleId="193">
    <w:name w:val="样式15 Char"/>
    <w:qFormat/>
    <w:uiPriority w:val="0"/>
    <w:rPr>
      <w:sz w:val="20"/>
    </w:rPr>
  </w:style>
  <w:style w:type="character" w:customStyle="1" w:styleId="194">
    <w:name w:val="Char Char2"/>
    <w:qFormat/>
    <w:uiPriority w:val="0"/>
    <w:rPr>
      <w:sz w:val="20"/>
    </w:rPr>
  </w:style>
  <w:style w:type="character" w:customStyle="1" w:styleId="195">
    <w:name w:val="H2 Char"/>
    <w:qFormat/>
    <w:uiPriority w:val="0"/>
    <w:rPr>
      <w:b/>
      <w:sz w:val="20"/>
    </w:rPr>
  </w:style>
  <w:style w:type="character" w:customStyle="1" w:styleId="196">
    <w:name w:val="HTML 预设格式 Char2"/>
    <w:qFormat/>
    <w:uiPriority w:val="0"/>
    <w:rPr>
      <w:rFonts w:ascii="Courier New" w:hAnsi="Courier New" w:cs="Courier New"/>
      <w:kern w:val="2"/>
    </w:rPr>
  </w:style>
  <w:style w:type="character" w:customStyle="1" w:styleId="197">
    <w:name w:val="Heading 2 Char"/>
    <w:qFormat/>
    <w:uiPriority w:val="0"/>
    <w:rPr>
      <w:rFonts w:ascii="Arial" w:hAnsi="Arial" w:eastAsia="黑体"/>
      <w:b/>
      <w:bCs/>
      <w:kern w:val="2"/>
      <w:sz w:val="32"/>
      <w:szCs w:val="32"/>
      <w:lang w:val="en-US" w:eastAsia="zh-CN" w:bidi="ar-SA"/>
    </w:rPr>
  </w:style>
  <w:style w:type="character" w:customStyle="1" w:styleId="198">
    <w:name w:val="Char Char13"/>
    <w:qFormat/>
    <w:uiPriority w:val="0"/>
    <w:rPr>
      <w:b/>
      <w:sz w:val="20"/>
    </w:rPr>
  </w:style>
  <w:style w:type="character" w:customStyle="1" w:styleId="199">
    <w:name w:val="Char Char7"/>
    <w:qFormat/>
    <w:uiPriority w:val="0"/>
    <w:rPr>
      <w:sz w:val="20"/>
    </w:rPr>
  </w:style>
  <w:style w:type="character" w:customStyle="1" w:styleId="200">
    <w:name w:val="称呼 Char2"/>
    <w:qFormat/>
    <w:uiPriority w:val="0"/>
    <w:rPr>
      <w:kern w:val="2"/>
      <w:sz w:val="21"/>
      <w:szCs w:val="24"/>
    </w:rPr>
  </w:style>
  <w:style w:type="character" w:customStyle="1" w:styleId="201">
    <w:name w:val="正文文本缩进 3 Char2"/>
    <w:qFormat/>
    <w:uiPriority w:val="0"/>
    <w:rPr>
      <w:kern w:val="2"/>
      <w:sz w:val="16"/>
      <w:szCs w:val="16"/>
    </w:rPr>
  </w:style>
  <w:style w:type="character" w:customStyle="1" w:styleId="202">
    <w:name w:val="Char Char9"/>
    <w:qFormat/>
    <w:uiPriority w:val="0"/>
    <w:rPr>
      <w:rFonts w:eastAsia="宋体"/>
      <w:b/>
      <w:bCs/>
      <w:kern w:val="44"/>
      <w:sz w:val="32"/>
      <w:szCs w:val="44"/>
      <w:lang w:val="en-US" w:eastAsia="zh-CN" w:bidi="ar-SA"/>
    </w:rPr>
  </w:style>
  <w:style w:type="character" w:customStyle="1" w:styleId="203">
    <w:name w:val="样式11 Char"/>
    <w:qFormat/>
    <w:uiPriority w:val="0"/>
    <w:rPr>
      <w:sz w:val="20"/>
    </w:rPr>
  </w:style>
  <w:style w:type="character" w:customStyle="1" w:styleId="204">
    <w:name w:val="称呼 Char1"/>
    <w:qFormat/>
    <w:uiPriority w:val="0"/>
    <w:rPr>
      <w:kern w:val="2"/>
      <w:sz w:val="21"/>
      <w:szCs w:val="24"/>
    </w:rPr>
  </w:style>
  <w:style w:type="character" w:customStyle="1" w:styleId="205">
    <w:name w:val="正文缩进 Char1"/>
    <w:qFormat/>
    <w:uiPriority w:val="0"/>
    <w:rPr>
      <w:rFonts w:eastAsia="宋体"/>
      <w:sz w:val="24"/>
      <w:szCs w:val="24"/>
      <w:lang w:val="en-US" w:eastAsia="zh-CN" w:bidi="ar-SA"/>
    </w:rPr>
  </w:style>
  <w:style w:type="character" w:customStyle="1" w:styleId="206">
    <w:name w:val="Body Text Indent Char"/>
    <w:qFormat/>
    <w:uiPriority w:val="0"/>
    <w:rPr>
      <w:rFonts w:ascii="宋体" w:hAnsi="宋体" w:eastAsia="宋体"/>
      <w:kern w:val="2"/>
      <w:sz w:val="21"/>
      <w:lang w:val="en-US" w:eastAsia="zh-CN" w:bidi="ar-SA"/>
    </w:rPr>
  </w:style>
  <w:style w:type="character" w:customStyle="1" w:styleId="207">
    <w:name w:val="标题5 Char Char"/>
    <w:link w:val="208"/>
    <w:qFormat/>
    <w:uiPriority w:val="0"/>
    <w:rPr>
      <w:rFonts w:ascii="Arial" w:hAnsi="Arial"/>
      <w:b/>
      <w:bCs/>
      <w:sz w:val="24"/>
      <w:szCs w:val="32"/>
    </w:rPr>
  </w:style>
  <w:style w:type="paragraph" w:customStyle="1" w:styleId="208">
    <w:name w:val="标题5"/>
    <w:basedOn w:val="5"/>
    <w:link w:val="207"/>
    <w:qFormat/>
    <w:uiPriority w:val="0"/>
    <w:pPr>
      <w:spacing w:line="413" w:lineRule="auto"/>
    </w:pPr>
    <w:rPr>
      <w:rFonts w:ascii="Arial" w:hAnsi="Arial"/>
      <w:kern w:val="0"/>
      <w:sz w:val="24"/>
    </w:rPr>
  </w:style>
  <w:style w:type="character" w:customStyle="1" w:styleId="209">
    <w:name w:val="H1 Char"/>
    <w:qFormat/>
    <w:uiPriority w:val="0"/>
    <w:rPr>
      <w:b/>
      <w:sz w:val="20"/>
    </w:rPr>
  </w:style>
  <w:style w:type="character" w:customStyle="1" w:styleId="210">
    <w:name w:val="纯文本 Char1"/>
    <w:qFormat/>
    <w:uiPriority w:val="0"/>
    <w:rPr>
      <w:rFonts w:ascii="宋体" w:hAnsi="Courier New" w:eastAsia="宋体" w:cs="Courier New"/>
      <w:szCs w:val="21"/>
    </w:rPr>
  </w:style>
  <w:style w:type="character" w:customStyle="1" w:styleId="211">
    <w:name w:val="正文首行缩进 Char"/>
    <w:qFormat/>
    <w:uiPriority w:val="0"/>
    <w:rPr>
      <w:sz w:val="20"/>
    </w:rPr>
  </w:style>
  <w:style w:type="character" w:customStyle="1" w:styleId="212">
    <w:name w:val="正文文本 2 Char2"/>
    <w:qFormat/>
    <w:uiPriority w:val="0"/>
    <w:rPr>
      <w:kern w:val="2"/>
      <w:sz w:val="21"/>
      <w:szCs w:val="24"/>
    </w:rPr>
  </w:style>
  <w:style w:type="character" w:customStyle="1" w:styleId="213">
    <w:name w:val="Footnote Text Char"/>
    <w:qFormat/>
    <w:uiPriority w:val="0"/>
    <w:rPr>
      <w:rFonts w:eastAsia="宋体"/>
      <w:sz w:val="18"/>
      <w:lang w:val="en-US" w:eastAsia="zh-CN" w:bidi="ar-SA"/>
    </w:rPr>
  </w:style>
  <w:style w:type="character" w:customStyle="1" w:styleId="214">
    <w:name w:val="正文首行缩进 Char2"/>
    <w:qFormat/>
    <w:uiPriority w:val="0"/>
    <w:rPr>
      <w:rFonts w:eastAsia="宋体"/>
      <w:kern w:val="2"/>
      <w:sz w:val="21"/>
      <w:szCs w:val="24"/>
      <w:lang w:val="en-US" w:eastAsia="zh-CN" w:bidi="ar-SA"/>
    </w:rPr>
  </w:style>
  <w:style w:type="character" w:customStyle="1" w:styleId="215">
    <w:name w:val="bigfont"/>
    <w:qFormat/>
    <w:uiPriority w:val="0"/>
    <w:rPr>
      <w:sz w:val="20"/>
    </w:rPr>
  </w:style>
  <w:style w:type="character" w:customStyle="1" w:styleId="216">
    <w:name w:val="文档结构图 Char1"/>
    <w:qFormat/>
    <w:uiPriority w:val="0"/>
    <w:rPr>
      <w:rFonts w:ascii="宋体" w:hAnsi="Times New Roman" w:eastAsia="宋体" w:cs="Times New Roman"/>
      <w:sz w:val="18"/>
      <w:szCs w:val="18"/>
    </w:rPr>
  </w:style>
  <w:style w:type="character" w:customStyle="1" w:styleId="217">
    <w:name w:val="Heading 3 Char1"/>
    <w:qFormat/>
    <w:uiPriority w:val="0"/>
    <w:rPr>
      <w:rFonts w:eastAsia="宋体"/>
      <w:b/>
      <w:bCs/>
      <w:kern w:val="2"/>
      <w:sz w:val="24"/>
      <w:szCs w:val="32"/>
      <w:lang w:val="en-US" w:eastAsia="zh-CN" w:bidi="ar-SA"/>
    </w:rPr>
  </w:style>
  <w:style w:type="character" w:customStyle="1" w:styleId="218">
    <w:name w:val="Char Char21"/>
    <w:qFormat/>
    <w:uiPriority w:val="0"/>
    <w:rPr>
      <w:rFonts w:ascii="Arial" w:hAnsi="Arial" w:eastAsia="黑体" w:cs="Times New Roman"/>
      <w:b/>
      <w:bCs/>
      <w:sz w:val="32"/>
      <w:szCs w:val="32"/>
    </w:rPr>
  </w:style>
  <w:style w:type="character" w:customStyle="1" w:styleId="219">
    <w:name w:val="Char Char14"/>
    <w:qFormat/>
    <w:uiPriority w:val="0"/>
    <w:rPr>
      <w:sz w:val="20"/>
    </w:rPr>
  </w:style>
  <w:style w:type="character" w:customStyle="1" w:styleId="220">
    <w:name w:val="Char Char20"/>
    <w:qFormat/>
    <w:uiPriority w:val="0"/>
    <w:rPr>
      <w:rFonts w:ascii="Times New Roman" w:hAnsi="Times New Roman" w:eastAsia="宋体" w:cs="Times New Roman"/>
      <w:b/>
      <w:bCs/>
      <w:sz w:val="24"/>
      <w:szCs w:val="32"/>
    </w:rPr>
  </w:style>
  <w:style w:type="character" w:customStyle="1" w:styleId="221">
    <w:name w:val="不明显强调1"/>
    <w:qFormat/>
    <w:uiPriority w:val="0"/>
    <w:rPr>
      <w:i/>
      <w:iCs/>
      <w:color w:val="808080"/>
    </w:rPr>
  </w:style>
  <w:style w:type="character" w:customStyle="1" w:styleId="222">
    <w:name w:val="Char Char23"/>
    <w:qFormat/>
    <w:uiPriority w:val="0"/>
    <w:rPr>
      <w:rFonts w:eastAsia="宋体"/>
      <w:b/>
      <w:bCs/>
      <w:kern w:val="44"/>
      <w:sz w:val="32"/>
      <w:szCs w:val="44"/>
      <w:lang w:val="en-US" w:eastAsia="zh-CN" w:bidi="ar-SA"/>
    </w:rPr>
  </w:style>
  <w:style w:type="character" w:customStyle="1" w:styleId="223">
    <w:name w:val="明显引用 字符"/>
    <w:link w:val="224"/>
    <w:qFormat/>
    <w:uiPriority w:val="0"/>
    <w:rPr>
      <w:b/>
      <w:bCs/>
      <w:i/>
      <w:iCs/>
      <w:color w:val="4F81BD"/>
    </w:rPr>
  </w:style>
  <w:style w:type="paragraph" w:styleId="224">
    <w:name w:val="Intense Quote"/>
    <w:basedOn w:val="1"/>
    <w:next w:val="1"/>
    <w:link w:val="223"/>
    <w:qFormat/>
    <w:uiPriority w:val="0"/>
    <w:pPr>
      <w:pBdr>
        <w:bottom w:val="single" w:color="4F81BD" w:sz="4" w:space="4"/>
      </w:pBdr>
      <w:spacing w:before="200" w:after="280"/>
      <w:ind w:left="936" w:right="936"/>
    </w:pPr>
    <w:rPr>
      <w:b/>
      <w:bCs/>
      <w:i/>
      <w:iCs/>
      <w:color w:val="4F81BD"/>
      <w:kern w:val="0"/>
      <w:sz w:val="20"/>
      <w:szCs w:val="20"/>
    </w:rPr>
  </w:style>
  <w:style w:type="character" w:customStyle="1" w:styleId="225">
    <w:name w:val="明显引用 字符1"/>
    <w:basedOn w:val="59"/>
    <w:qFormat/>
    <w:uiPriority w:val="30"/>
    <w:rPr>
      <w:i/>
      <w:iCs/>
      <w:color w:val="5B9BD5" w:themeColor="accent1"/>
      <w:kern w:val="2"/>
      <w:sz w:val="21"/>
      <w:szCs w:val="24"/>
      <w14:textFill>
        <w14:solidFill>
          <w14:schemeClr w14:val="accent1"/>
        </w14:solidFill>
      </w14:textFill>
    </w:rPr>
  </w:style>
  <w:style w:type="character" w:customStyle="1" w:styleId="226">
    <w:name w:val="正文首行缩进 Char3"/>
    <w:qFormat/>
    <w:uiPriority w:val="0"/>
    <w:rPr>
      <w:rFonts w:eastAsia="宋体"/>
      <w:kern w:val="2"/>
      <w:sz w:val="21"/>
      <w:szCs w:val="24"/>
      <w:lang w:val="en-US" w:eastAsia="zh-CN" w:bidi="ar-SA"/>
    </w:rPr>
  </w:style>
  <w:style w:type="character" w:customStyle="1" w:styleId="227">
    <w:name w:val="Char Char22"/>
    <w:qFormat/>
    <w:uiPriority w:val="0"/>
    <w:rPr>
      <w:rFonts w:ascii="Times New Roman" w:hAnsi="Times New Roman" w:eastAsia="宋体" w:cs="Times New Roman"/>
      <w:b/>
      <w:bCs/>
      <w:kern w:val="44"/>
      <w:sz w:val="32"/>
      <w:szCs w:val="44"/>
    </w:rPr>
  </w:style>
  <w:style w:type="character" w:customStyle="1" w:styleId="228">
    <w:name w:val="普通文字 Char2"/>
    <w:semiHidden/>
    <w:qFormat/>
    <w:uiPriority w:val="0"/>
    <w:rPr>
      <w:sz w:val="20"/>
    </w:rPr>
  </w:style>
  <w:style w:type="character" w:customStyle="1" w:styleId="229">
    <w:name w:val="Char Char Char Char Char Char1"/>
    <w:qFormat/>
    <w:uiPriority w:val="0"/>
    <w:rPr>
      <w:rFonts w:eastAsia="宋体"/>
      <w:kern w:val="2"/>
      <w:sz w:val="21"/>
      <w:szCs w:val="24"/>
      <w:lang w:val="en-US" w:eastAsia="zh-CN" w:bidi="ar-SA"/>
    </w:rPr>
  </w:style>
  <w:style w:type="character" w:customStyle="1" w:styleId="230">
    <w:name w:val="正文文本缩进 3 Char1"/>
    <w:qFormat/>
    <w:uiPriority w:val="0"/>
    <w:rPr>
      <w:kern w:val="2"/>
      <w:sz w:val="16"/>
      <w:szCs w:val="16"/>
    </w:rPr>
  </w:style>
  <w:style w:type="character" w:customStyle="1" w:styleId="231">
    <w:name w:val="HTML 预设格式 Char3"/>
    <w:qFormat/>
    <w:uiPriority w:val="0"/>
    <w:rPr>
      <w:rFonts w:ascii="Courier New" w:hAnsi="Courier New" w:cs="Courier New"/>
      <w:kern w:val="2"/>
    </w:rPr>
  </w:style>
  <w:style w:type="character" w:customStyle="1" w:styleId="232">
    <w:name w:val="批注主题 Char1"/>
    <w:qFormat/>
    <w:uiPriority w:val="0"/>
    <w:rPr>
      <w:rFonts w:ascii="Times New Roman" w:hAnsi="Times New Roman" w:eastAsia="宋体" w:cs="Times New Roman"/>
      <w:b/>
      <w:bCs/>
      <w:szCs w:val="24"/>
    </w:rPr>
  </w:style>
  <w:style w:type="character" w:customStyle="1" w:styleId="233">
    <w:name w:val="Heading 5 Char"/>
    <w:qFormat/>
    <w:uiPriority w:val="0"/>
    <w:rPr>
      <w:rFonts w:eastAsia="宋体"/>
      <w:b/>
      <w:bCs/>
      <w:kern w:val="2"/>
      <w:sz w:val="28"/>
      <w:szCs w:val="28"/>
      <w:lang w:val="en-US" w:eastAsia="zh-CN" w:bidi="ar-SA"/>
    </w:rPr>
  </w:style>
  <w:style w:type="character" w:customStyle="1" w:styleId="234">
    <w:name w:val="Char Char181"/>
    <w:qFormat/>
    <w:uiPriority w:val="0"/>
    <w:rPr>
      <w:b/>
      <w:bCs/>
      <w:kern w:val="44"/>
      <w:sz w:val="44"/>
      <w:szCs w:val="44"/>
    </w:rPr>
  </w:style>
  <w:style w:type="character" w:customStyle="1" w:styleId="235">
    <w:name w:val="标题 1 Char1"/>
    <w:qFormat/>
    <w:uiPriority w:val="0"/>
    <w:rPr>
      <w:rFonts w:ascii="Calibri" w:hAnsi="Calibri" w:eastAsia="宋体" w:cs="Arial"/>
      <w:b/>
      <w:kern w:val="44"/>
      <w:sz w:val="44"/>
      <w:szCs w:val="20"/>
    </w:rPr>
  </w:style>
  <w:style w:type="character" w:customStyle="1" w:styleId="236">
    <w:name w:val="样式 标题 3h3section:3Level 3 HeadH3level_3PIM 33rd level3H... Char"/>
    <w:qFormat/>
    <w:uiPriority w:val="0"/>
    <w:rPr>
      <w:b/>
      <w:sz w:val="20"/>
    </w:rPr>
  </w:style>
  <w:style w:type="character" w:customStyle="1" w:styleId="237">
    <w:name w:val="Body Text Indent 2 Char"/>
    <w:qFormat/>
    <w:uiPriority w:val="0"/>
    <w:rPr>
      <w:rFonts w:eastAsia="宋体"/>
      <w:kern w:val="2"/>
      <w:sz w:val="21"/>
      <w:szCs w:val="24"/>
      <w:lang w:val="en-US" w:eastAsia="zh-CN" w:bidi="ar-SA"/>
    </w:rPr>
  </w:style>
  <w:style w:type="character" w:customStyle="1" w:styleId="238">
    <w:name w:val="标题 2 Char1"/>
    <w:qFormat/>
    <w:uiPriority w:val="0"/>
    <w:rPr>
      <w:rFonts w:ascii="Arial" w:hAnsi="Arial" w:eastAsia="黑体" w:cs="Calibri"/>
      <w:b/>
      <w:kern w:val="0"/>
      <w:sz w:val="32"/>
      <w:szCs w:val="20"/>
    </w:rPr>
  </w:style>
  <w:style w:type="character" w:customStyle="1" w:styleId="239">
    <w:name w:val="Char Char3"/>
    <w:qFormat/>
    <w:uiPriority w:val="0"/>
    <w:rPr>
      <w:sz w:val="20"/>
    </w:rPr>
  </w:style>
  <w:style w:type="character" w:customStyle="1" w:styleId="240">
    <w:name w:val="样式 标题 1 + (中文) 黑体 小二 非加粗 Char"/>
    <w:link w:val="241"/>
    <w:qFormat/>
    <w:uiPriority w:val="0"/>
    <w:rPr>
      <w:rFonts w:eastAsia="黑体"/>
      <w:kern w:val="44"/>
      <w:sz w:val="36"/>
      <w:szCs w:val="44"/>
    </w:rPr>
  </w:style>
  <w:style w:type="paragraph" w:customStyle="1" w:styleId="241">
    <w:name w:val="样式 标题 1 + (中文) 黑体 小二 非加粗"/>
    <w:basedOn w:val="3"/>
    <w:link w:val="240"/>
    <w:qFormat/>
    <w:uiPriority w:val="0"/>
    <w:pPr>
      <w:spacing w:line="576" w:lineRule="auto"/>
      <w:jc w:val="center"/>
    </w:pPr>
    <w:rPr>
      <w:rFonts w:eastAsia="黑体"/>
      <w:b w:val="0"/>
      <w:bCs w:val="0"/>
      <w:sz w:val="36"/>
    </w:rPr>
  </w:style>
  <w:style w:type="paragraph" w:customStyle="1" w:styleId="242">
    <w:name w:val="正文1"/>
    <w:next w:val="243"/>
    <w:qFormat/>
    <w:uiPriority w:val="0"/>
    <w:pPr>
      <w:widowControl w:val="0"/>
      <w:spacing w:line="315" w:lineRule="atLeast"/>
      <w:jc w:val="both"/>
    </w:pPr>
    <w:rPr>
      <w:rFonts w:ascii="宋体" w:hAnsi="宋体" w:eastAsia="宋体" w:cs="宋体"/>
      <w:sz w:val="24"/>
      <w:lang w:val="en-US" w:eastAsia="zh-CN" w:bidi="ar-SA"/>
    </w:rPr>
  </w:style>
  <w:style w:type="paragraph" w:customStyle="1" w:styleId="243">
    <w:name w:val="Char"/>
    <w:basedOn w:val="1"/>
    <w:qFormat/>
    <w:uiPriority w:val="0"/>
    <w:pPr>
      <w:widowControl/>
      <w:spacing w:after="160" w:line="240" w:lineRule="exact"/>
      <w:jc w:val="left"/>
    </w:pPr>
  </w:style>
  <w:style w:type="paragraph" w:customStyle="1" w:styleId="244">
    <w:name w:val="样式 (中文) 黑体 小二 加粗 居中 行距: 1.5 倍行距"/>
    <w:basedOn w:val="3"/>
    <w:next w:val="245"/>
    <w:qFormat/>
    <w:uiPriority w:val="0"/>
    <w:pPr>
      <w:keepNext w:val="0"/>
      <w:keepLines w:val="0"/>
      <w:spacing w:line="240" w:lineRule="auto"/>
      <w:jc w:val="center"/>
    </w:pPr>
    <w:rPr>
      <w:rFonts w:hAnsi="宋体" w:eastAsia="黑体" w:cs="宋体"/>
      <w:b w:val="0"/>
      <w:bCs w:val="0"/>
      <w:kern w:val="0"/>
      <w:sz w:val="36"/>
      <w:szCs w:val="20"/>
    </w:rPr>
  </w:style>
  <w:style w:type="paragraph" w:customStyle="1" w:styleId="245">
    <w:name w:val="样式6"/>
    <w:next w:val="1"/>
    <w:qFormat/>
    <w:uiPriority w:val="0"/>
    <w:pPr>
      <w:widowControl w:val="0"/>
      <w:jc w:val="both"/>
    </w:pPr>
    <w:rPr>
      <w:rFonts w:ascii="Times New Roman" w:hAnsi="宋体" w:eastAsia="仿宋_GB2312" w:cs="宋体"/>
      <w:sz w:val="28"/>
      <w:lang w:val="en-US" w:eastAsia="zh-CN" w:bidi="ar-SA"/>
    </w:rPr>
  </w:style>
  <w:style w:type="paragraph" w:customStyle="1" w:styleId="246">
    <w:name w:val="修订1"/>
    <w:qFormat/>
    <w:uiPriority w:val="0"/>
    <w:rPr>
      <w:rFonts w:ascii="Times New Roman" w:hAnsi="Times New Roman" w:eastAsia="宋体" w:cs="Times New Roman"/>
      <w:kern w:val="2"/>
      <w:sz w:val="21"/>
      <w:szCs w:val="24"/>
      <w:lang w:val="en-US" w:eastAsia="zh-CN" w:bidi="ar-SA"/>
    </w:rPr>
  </w:style>
  <w:style w:type="paragraph" w:customStyle="1" w:styleId="247">
    <w:name w:val="xl162"/>
    <w:basedOn w:val="1"/>
    <w:next w:val="1"/>
    <w:qFormat/>
    <w:uiPriority w:val="0"/>
    <w:pPr>
      <w:widowControl/>
      <w:spacing w:before="280" w:after="280"/>
    </w:pPr>
    <w:rPr>
      <w:rFonts w:ascii="宋体" w:hAnsi="宋体" w:cs="宋体"/>
      <w:color w:val="000000"/>
      <w:kern w:val="0"/>
      <w:sz w:val="18"/>
      <w:szCs w:val="20"/>
    </w:rPr>
  </w:style>
  <w:style w:type="paragraph" w:customStyle="1" w:styleId="248">
    <w:name w:val="xl139"/>
    <w:basedOn w:val="1"/>
    <w:next w:val="249"/>
    <w:qFormat/>
    <w:uiPriority w:val="0"/>
    <w:pPr>
      <w:widowControl/>
      <w:spacing w:before="280" w:after="280"/>
    </w:pPr>
    <w:rPr>
      <w:rFonts w:ascii="宋体" w:hAnsi="宋体" w:cs="宋体"/>
      <w:kern w:val="0"/>
      <w:sz w:val="20"/>
      <w:szCs w:val="20"/>
    </w:rPr>
  </w:style>
  <w:style w:type="paragraph" w:customStyle="1" w:styleId="249">
    <w:name w:val="xl134"/>
    <w:basedOn w:val="1"/>
    <w:next w:val="250"/>
    <w:qFormat/>
    <w:uiPriority w:val="0"/>
    <w:pPr>
      <w:widowControl/>
      <w:spacing w:before="280" w:after="280"/>
      <w:jc w:val="center"/>
    </w:pPr>
    <w:rPr>
      <w:rFonts w:ascii="宋体" w:hAnsi="宋体" w:cs="宋体"/>
      <w:kern w:val="0"/>
      <w:sz w:val="20"/>
      <w:szCs w:val="20"/>
    </w:rPr>
  </w:style>
  <w:style w:type="paragraph" w:customStyle="1" w:styleId="250">
    <w:name w:val="xl164"/>
    <w:basedOn w:val="1"/>
    <w:next w:val="251"/>
    <w:qFormat/>
    <w:uiPriority w:val="0"/>
    <w:pPr>
      <w:widowControl/>
      <w:spacing w:before="280" w:after="280"/>
      <w:jc w:val="center"/>
    </w:pPr>
    <w:rPr>
      <w:rFonts w:ascii="宋体" w:hAnsi="宋体" w:cs="宋体"/>
      <w:color w:val="000000"/>
      <w:kern w:val="0"/>
      <w:sz w:val="20"/>
      <w:szCs w:val="20"/>
    </w:rPr>
  </w:style>
  <w:style w:type="paragraph" w:customStyle="1" w:styleId="251">
    <w:name w:val="_Style 16"/>
    <w:basedOn w:val="1"/>
    <w:next w:val="252"/>
    <w:qFormat/>
    <w:uiPriority w:val="0"/>
    <w:pPr>
      <w:widowControl/>
      <w:spacing w:line="400" w:lineRule="exact"/>
      <w:jc w:val="center"/>
    </w:pPr>
    <w:rPr>
      <w:rFonts w:hAnsi="宋体" w:cs="宋体"/>
      <w:kern w:val="0"/>
      <w:szCs w:val="20"/>
    </w:rPr>
  </w:style>
  <w:style w:type="paragraph" w:customStyle="1" w:styleId="252">
    <w:name w:val="xl142"/>
    <w:basedOn w:val="1"/>
    <w:next w:val="1"/>
    <w:qFormat/>
    <w:uiPriority w:val="0"/>
    <w:pPr>
      <w:widowControl/>
      <w:spacing w:before="280" w:after="280"/>
      <w:jc w:val="center"/>
    </w:pPr>
    <w:rPr>
      <w:rFonts w:ascii="宋体" w:hAnsi="宋体" w:cs="宋体"/>
      <w:color w:val="000000"/>
      <w:kern w:val="0"/>
      <w:sz w:val="20"/>
      <w:szCs w:val="20"/>
    </w:rPr>
  </w:style>
  <w:style w:type="paragraph" w:customStyle="1" w:styleId="253">
    <w:name w:val="正文段"/>
    <w:basedOn w:val="1"/>
    <w:next w:val="254"/>
    <w:qFormat/>
    <w:uiPriority w:val="0"/>
    <w:pPr>
      <w:spacing w:after="240" w:line="312" w:lineRule="atLeast"/>
      <w:ind w:firstLine="425"/>
    </w:pPr>
    <w:rPr>
      <w:rFonts w:hAnsi="宋体" w:cs="宋体"/>
      <w:kern w:val="0"/>
      <w:sz w:val="24"/>
      <w:szCs w:val="20"/>
    </w:rPr>
  </w:style>
  <w:style w:type="paragraph" w:customStyle="1" w:styleId="254">
    <w:name w:val="列出段落1"/>
    <w:basedOn w:val="1"/>
    <w:qFormat/>
    <w:uiPriority w:val="0"/>
    <w:pPr>
      <w:ind w:firstLine="420" w:firstLineChars="200"/>
    </w:pPr>
    <w:rPr>
      <w:rFonts w:ascii="Calibri" w:hAnsi="Calibri"/>
      <w:szCs w:val="22"/>
    </w:rPr>
  </w:style>
  <w:style w:type="paragraph" w:customStyle="1" w:styleId="255">
    <w:name w:val="空半行"/>
    <w:basedOn w:val="1"/>
    <w:qFormat/>
    <w:uiPriority w:val="0"/>
    <w:pPr>
      <w:adjustRightInd w:val="0"/>
      <w:spacing w:line="120" w:lineRule="exact"/>
      <w:textAlignment w:val="baseline"/>
    </w:pPr>
    <w:rPr>
      <w:rFonts w:eastAsia="仿宋_GB2312"/>
      <w:color w:val="FFFFFF"/>
      <w:kern w:val="0"/>
      <w:sz w:val="30"/>
      <w:szCs w:val="20"/>
    </w:rPr>
  </w:style>
  <w:style w:type="paragraph" w:customStyle="1" w:styleId="256">
    <w:name w:val="正文_1"/>
    <w:qFormat/>
    <w:uiPriority w:val="0"/>
    <w:rPr>
      <w:rFonts w:ascii="Times New Roman" w:hAnsi="Times New Roman" w:eastAsia="宋体" w:cs="Times New Roman"/>
      <w:sz w:val="21"/>
      <w:szCs w:val="22"/>
      <w:lang w:val="en-US" w:eastAsia="zh-CN" w:bidi="ar-SA"/>
    </w:rPr>
  </w:style>
  <w:style w:type="paragraph" w:customStyle="1" w:styleId="257">
    <w:name w:val="xl154"/>
    <w:basedOn w:val="1"/>
    <w:next w:val="258"/>
    <w:qFormat/>
    <w:uiPriority w:val="0"/>
    <w:pPr>
      <w:widowControl/>
      <w:shd w:val="clear" w:color="000000" w:fill="C0C0C0"/>
      <w:spacing w:before="280" w:after="280"/>
    </w:pPr>
    <w:rPr>
      <w:rFonts w:ascii="宋体" w:hAnsi="宋体" w:cs="宋体"/>
      <w:kern w:val="0"/>
      <w:sz w:val="20"/>
      <w:szCs w:val="20"/>
    </w:rPr>
  </w:style>
  <w:style w:type="paragraph" w:customStyle="1" w:styleId="258">
    <w:name w:val="样式3"/>
    <w:basedOn w:val="5"/>
    <w:next w:val="1"/>
    <w:qFormat/>
    <w:uiPriority w:val="0"/>
    <w:pPr>
      <w:keepNext w:val="0"/>
      <w:keepLines w:val="0"/>
      <w:spacing w:line="240" w:lineRule="auto"/>
      <w:jc w:val="center"/>
    </w:pPr>
    <w:rPr>
      <w:rFonts w:hAnsi="宋体" w:eastAsia="黑体" w:cs="宋体"/>
      <w:bCs w:val="0"/>
      <w:kern w:val="0"/>
      <w:szCs w:val="20"/>
    </w:rPr>
  </w:style>
  <w:style w:type="paragraph" w:customStyle="1" w:styleId="259">
    <w:name w:val="样式10"/>
    <w:next w:val="260"/>
    <w:qFormat/>
    <w:uiPriority w:val="0"/>
    <w:pPr>
      <w:widowControl w:val="0"/>
      <w:jc w:val="center"/>
    </w:pPr>
    <w:rPr>
      <w:rFonts w:ascii="Times New Roman" w:hAnsi="宋体" w:eastAsia="宋体" w:cs="宋体"/>
      <w:sz w:val="18"/>
      <w:lang w:val="en-US" w:eastAsia="zh-CN" w:bidi="ar-SA"/>
    </w:rPr>
  </w:style>
  <w:style w:type="paragraph" w:customStyle="1" w:styleId="260">
    <w:name w:val="Char Char Char Char Char Char Char Char Char Char"/>
    <w:basedOn w:val="1"/>
    <w:next w:val="25"/>
    <w:qFormat/>
    <w:uiPriority w:val="0"/>
    <w:pPr>
      <w:widowControl/>
      <w:spacing w:line="400" w:lineRule="exact"/>
      <w:jc w:val="center"/>
    </w:pPr>
    <w:rPr>
      <w:rFonts w:ascii="Verdana" w:hAnsi="宋体" w:cs="宋体"/>
      <w:kern w:val="0"/>
      <w:szCs w:val="20"/>
    </w:rPr>
  </w:style>
  <w:style w:type="paragraph" w:customStyle="1" w:styleId="261">
    <w:name w:val="标题 4_0"/>
    <w:basedOn w:val="28"/>
    <w:next w:val="28"/>
    <w:qFormat/>
    <w:uiPriority w:val="0"/>
    <w:pPr>
      <w:keepNext/>
      <w:keepLines/>
      <w:spacing w:before="280" w:after="290" w:line="372" w:lineRule="auto"/>
      <w:outlineLvl w:val="3"/>
    </w:pPr>
    <w:rPr>
      <w:rFonts w:ascii="Cambria" w:hAnsi="Cambria"/>
      <w:b/>
      <w:bCs/>
      <w:sz w:val="28"/>
      <w:szCs w:val="28"/>
    </w:rPr>
  </w:style>
  <w:style w:type="paragraph" w:customStyle="1" w:styleId="262">
    <w:name w:val="Char11"/>
    <w:basedOn w:val="1"/>
    <w:next w:val="263"/>
    <w:qFormat/>
    <w:uiPriority w:val="0"/>
    <w:pPr>
      <w:widowControl/>
      <w:spacing w:line="400" w:lineRule="exact"/>
      <w:jc w:val="center"/>
    </w:pPr>
    <w:rPr>
      <w:rFonts w:hAnsi="宋体" w:cs="宋体"/>
      <w:kern w:val="0"/>
      <w:szCs w:val="20"/>
    </w:rPr>
  </w:style>
  <w:style w:type="paragraph" w:customStyle="1" w:styleId="263">
    <w:name w:val="TOC 51"/>
    <w:next w:val="1"/>
    <w:qFormat/>
    <w:uiPriority w:val="0"/>
    <w:pPr>
      <w:wordWrap w:val="0"/>
      <w:ind w:left="1700"/>
      <w:jc w:val="both"/>
    </w:pPr>
    <w:rPr>
      <w:rFonts w:ascii="宋体" w:hAnsi="宋体" w:eastAsia="宋体" w:cs="宋体"/>
      <w:sz w:val="21"/>
      <w:lang w:val="en-US" w:eastAsia="zh-CN" w:bidi="ar-SA"/>
    </w:rPr>
  </w:style>
  <w:style w:type="paragraph" w:customStyle="1" w:styleId="264">
    <w:name w:val="Char Char11"/>
    <w:basedOn w:val="1"/>
    <w:qFormat/>
    <w:uiPriority w:val="0"/>
  </w:style>
  <w:style w:type="paragraph" w:customStyle="1" w:styleId="265">
    <w:name w:val="xl165"/>
    <w:basedOn w:val="1"/>
    <w:next w:val="266"/>
    <w:qFormat/>
    <w:uiPriority w:val="0"/>
    <w:pPr>
      <w:widowControl/>
      <w:spacing w:before="280" w:after="280"/>
    </w:pPr>
    <w:rPr>
      <w:rFonts w:ascii="宋体" w:hAnsi="宋体" w:cs="宋体"/>
      <w:kern w:val="0"/>
      <w:sz w:val="18"/>
      <w:szCs w:val="20"/>
    </w:rPr>
  </w:style>
  <w:style w:type="paragraph" w:customStyle="1" w:styleId="266">
    <w:name w:val="样式 标题 3 + (中文) 黑体 小四 非加粗 段前: 7.8 磅 段后: 0 磅 行距: 固定值 20 磅"/>
    <w:basedOn w:val="5"/>
    <w:qFormat/>
    <w:uiPriority w:val="0"/>
    <w:pPr>
      <w:spacing w:before="0" w:after="0" w:line="400" w:lineRule="exact"/>
    </w:pPr>
    <w:rPr>
      <w:rFonts w:eastAsia="黑体" w:cs="宋体"/>
      <w:b w:val="0"/>
      <w:bCs w:val="0"/>
      <w:sz w:val="21"/>
      <w:szCs w:val="20"/>
    </w:rPr>
  </w:style>
  <w:style w:type="paragraph" w:customStyle="1" w:styleId="267">
    <w:name w:val="Char Char Char"/>
    <w:basedOn w:val="1"/>
    <w:next w:val="268"/>
    <w:qFormat/>
    <w:uiPriority w:val="0"/>
    <w:pPr>
      <w:ind w:left="420" w:hanging="420"/>
    </w:pPr>
    <w:rPr>
      <w:rFonts w:ascii="Tahoma" w:hAnsi="宋体" w:cs="宋体"/>
      <w:kern w:val="0"/>
      <w:sz w:val="24"/>
      <w:szCs w:val="20"/>
    </w:rPr>
  </w:style>
  <w:style w:type="paragraph" w:customStyle="1" w:styleId="268">
    <w:name w:val="xl144"/>
    <w:basedOn w:val="1"/>
    <w:next w:val="269"/>
    <w:qFormat/>
    <w:uiPriority w:val="0"/>
    <w:pPr>
      <w:widowControl/>
      <w:spacing w:before="280" w:after="280"/>
      <w:jc w:val="center"/>
    </w:pPr>
    <w:rPr>
      <w:rFonts w:ascii="宋体" w:hAnsi="宋体" w:cs="宋体"/>
      <w:kern w:val="0"/>
      <w:sz w:val="20"/>
      <w:szCs w:val="20"/>
    </w:rPr>
  </w:style>
  <w:style w:type="paragraph" w:customStyle="1" w:styleId="269">
    <w:name w:val="font11"/>
    <w:basedOn w:val="1"/>
    <w:next w:val="270"/>
    <w:qFormat/>
    <w:uiPriority w:val="0"/>
    <w:pPr>
      <w:widowControl/>
      <w:spacing w:before="280" w:after="280"/>
    </w:pPr>
    <w:rPr>
      <w:rFonts w:ascii="宋体" w:hAnsi="宋体" w:cs="宋体"/>
      <w:kern w:val="0"/>
      <w:sz w:val="18"/>
      <w:szCs w:val="20"/>
    </w:rPr>
  </w:style>
  <w:style w:type="paragraph" w:customStyle="1" w:styleId="270">
    <w:name w:val="msoquote"/>
    <w:basedOn w:val="1"/>
    <w:next w:val="1"/>
    <w:qFormat/>
    <w:uiPriority w:val="0"/>
    <w:rPr>
      <w:rFonts w:hAnsi="宋体" w:cs="宋体"/>
      <w:i/>
      <w:color w:val="000000"/>
      <w:kern w:val="0"/>
      <w:szCs w:val="20"/>
    </w:rPr>
  </w:style>
  <w:style w:type="paragraph" w:customStyle="1" w:styleId="271">
    <w:name w:val="xl132"/>
    <w:basedOn w:val="1"/>
    <w:next w:val="1"/>
    <w:qFormat/>
    <w:uiPriority w:val="0"/>
    <w:pPr>
      <w:widowControl/>
      <w:shd w:val="clear" w:color="000000" w:fill="0066CC"/>
      <w:spacing w:before="280" w:after="280"/>
      <w:jc w:val="center"/>
    </w:pPr>
    <w:rPr>
      <w:rFonts w:ascii="宋体" w:hAnsi="宋体" w:cs="宋体"/>
      <w:kern w:val="0"/>
      <w:sz w:val="20"/>
      <w:szCs w:val="20"/>
    </w:rPr>
  </w:style>
  <w:style w:type="paragraph" w:customStyle="1" w:styleId="272">
    <w:name w:val="列出段落2"/>
    <w:basedOn w:val="1"/>
    <w:qFormat/>
    <w:uiPriority w:val="0"/>
    <w:pPr>
      <w:ind w:firstLine="420" w:firstLineChars="200"/>
    </w:pPr>
    <w:rPr>
      <w:rFonts w:ascii="Calibri" w:hAnsi="Calibri"/>
      <w:szCs w:val="20"/>
    </w:rPr>
  </w:style>
  <w:style w:type="paragraph" w:customStyle="1" w:styleId="273">
    <w:name w:val="Char Char Char1 Char2"/>
    <w:basedOn w:val="1"/>
    <w:qFormat/>
    <w:uiPriority w:val="0"/>
    <w:rPr>
      <w:szCs w:val="20"/>
    </w:rPr>
  </w:style>
  <w:style w:type="paragraph" w:customStyle="1" w:styleId="274">
    <w:name w:val="样式 标题 1 + 居中"/>
    <w:basedOn w:val="3"/>
    <w:next w:val="31"/>
    <w:qFormat/>
    <w:uiPriority w:val="0"/>
    <w:pPr>
      <w:keepNext w:val="0"/>
      <w:keepLines w:val="0"/>
      <w:spacing w:line="576" w:lineRule="auto"/>
      <w:jc w:val="center"/>
    </w:pPr>
    <w:rPr>
      <w:rFonts w:hAnsi="宋体" w:cs="宋体"/>
      <w:bCs w:val="0"/>
      <w:kern w:val="0"/>
      <w:sz w:val="32"/>
      <w:szCs w:val="20"/>
    </w:rPr>
  </w:style>
  <w:style w:type="paragraph" w:customStyle="1" w:styleId="275">
    <w:name w:val="Char Char Char Char Char Char Char Char Char Char Char Char Char Char Char"/>
    <w:basedOn w:val="1"/>
    <w:next w:val="276"/>
    <w:qFormat/>
    <w:uiPriority w:val="0"/>
    <w:pPr>
      <w:widowControl/>
      <w:spacing w:line="400" w:lineRule="exact"/>
      <w:jc w:val="center"/>
    </w:pPr>
    <w:rPr>
      <w:rFonts w:ascii="Verdana" w:hAnsi="宋体" w:cs="宋体"/>
      <w:kern w:val="0"/>
      <w:szCs w:val="20"/>
    </w:rPr>
  </w:style>
  <w:style w:type="paragraph" w:customStyle="1" w:styleId="276">
    <w:name w:val="Char1"/>
    <w:basedOn w:val="1"/>
    <w:qFormat/>
    <w:uiPriority w:val="0"/>
    <w:pPr>
      <w:widowControl/>
      <w:spacing w:after="160" w:line="240" w:lineRule="exact"/>
      <w:jc w:val="left"/>
    </w:pPr>
  </w:style>
  <w:style w:type="paragraph" w:customStyle="1" w:styleId="277">
    <w:name w:val="正文2"/>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278">
    <w:name w:val="font6"/>
    <w:basedOn w:val="1"/>
    <w:next w:val="279"/>
    <w:qFormat/>
    <w:uiPriority w:val="0"/>
    <w:pPr>
      <w:widowControl/>
      <w:spacing w:before="280" w:after="280"/>
    </w:pPr>
    <w:rPr>
      <w:rFonts w:ascii="宋体" w:hAnsi="宋体" w:cs="宋体"/>
      <w:kern w:val="0"/>
      <w:sz w:val="20"/>
      <w:szCs w:val="20"/>
    </w:rPr>
  </w:style>
  <w:style w:type="paragraph" w:customStyle="1" w:styleId="279">
    <w:name w:val="reader-word-layer reader-word-s1-5"/>
    <w:basedOn w:val="1"/>
    <w:next w:val="19"/>
    <w:qFormat/>
    <w:uiPriority w:val="0"/>
    <w:pPr>
      <w:widowControl/>
      <w:spacing w:before="280" w:after="280"/>
    </w:pPr>
    <w:rPr>
      <w:rFonts w:ascii="宋体" w:hAnsi="宋体" w:cs="宋体"/>
      <w:kern w:val="0"/>
      <w:sz w:val="24"/>
      <w:szCs w:val="20"/>
    </w:rPr>
  </w:style>
  <w:style w:type="paragraph" w:customStyle="1" w:styleId="280">
    <w:name w:val="xl138"/>
    <w:basedOn w:val="1"/>
    <w:next w:val="281"/>
    <w:qFormat/>
    <w:uiPriority w:val="0"/>
    <w:pPr>
      <w:widowControl/>
      <w:spacing w:before="280" w:after="280"/>
      <w:jc w:val="center"/>
    </w:pPr>
    <w:rPr>
      <w:rFonts w:ascii="宋体" w:hAnsi="宋体" w:cs="宋体"/>
      <w:kern w:val="0"/>
      <w:sz w:val="24"/>
      <w:szCs w:val="20"/>
    </w:rPr>
  </w:style>
  <w:style w:type="paragraph" w:customStyle="1" w:styleId="281">
    <w:name w:val="Paragraph P1&amp;2"/>
    <w:basedOn w:val="1"/>
    <w:next w:val="282"/>
    <w:qFormat/>
    <w:uiPriority w:val="0"/>
    <w:pPr>
      <w:widowControl/>
      <w:spacing w:before="40" w:after="60" w:line="360" w:lineRule="auto"/>
      <w:ind w:left="720" w:hanging="360"/>
    </w:pPr>
    <w:rPr>
      <w:rFonts w:ascii="宋体" w:hAnsi="宋体" w:cs="宋体"/>
      <w:color w:val="FF0000"/>
      <w:kern w:val="0"/>
      <w:sz w:val="24"/>
      <w:szCs w:val="20"/>
    </w:rPr>
  </w:style>
  <w:style w:type="paragraph" w:customStyle="1" w:styleId="282">
    <w:name w:val="xl169"/>
    <w:basedOn w:val="1"/>
    <w:next w:val="283"/>
    <w:qFormat/>
    <w:uiPriority w:val="0"/>
    <w:pPr>
      <w:widowControl/>
      <w:shd w:val="clear" w:color="000000" w:fill="C0C0C0"/>
      <w:spacing w:before="280" w:after="280"/>
      <w:jc w:val="center"/>
    </w:pPr>
    <w:rPr>
      <w:rFonts w:ascii="宋体" w:hAnsi="宋体" w:cs="宋体"/>
      <w:kern w:val="0"/>
      <w:sz w:val="20"/>
      <w:szCs w:val="20"/>
    </w:rPr>
  </w:style>
  <w:style w:type="paragraph" w:customStyle="1" w:styleId="283">
    <w:name w:val="Char Char1 Char Char Char Char Char Char Char Char Char Char Char Char Char Char"/>
    <w:basedOn w:val="1"/>
    <w:next w:val="284"/>
    <w:qFormat/>
    <w:uiPriority w:val="0"/>
    <w:pPr>
      <w:spacing w:after="160" w:line="240" w:lineRule="exact"/>
    </w:pPr>
    <w:rPr>
      <w:rFonts w:hAnsi="宋体" w:cs="宋体"/>
      <w:kern w:val="0"/>
      <w:szCs w:val="20"/>
    </w:rPr>
  </w:style>
  <w:style w:type="paragraph" w:customStyle="1" w:styleId="284">
    <w:name w:val="xl170"/>
    <w:basedOn w:val="1"/>
    <w:next w:val="285"/>
    <w:qFormat/>
    <w:uiPriority w:val="0"/>
    <w:pPr>
      <w:widowControl/>
      <w:shd w:val="clear" w:color="000000" w:fill="0066CC"/>
      <w:spacing w:before="280" w:after="280"/>
      <w:jc w:val="center"/>
    </w:pPr>
    <w:rPr>
      <w:rFonts w:ascii="宋体" w:hAnsi="宋体" w:cs="宋体"/>
      <w:kern w:val="0"/>
      <w:sz w:val="20"/>
      <w:szCs w:val="20"/>
    </w:rPr>
  </w:style>
  <w:style w:type="paragraph" w:customStyle="1" w:styleId="285">
    <w:name w:val="reader-word-layer reader-word-s1-9"/>
    <w:basedOn w:val="1"/>
    <w:next w:val="43"/>
    <w:qFormat/>
    <w:uiPriority w:val="0"/>
    <w:pPr>
      <w:widowControl/>
      <w:spacing w:before="280" w:after="280"/>
    </w:pPr>
    <w:rPr>
      <w:rFonts w:ascii="宋体" w:hAnsi="宋体" w:cs="宋体"/>
      <w:kern w:val="0"/>
      <w:sz w:val="24"/>
      <w:szCs w:val="20"/>
    </w:rPr>
  </w:style>
  <w:style w:type="paragraph" w:customStyle="1" w:styleId="286">
    <w:name w:val="xl145"/>
    <w:basedOn w:val="1"/>
    <w:next w:val="287"/>
    <w:qFormat/>
    <w:uiPriority w:val="0"/>
    <w:pPr>
      <w:widowControl/>
      <w:spacing w:before="280" w:after="280"/>
      <w:jc w:val="center"/>
    </w:pPr>
    <w:rPr>
      <w:rFonts w:ascii="宋体" w:hAnsi="宋体" w:cs="宋体"/>
      <w:color w:val="000000"/>
      <w:kern w:val="0"/>
      <w:sz w:val="20"/>
      <w:szCs w:val="20"/>
    </w:rPr>
  </w:style>
  <w:style w:type="paragraph" w:customStyle="1" w:styleId="287">
    <w:name w:val="Char Char Char Char Char Char Char Char Char Char Char Char Char Char Char Char Char Char Char"/>
    <w:basedOn w:val="1"/>
    <w:next w:val="1"/>
    <w:qFormat/>
    <w:uiPriority w:val="0"/>
    <w:pPr>
      <w:widowControl/>
      <w:spacing w:line="400" w:lineRule="exact"/>
      <w:jc w:val="center"/>
    </w:pPr>
    <w:rPr>
      <w:rFonts w:ascii="Verdana" w:hAnsi="宋体" w:cs="宋体"/>
      <w:kern w:val="0"/>
      <w:szCs w:val="20"/>
    </w:rPr>
  </w:style>
  <w:style w:type="paragraph" w:customStyle="1" w:styleId="288">
    <w:name w:val="Address"/>
    <w:basedOn w:val="1"/>
    <w:next w:val="1"/>
    <w:qFormat/>
    <w:uiPriority w:val="0"/>
    <w:pPr>
      <w:autoSpaceDE w:val="0"/>
      <w:autoSpaceDN w:val="0"/>
      <w:adjustRightInd w:val="0"/>
      <w:jc w:val="left"/>
    </w:pPr>
    <w:rPr>
      <w:rFonts w:ascii="@时尚中黑简体"/>
      <w:i/>
      <w:kern w:val="0"/>
      <w:sz w:val="24"/>
      <w:szCs w:val="20"/>
    </w:rPr>
  </w:style>
  <w:style w:type="paragraph" w:customStyle="1" w:styleId="289">
    <w:name w:val="列表1）"/>
    <w:next w:val="290"/>
    <w:qFormat/>
    <w:uiPriority w:val="0"/>
    <w:pPr>
      <w:widowControl w:val="0"/>
      <w:spacing w:before="10"/>
      <w:jc w:val="both"/>
    </w:pPr>
    <w:rPr>
      <w:rFonts w:ascii="Verdana" w:hAnsi="宋体" w:eastAsia="宋体" w:cs="宋体"/>
      <w:sz w:val="21"/>
      <w:lang w:val="en-US" w:eastAsia="zh-CN" w:bidi="ar-SA"/>
    </w:rPr>
  </w:style>
  <w:style w:type="paragraph" w:customStyle="1" w:styleId="290">
    <w:name w:val="样式1"/>
    <w:basedOn w:val="1"/>
    <w:next w:val="6"/>
    <w:qFormat/>
    <w:uiPriority w:val="0"/>
    <w:pPr>
      <w:spacing w:line="360" w:lineRule="auto"/>
      <w:ind w:firstLine="420" w:firstLineChars="200"/>
    </w:pPr>
    <w:rPr>
      <w:rFonts w:ascii="宋体" w:hAnsi="宋体"/>
      <w:szCs w:val="21"/>
    </w:rPr>
  </w:style>
  <w:style w:type="paragraph" w:customStyle="1" w:styleId="291">
    <w:name w:val="xl171"/>
    <w:basedOn w:val="1"/>
    <w:next w:val="292"/>
    <w:qFormat/>
    <w:uiPriority w:val="0"/>
    <w:pPr>
      <w:widowControl/>
      <w:spacing w:before="280" w:after="280"/>
      <w:jc w:val="center"/>
    </w:pPr>
    <w:rPr>
      <w:rFonts w:ascii="华文中宋" w:hAnsi="宋体" w:eastAsia="华文中宋" w:cs="宋体"/>
      <w:kern w:val="0"/>
      <w:sz w:val="24"/>
      <w:szCs w:val="20"/>
    </w:rPr>
  </w:style>
  <w:style w:type="paragraph" w:customStyle="1" w:styleId="292">
    <w:name w:val="style1"/>
    <w:basedOn w:val="1"/>
    <w:next w:val="293"/>
    <w:qFormat/>
    <w:uiPriority w:val="0"/>
    <w:pPr>
      <w:widowControl/>
      <w:spacing w:before="280" w:after="280"/>
    </w:pPr>
    <w:rPr>
      <w:rFonts w:ascii="宋体" w:hAnsi="宋体" w:cs="宋体"/>
      <w:kern w:val="0"/>
      <w:sz w:val="24"/>
      <w:szCs w:val="20"/>
    </w:rPr>
  </w:style>
  <w:style w:type="paragraph" w:customStyle="1" w:styleId="293">
    <w:name w:val="百姓X"/>
    <w:basedOn w:val="1"/>
    <w:next w:val="294"/>
    <w:qFormat/>
    <w:uiPriority w:val="0"/>
    <w:pPr>
      <w:spacing w:before="120" w:after="120" w:line="360" w:lineRule="auto"/>
      <w:ind w:firstLine="540"/>
    </w:pPr>
    <w:rPr>
      <w:rFonts w:ascii="Arial Narrow" w:hAnsi="宋体" w:cs="宋体"/>
      <w:kern w:val="0"/>
      <w:sz w:val="24"/>
      <w:szCs w:val="20"/>
    </w:rPr>
  </w:style>
  <w:style w:type="paragraph" w:customStyle="1" w:styleId="294">
    <w:name w:val="TOC 91"/>
    <w:next w:val="1"/>
    <w:qFormat/>
    <w:uiPriority w:val="0"/>
    <w:pPr>
      <w:wordWrap w:val="0"/>
      <w:ind w:left="3400"/>
      <w:jc w:val="both"/>
    </w:pPr>
    <w:rPr>
      <w:rFonts w:ascii="宋体" w:hAnsi="宋体" w:eastAsia="宋体" w:cs="宋体"/>
      <w:sz w:val="21"/>
      <w:lang w:val="en-US" w:eastAsia="zh-CN" w:bidi="ar-SA"/>
    </w:rPr>
  </w:style>
  <w:style w:type="paragraph" w:customStyle="1" w:styleId="295">
    <w:name w:val="Char Char2 Char Char Char Char1"/>
    <w:basedOn w:val="1"/>
    <w:qFormat/>
    <w:uiPriority w:val="0"/>
    <w:rPr>
      <w:rFonts w:ascii="Tahoma" w:hAnsi="Tahoma"/>
      <w:sz w:val="24"/>
      <w:szCs w:val="20"/>
    </w:rPr>
  </w:style>
  <w:style w:type="paragraph" w:customStyle="1" w:styleId="296">
    <w:name w:val="标题 3_0"/>
    <w:basedOn w:val="28"/>
    <w:next w:val="28"/>
    <w:qFormat/>
    <w:uiPriority w:val="0"/>
    <w:pPr>
      <w:keepNext/>
      <w:keepLines/>
      <w:spacing w:before="260" w:after="260" w:line="413" w:lineRule="auto"/>
      <w:outlineLvl w:val="2"/>
    </w:pPr>
    <w:rPr>
      <w:rFonts w:ascii="Times New Roman" w:hAnsi="Times New Roman"/>
      <w:b/>
      <w:bCs/>
      <w:sz w:val="32"/>
      <w:szCs w:val="32"/>
    </w:rPr>
  </w:style>
  <w:style w:type="paragraph" w:customStyle="1" w:styleId="297">
    <w:name w:val="font10"/>
    <w:basedOn w:val="1"/>
    <w:next w:val="77"/>
    <w:qFormat/>
    <w:uiPriority w:val="0"/>
    <w:pPr>
      <w:widowControl/>
      <w:spacing w:before="280" w:after="280"/>
    </w:pPr>
    <w:rPr>
      <w:rFonts w:ascii="宋体" w:hAnsi="宋体" w:cs="宋体"/>
      <w:kern w:val="0"/>
      <w:sz w:val="16"/>
      <w:szCs w:val="20"/>
    </w:rPr>
  </w:style>
  <w:style w:type="paragraph" w:customStyle="1" w:styleId="298">
    <w:name w:val="Char Char Char1 Char"/>
    <w:basedOn w:val="1"/>
    <w:next w:val="36"/>
    <w:qFormat/>
    <w:uiPriority w:val="0"/>
    <w:rPr>
      <w:rFonts w:hAnsi="宋体" w:cs="宋体"/>
      <w:kern w:val="0"/>
      <w:szCs w:val="20"/>
    </w:rPr>
  </w:style>
  <w:style w:type="paragraph" w:customStyle="1" w:styleId="299">
    <w:name w:val="普通(网站)1"/>
    <w:basedOn w:val="1"/>
    <w:next w:val="1"/>
    <w:qFormat/>
    <w:uiPriority w:val="0"/>
    <w:pPr>
      <w:widowControl/>
      <w:wordWrap w:val="0"/>
    </w:pPr>
    <w:rPr>
      <w:rFonts w:hAnsi="宋体" w:eastAsia="Times New Roman" w:cs="宋体"/>
      <w:kern w:val="0"/>
      <w:sz w:val="24"/>
      <w:szCs w:val="20"/>
    </w:rPr>
  </w:style>
  <w:style w:type="paragraph" w:customStyle="1" w:styleId="300">
    <w:name w:val="样式 首行缩进:  2 字符"/>
    <w:basedOn w:val="1"/>
    <w:next w:val="301"/>
    <w:qFormat/>
    <w:uiPriority w:val="0"/>
    <w:pPr>
      <w:spacing w:line="360" w:lineRule="auto"/>
      <w:ind w:firstLine="480"/>
    </w:pPr>
    <w:rPr>
      <w:rFonts w:ascii="Arial" w:hAnsi="宋体" w:cs="宋体"/>
      <w:kern w:val="0"/>
      <w:sz w:val="24"/>
      <w:szCs w:val="20"/>
    </w:rPr>
  </w:style>
  <w:style w:type="paragraph" w:customStyle="1" w:styleId="301">
    <w:name w:val="paragraphindent"/>
    <w:basedOn w:val="1"/>
    <w:next w:val="302"/>
    <w:qFormat/>
    <w:uiPriority w:val="0"/>
    <w:pPr>
      <w:widowControl/>
      <w:spacing w:before="280" w:after="280"/>
    </w:pPr>
    <w:rPr>
      <w:rFonts w:ascii="宋体" w:hAnsi="宋体" w:cs="宋体"/>
      <w:kern w:val="0"/>
      <w:sz w:val="24"/>
      <w:szCs w:val="20"/>
    </w:rPr>
  </w:style>
  <w:style w:type="paragraph" w:customStyle="1" w:styleId="302">
    <w:name w:val="列出段落11"/>
    <w:basedOn w:val="1"/>
    <w:next w:val="17"/>
    <w:qFormat/>
    <w:uiPriority w:val="0"/>
    <w:pPr>
      <w:ind w:firstLine="420"/>
    </w:pPr>
    <w:rPr>
      <w:rFonts w:ascii="Calibri" w:hAnsi="宋体" w:cs="宋体"/>
      <w:kern w:val="0"/>
      <w:szCs w:val="20"/>
    </w:rPr>
  </w:style>
  <w:style w:type="paragraph" w:customStyle="1" w:styleId="303">
    <w:name w:val="Char Char1 Char Char Char1"/>
    <w:basedOn w:val="17"/>
    <w:qFormat/>
    <w:uiPriority w:val="0"/>
    <w:rPr>
      <w:shd w:val="clear" w:color="auto" w:fill="auto"/>
    </w:rPr>
  </w:style>
  <w:style w:type="paragraph" w:customStyle="1" w:styleId="304">
    <w:name w:val="2-2ji"/>
    <w:basedOn w:val="4"/>
    <w:qFormat/>
    <w:uiPriority w:val="0"/>
    <w:pPr>
      <w:spacing w:before="0" w:after="0" w:line="360" w:lineRule="auto"/>
      <w:jc w:val="center"/>
    </w:pPr>
    <w:rPr>
      <w:rFonts w:ascii="宋体" w:hAnsi="宋体" w:eastAsia="宋体"/>
      <w:sz w:val="36"/>
      <w:szCs w:val="24"/>
    </w:rPr>
  </w:style>
  <w:style w:type="paragraph" w:customStyle="1" w:styleId="305">
    <w:name w:val="xl159"/>
    <w:basedOn w:val="1"/>
    <w:next w:val="291"/>
    <w:qFormat/>
    <w:uiPriority w:val="0"/>
    <w:pPr>
      <w:widowControl/>
      <w:spacing w:before="280" w:after="280"/>
    </w:pPr>
    <w:rPr>
      <w:rFonts w:ascii="宋体" w:hAnsi="宋体" w:cs="宋体"/>
      <w:b/>
      <w:kern w:val="0"/>
      <w:sz w:val="18"/>
      <w:szCs w:val="20"/>
    </w:rPr>
  </w:style>
  <w:style w:type="paragraph" w:customStyle="1" w:styleId="306">
    <w:name w:val="xl166"/>
    <w:basedOn w:val="1"/>
    <w:next w:val="1"/>
    <w:qFormat/>
    <w:uiPriority w:val="0"/>
    <w:pPr>
      <w:widowControl/>
      <w:spacing w:before="280" w:after="280"/>
    </w:pPr>
    <w:rPr>
      <w:rFonts w:ascii="宋体" w:hAnsi="宋体" w:cs="宋体"/>
      <w:kern w:val="0"/>
      <w:sz w:val="24"/>
      <w:szCs w:val="20"/>
    </w:rPr>
  </w:style>
  <w:style w:type="paragraph" w:customStyle="1" w:styleId="307">
    <w:name w:val="xl153"/>
    <w:basedOn w:val="1"/>
    <w:next w:val="1"/>
    <w:qFormat/>
    <w:uiPriority w:val="0"/>
    <w:pPr>
      <w:widowControl/>
      <w:shd w:val="clear" w:color="000000" w:fill="C0C0C0"/>
      <w:spacing w:before="280" w:after="280"/>
    </w:pPr>
    <w:rPr>
      <w:rFonts w:ascii="宋体" w:hAnsi="宋体" w:cs="宋体"/>
      <w:kern w:val="0"/>
      <w:sz w:val="20"/>
      <w:szCs w:val="20"/>
    </w:rPr>
  </w:style>
  <w:style w:type="paragraph" w:customStyle="1" w:styleId="308">
    <w:name w:val="Char2"/>
    <w:basedOn w:val="1"/>
    <w:qFormat/>
    <w:uiPriority w:val="0"/>
    <w:pPr>
      <w:widowControl/>
      <w:spacing w:line="400" w:lineRule="exact"/>
      <w:jc w:val="center"/>
    </w:pPr>
  </w:style>
  <w:style w:type="paragraph" w:customStyle="1" w:styleId="309">
    <w:name w:val="_Style 10"/>
    <w:basedOn w:val="1"/>
    <w:next w:val="310"/>
    <w:qFormat/>
    <w:uiPriority w:val="0"/>
    <w:pPr>
      <w:widowControl/>
      <w:spacing w:line="400" w:lineRule="exact"/>
      <w:jc w:val="center"/>
    </w:pPr>
    <w:rPr>
      <w:rFonts w:hAnsi="宋体" w:cs="宋体"/>
      <w:kern w:val="0"/>
      <w:szCs w:val="20"/>
    </w:rPr>
  </w:style>
  <w:style w:type="paragraph" w:customStyle="1" w:styleId="310">
    <w:name w:val="xl151"/>
    <w:basedOn w:val="1"/>
    <w:next w:val="311"/>
    <w:qFormat/>
    <w:uiPriority w:val="0"/>
    <w:pPr>
      <w:widowControl/>
      <w:spacing w:before="280" w:after="280"/>
    </w:pPr>
    <w:rPr>
      <w:rFonts w:ascii="宋体" w:hAnsi="宋体" w:cs="宋体"/>
      <w:kern w:val="0"/>
      <w:sz w:val="24"/>
      <w:szCs w:val="20"/>
    </w:rPr>
  </w:style>
  <w:style w:type="paragraph" w:customStyle="1" w:styleId="311">
    <w:name w:val="p15"/>
    <w:basedOn w:val="1"/>
    <w:next w:val="312"/>
    <w:qFormat/>
    <w:uiPriority w:val="0"/>
    <w:pPr>
      <w:widowControl/>
      <w:ind w:firstLine="420"/>
    </w:pPr>
    <w:rPr>
      <w:rFonts w:hAnsi="宋体" w:cs="宋体"/>
      <w:kern w:val="0"/>
      <w:szCs w:val="20"/>
    </w:rPr>
  </w:style>
  <w:style w:type="paragraph" w:customStyle="1" w:styleId="312">
    <w:name w:val="TOC Heading1"/>
    <w:next w:val="1"/>
    <w:qFormat/>
    <w:uiPriority w:val="0"/>
    <w:pPr>
      <w:wordWrap w:val="0"/>
    </w:pPr>
    <w:rPr>
      <w:rFonts w:ascii="宋体" w:hAnsi="宋体" w:eastAsia="宋体" w:cs="宋体"/>
      <w:sz w:val="32"/>
      <w:lang w:val="en-US" w:eastAsia="zh-CN" w:bidi="ar-SA"/>
    </w:rPr>
  </w:style>
  <w:style w:type="paragraph" w:customStyle="1" w:styleId="313">
    <w:name w:val="xl130"/>
    <w:basedOn w:val="1"/>
    <w:next w:val="314"/>
    <w:qFormat/>
    <w:uiPriority w:val="0"/>
    <w:pPr>
      <w:widowControl/>
      <w:spacing w:before="280" w:after="280"/>
    </w:pPr>
    <w:rPr>
      <w:rFonts w:ascii="宋体" w:hAnsi="宋体" w:cs="宋体"/>
      <w:kern w:val="0"/>
      <w:sz w:val="24"/>
      <w:szCs w:val="20"/>
    </w:rPr>
  </w:style>
  <w:style w:type="paragraph" w:customStyle="1" w:styleId="314">
    <w:name w:val="Char Char Char1 Char11"/>
    <w:basedOn w:val="1"/>
    <w:next w:val="315"/>
    <w:qFormat/>
    <w:uiPriority w:val="0"/>
    <w:rPr>
      <w:rFonts w:hAnsi="宋体" w:cs="宋体"/>
      <w:kern w:val="0"/>
      <w:szCs w:val="20"/>
    </w:rPr>
  </w:style>
  <w:style w:type="paragraph" w:customStyle="1" w:styleId="315">
    <w:name w:val="prodsubtitle"/>
    <w:basedOn w:val="1"/>
    <w:next w:val="20"/>
    <w:qFormat/>
    <w:uiPriority w:val="0"/>
    <w:pPr>
      <w:widowControl/>
    </w:pPr>
    <w:rPr>
      <w:rFonts w:ascii="宋体" w:hAnsi="宋体" w:cs="宋体"/>
      <w:kern w:val="0"/>
      <w:sz w:val="24"/>
      <w:szCs w:val="20"/>
    </w:rPr>
  </w:style>
  <w:style w:type="paragraph" w:customStyle="1" w:styleId="316">
    <w:name w:val="reader-word-layer"/>
    <w:basedOn w:val="1"/>
    <w:qFormat/>
    <w:uiPriority w:val="0"/>
    <w:pPr>
      <w:widowControl/>
      <w:spacing w:before="100" w:beforeAutospacing="1" w:after="100" w:afterAutospacing="1"/>
      <w:jc w:val="left"/>
    </w:pPr>
    <w:rPr>
      <w:rFonts w:ascii="宋体" w:hAnsi="宋体" w:cs="宋体"/>
      <w:kern w:val="0"/>
      <w:sz w:val="24"/>
    </w:rPr>
  </w:style>
  <w:style w:type="paragraph" w:customStyle="1" w:styleId="317">
    <w:name w:val="_Style 17"/>
    <w:basedOn w:val="1"/>
    <w:next w:val="271"/>
    <w:qFormat/>
    <w:uiPriority w:val="0"/>
    <w:pPr>
      <w:widowControl/>
      <w:spacing w:line="400" w:lineRule="exact"/>
      <w:jc w:val="center"/>
    </w:pPr>
    <w:rPr>
      <w:rFonts w:hAnsi="宋体" w:cs="宋体"/>
      <w:kern w:val="0"/>
      <w:szCs w:val="20"/>
    </w:rPr>
  </w:style>
  <w:style w:type="paragraph" w:customStyle="1" w:styleId="318">
    <w:name w:val="Char Char Char Char Char Char Char11"/>
    <w:basedOn w:val="1"/>
    <w:qFormat/>
    <w:uiPriority w:val="0"/>
    <w:pPr>
      <w:widowControl/>
      <w:spacing w:line="400" w:lineRule="exact"/>
      <w:jc w:val="center"/>
    </w:pPr>
    <w:rPr>
      <w:rFonts w:ascii="Verdana" w:hAnsi="Verdana"/>
      <w:kern w:val="0"/>
      <w:szCs w:val="20"/>
      <w:lang w:eastAsia="en-US"/>
    </w:rPr>
  </w:style>
  <w:style w:type="paragraph" w:customStyle="1" w:styleId="319">
    <w:name w:val="pa-0"/>
    <w:basedOn w:val="1"/>
    <w:next w:val="320"/>
    <w:qFormat/>
    <w:uiPriority w:val="0"/>
    <w:pPr>
      <w:widowControl/>
      <w:spacing w:line="240" w:lineRule="atLeast"/>
    </w:pPr>
    <w:rPr>
      <w:rFonts w:ascii="宋体" w:hAnsi="宋体" w:cs="宋体"/>
      <w:kern w:val="0"/>
      <w:sz w:val="24"/>
      <w:szCs w:val="20"/>
    </w:rPr>
  </w:style>
  <w:style w:type="paragraph" w:customStyle="1" w:styleId="320">
    <w:name w:val="标准正文"/>
    <w:basedOn w:val="1"/>
    <w:next w:val="321"/>
    <w:qFormat/>
    <w:uiPriority w:val="0"/>
    <w:pPr>
      <w:spacing w:line="312" w:lineRule="auto"/>
      <w:ind w:firstLine="482"/>
    </w:pPr>
    <w:rPr>
      <w:rFonts w:hAnsi="宋体" w:cs="宋体"/>
      <w:kern w:val="0"/>
      <w:sz w:val="24"/>
      <w:szCs w:val="20"/>
    </w:rPr>
  </w:style>
  <w:style w:type="paragraph" w:customStyle="1" w:styleId="321">
    <w:name w:val="font5"/>
    <w:basedOn w:val="1"/>
    <w:next w:val="322"/>
    <w:qFormat/>
    <w:uiPriority w:val="0"/>
    <w:pPr>
      <w:widowControl/>
      <w:spacing w:before="280" w:after="280"/>
    </w:pPr>
    <w:rPr>
      <w:rFonts w:ascii="宋体" w:hAnsi="宋体" w:cs="宋体"/>
      <w:kern w:val="0"/>
      <w:sz w:val="18"/>
      <w:szCs w:val="20"/>
    </w:rPr>
  </w:style>
  <w:style w:type="paragraph" w:customStyle="1" w:styleId="322">
    <w:name w:val="Char Char12"/>
    <w:basedOn w:val="1"/>
    <w:next w:val="323"/>
    <w:qFormat/>
    <w:uiPriority w:val="99"/>
    <w:rPr>
      <w:rFonts w:hAnsi="宋体" w:cs="宋体"/>
      <w:kern w:val="0"/>
      <w:szCs w:val="20"/>
    </w:rPr>
  </w:style>
  <w:style w:type="paragraph" w:customStyle="1" w:styleId="323">
    <w:name w:val="xl149"/>
    <w:basedOn w:val="1"/>
    <w:next w:val="324"/>
    <w:qFormat/>
    <w:uiPriority w:val="0"/>
    <w:pPr>
      <w:widowControl/>
      <w:spacing w:before="280" w:after="280"/>
    </w:pPr>
    <w:rPr>
      <w:rFonts w:ascii="宋体" w:hAnsi="宋体" w:cs="宋体"/>
      <w:kern w:val="0"/>
      <w:sz w:val="18"/>
      <w:szCs w:val="20"/>
    </w:rPr>
  </w:style>
  <w:style w:type="paragraph" w:customStyle="1" w:styleId="324">
    <w:name w:val="xl133"/>
    <w:basedOn w:val="1"/>
    <w:next w:val="325"/>
    <w:qFormat/>
    <w:uiPriority w:val="0"/>
    <w:pPr>
      <w:widowControl/>
      <w:shd w:val="clear" w:color="000000" w:fill="C0C0C0"/>
      <w:spacing w:before="280" w:after="280"/>
    </w:pPr>
    <w:rPr>
      <w:rFonts w:ascii="宋体" w:hAnsi="宋体" w:cs="宋体"/>
      <w:kern w:val="0"/>
      <w:sz w:val="20"/>
      <w:szCs w:val="20"/>
    </w:rPr>
  </w:style>
  <w:style w:type="paragraph" w:customStyle="1" w:styleId="325">
    <w:name w:val="msointensequote"/>
    <w:basedOn w:val="1"/>
    <w:next w:val="1"/>
    <w:qFormat/>
    <w:uiPriority w:val="0"/>
    <w:pPr>
      <w:spacing w:before="200" w:after="280"/>
      <w:ind w:left="936" w:right="936"/>
    </w:pPr>
    <w:rPr>
      <w:rFonts w:hAnsi="宋体" w:cs="宋体"/>
      <w:b/>
      <w:i/>
      <w:color w:val="4F81BD"/>
      <w:kern w:val="0"/>
      <w:szCs w:val="20"/>
    </w:rPr>
  </w:style>
  <w:style w:type="paragraph" w:customStyle="1" w:styleId="326">
    <w:name w:val="font13"/>
    <w:basedOn w:val="1"/>
    <w:next w:val="327"/>
    <w:qFormat/>
    <w:uiPriority w:val="0"/>
    <w:pPr>
      <w:widowControl/>
      <w:spacing w:before="280" w:after="280"/>
    </w:pPr>
    <w:rPr>
      <w:rFonts w:ascii="宋体" w:hAnsi="宋体" w:cs="宋体"/>
      <w:kern w:val="0"/>
      <w:sz w:val="20"/>
      <w:szCs w:val="20"/>
    </w:rPr>
  </w:style>
  <w:style w:type="paragraph" w:customStyle="1" w:styleId="327">
    <w:name w:val="表格文字"/>
    <w:basedOn w:val="1"/>
    <w:next w:val="1"/>
    <w:qFormat/>
    <w:uiPriority w:val="0"/>
    <w:pPr>
      <w:autoSpaceDE w:val="0"/>
      <w:autoSpaceDN w:val="0"/>
      <w:spacing w:before="6" w:after="6"/>
    </w:pPr>
    <w:rPr>
      <w:rFonts w:ascii="宋体" w:hAnsi="宋体" w:cs="宋体"/>
      <w:kern w:val="0"/>
      <w:sz w:val="20"/>
      <w:szCs w:val="20"/>
    </w:rPr>
  </w:style>
  <w:style w:type="paragraph" w:customStyle="1" w:styleId="328">
    <w:name w:val="Char Char2 Char Char Char Char2"/>
    <w:basedOn w:val="1"/>
    <w:qFormat/>
    <w:uiPriority w:val="0"/>
    <w:rPr>
      <w:rFonts w:ascii="Tahoma" w:hAnsi="Tahoma"/>
      <w:sz w:val="24"/>
      <w:szCs w:val="20"/>
    </w:rPr>
  </w:style>
  <w:style w:type="paragraph" w:customStyle="1" w:styleId="329">
    <w:name w:val="目录 21"/>
    <w:basedOn w:val="1"/>
    <w:next w:val="1"/>
    <w:qFormat/>
    <w:uiPriority w:val="0"/>
    <w:pPr>
      <w:ind w:left="420"/>
    </w:pPr>
    <w:rPr>
      <w:rFonts w:hAnsi="宋体" w:cs="宋体"/>
      <w:kern w:val="0"/>
      <w:szCs w:val="20"/>
    </w:rPr>
  </w:style>
  <w:style w:type="paragraph" w:customStyle="1" w:styleId="330">
    <w:name w:val="31a（正文）章标题"/>
    <w:next w:val="331"/>
    <w:qFormat/>
    <w:uiPriority w:val="0"/>
    <w:pPr>
      <w:ind w:firstLine="315"/>
      <w:jc w:val="both"/>
      <w:outlineLvl w:val="0"/>
    </w:pPr>
    <w:rPr>
      <w:rFonts w:ascii="楷体_GB2312" w:hAnsi="宋体" w:eastAsia="宋体" w:cs="宋体"/>
      <w:sz w:val="21"/>
      <w:lang w:val="en-US" w:eastAsia="zh-CN" w:bidi="ar-SA"/>
    </w:rPr>
  </w:style>
  <w:style w:type="paragraph" w:customStyle="1" w:styleId="331">
    <w:name w:val="xl167"/>
    <w:basedOn w:val="1"/>
    <w:next w:val="332"/>
    <w:qFormat/>
    <w:uiPriority w:val="0"/>
    <w:pPr>
      <w:widowControl/>
      <w:spacing w:before="280" w:after="280"/>
    </w:pPr>
    <w:rPr>
      <w:rFonts w:ascii="宋体" w:hAnsi="宋体" w:cs="宋体"/>
      <w:kern w:val="0"/>
      <w:sz w:val="20"/>
      <w:szCs w:val="20"/>
    </w:rPr>
  </w:style>
  <w:style w:type="paragraph" w:customStyle="1" w:styleId="332">
    <w:name w:val="标书正文格式"/>
    <w:next w:val="333"/>
    <w:qFormat/>
    <w:uiPriority w:val="0"/>
    <w:pPr>
      <w:spacing w:line="360" w:lineRule="auto"/>
      <w:ind w:firstLine="200"/>
    </w:pPr>
    <w:rPr>
      <w:rFonts w:ascii="宋体" w:hAnsi="宋体" w:eastAsia="楷体_GB2312" w:cs="宋体"/>
      <w:sz w:val="24"/>
      <w:lang w:val="en-US" w:eastAsia="zh-CN" w:bidi="ar-SA"/>
    </w:rPr>
  </w:style>
  <w:style w:type="paragraph" w:customStyle="1" w:styleId="333">
    <w:name w:val="xl160"/>
    <w:basedOn w:val="1"/>
    <w:next w:val="334"/>
    <w:qFormat/>
    <w:uiPriority w:val="0"/>
    <w:pPr>
      <w:widowControl/>
      <w:shd w:val="clear" w:color="000000" w:fill="C0C0C0"/>
      <w:spacing w:before="280" w:after="280"/>
    </w:pPr>
    <w:rPr>
      <w:rFonts w:ascii="宋体" w:hAnsi="宋体" w:cs="宋体"/>
      <w:kern w:val="0"/>
      <w:sz w:val="20"/>
      <w:szCs w:val="20"/>
    </w:rPr>
  </w:style>
  <w:style w:type="paragraph" w:customStyle="1" w:styleId="334">
    <w:name w:val="Char Char Char Char Char Char Char Char Char Char11"/>
    <w:basedOn w:val="1"/>
    <w:next w:val="335"/>
    <w:qFormat/>
    <w:uiPriority w:val="0"/>
    <w:pPr>
      <w:widowControl/>
      <w:spacing w:line="400" w:lineRule="exact"/>
      <w:jc w:val="center"/>
    </w:pPr>
    <w:rPr>
      <w:rFonts w:ascii="Verdana" w:hAnsi="宋体" w:cs="宋体"/>
      <w:kern w:val="0"/>
      <w:szCs w:val="20"/>
    </w:rPr>
  </w:style>
  <w:style w:type="paragraph" w:customStyle="1" w:styleId="335">
    <w:name w:val="样式 (中文) 黑体 四号 居中 行距: 1.5 倍行距"/>
    <w:basedOn w:val="5"/>
    <w:next w:val="336"/>
    <w:qFormat/>
    <w:uiPriority w:val="0"/>
    <w:pPr>
      <w:keepNext w:val="0"/>
      <w:keepLines w:val="0"/>
      <w:spacing w:line="240" w:lineRule="auto"/>
      <w:jc w:val="center"/>
    </w:pPr>
    <w:rPr>
      <w:rFonts w:hAnsi="宋体" w:eastAsia="黑体" w:cs="宋体"/>
      <w:bCs w:val="0"/>
      <w:kern w:val="0"/>
      <w:sz w:val="28"/>
      <w:szCs w:val="20"/>
    </w:rPr>
  </w:style>
  <w:style w:type="paragraph" w:customStyle="1" w:styleId="336">
    <w:name w:val="TOC 31"/>
    <w:next w:val="1"/>
    <w:qFormat/>
    <w:uiPriority w:val="0"/>
    <w:pPr>
      <w:wordWrap w:val="0"/>
      <w:ind w:left="850"/>
      <w:jc w:val="both"/>
    </w:pPr>
    <w:rPr>
      <w:rFonts w:ascii="宋体" w:hAnsi="宋体" w:eastAsia="宋体" w:cs="宋体"/>
      <w:sz w:val="21"/>
      <w:lang w:val="en-US" w:eastAsia="zh-CN" w:bidi="ar-SA"/>
    </w:rPr>
  </w:style>
  <w:style w:type="paragraph" w:styleId="337">
    <w:name w:val="No Spacing"/>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38">
    <w:name w:val="Char Char Char1 Char Char Char Char Char Char Char"/>
    <w:basedOn w:val="1"/>
    <w:next w:val="37"/>
    <w:qFormat/>
    <w:uiPriority w:val="0"/>
    <w:rPr>
      <w:rFonts w:ascii="Tahoma" w:hAnsi="宋体" w:cs="宋体"/>
      <w:kern w:val="0"/>
      <w:sz w:val="24"/>
      <w:szCs w:val="20"/>
    </w:rPr>
  </w:style>
  <w:style w:type="paragraph" w:customStyle="1" w:styleId="339">
    <w:name w:val="样式 宋体 首行缩进:  2 字符 段前: 7.8 磅 段后: 7.8 磅"/>
    <w:basedOn w:val="1"/>
    <w:next w:val="340"/>
    <w:qFormat/>
    <w:uiPriority w:val="0"/>
    <w:pPr>
      <w:spacing w:before="156" w:after="156" w:line="360" w:lineRule="auto"/>
      <w:ind w:firstLine="200"/>
    </w:pPr>
    <w:rPr>
      <w:rFonts w:ascii="宋体" w:hAnsi="宋体" w:cs="宋体"/>
      <w:kern w:val="0"/>
      <w:szCs w:val="20"/>
    </w:rPr>
  </w:style>
  <w:style w:type="paragraph" w:customStyle="1" w:styleId="340">
    <w:name w:val="样式 标题 2 + Times New Roman 四号 非加粗 段前: 5 磅 段后: 0 磅 行距: 固定值 20..."/>
    <w:basedOn w:val="4"/>
    <w:qFormat/>
    <w:uiPriority w:val="0"/>
    <w:pPr>
      <w:spacing w:before="100" w:after="0" w:line="400" w:lineRule="exact"/>
    </w:pPr>
    <w:rPr>
      <w:rFonts w:ascii="Times New Roman" w:hAnsi="Times New Roman" w:cs="宋体"/>
      <w:b w:val="0"/>
      <w:bCs w:val="0"/>
      <w:kern w:val="0"/>
      <w:sz w:val="28"/>
      <w:szCs w:val="20"/>
    </w:rPr>
  </w:style>
  <w:style w:type="paragraph" w:customStyle="1" w:styleId="341">
    <w:name w:val="副标题1"/>
    <w:basedOn w:val="1"/>
    <w:next w:val="1"/>
    <w:qFormat/>
    <w:uiPriority w:val="0"/>
    <w:pPr>
      <w:spacing w:before="120" w:after="120"/>
    </w:pPr>
    <w:rPr>
      <w:rFonts w:ascii="Arial" w:hAnsi="宋体" w:cs="宋体"/>
      <w:b/>
      <w:color w:val="000000"/>
      <w:kern w:val="0"/>
      <w:sz w:val="20"/>
      <w:szCs w:val="20"/>
    </w:rPr>
  </w:style>
  <w:style w:type="paragraph" w:customStyle="1" w:styleId="342">
    <w:name w:val="reader-word-layer reader-word-s1-10"/>
    <w:basedOn w:val="1"/>
    <w:next w:val="343"/>
    <w:qFormat/>
    <w:uiPriority w:val="0"/>
    <w:pPr>
      <w:widowControl/>
      <w:spacing w:before="280" w:after="280"/>
    </w:pPr>
    <w:rPr>
      <w:rFonts w:ascii="宋体" w:hAnsi="宋体" w:cs="宋体"/>
      <w:kern w:val="0"/>
      <w:sz w:val="24"/>
      <w:szCs w:val="20"/>
    </w:rPr>
  </w:style>
  <w:style w:type="paragraph" w:customStyle="1" w:styleId="343">
    <w:name w:val="目录 41"/>
    <w:basedOn w:val="1"/>
    <w:next w:val="1"/>
    <w:qFormat/>
    <w:uiPriority w:val="0"/>
    <w:pPr>
      <w:ind w:left="630"/>
    </w:pPr>
    <w:rPr>
      <w:rFonts w:ascii="Calibri" w:hAnsi="宋体" w:cs="宋体"/>
      <w:kern w:val="0"/>
      <w:szCs w:val="20"/>
    </w:rPr>
  </w:style>
  <w:style w:type="paragraph" w:customStyle="1" w:styleId="344">
    <w:name w:val="Char Char2 Char Char Char Char"/>
    <w:basedOn w:val="1"/>
    <w:next w:val="345"/>
    <w:qFormat/>
    <w:uiPriority w:val="0"/>
    <w:rPr>
      <w:rFonts w:ascii="Tahoma" w:hAnsi="宋体" w:cs="宋体"/>
      <w:kern w:val="0"/>
      <w:sz w:val="24"/>
      <w:szCs w:val="20"/>
    </w:rPr>
  </w:style>
  <w:style w:type="paragraph" w:customStyle="1" w:styleId="345">
    <w:name w:val="样式 (中文) 黑体 小二 行距: 1.5 倍行距"/>
    <w:basedOn w:val="1"/>
    <w:next w:val="329"/>
    <w:qFormat/>
    <w:uiPriority w:val="0"/>
    <w:pPr>
      <w:spacing w:line="360" w:lineRule="auto"/>
    </w:pPr>
    <w:rPr>
      <w:rFonts w:hAnsi="宋体" w:eastAsia="黑体" w:cs="宋体"/>
      <w:kern w:val="0"/>
      <w:sz w:val="36"/>
      <w:szCs w:val="20"/>
    </w:rPr>
  </w:style>
  <w:style w:type="paragraph" w:customStyle="1" w:styleId="346">
    <w:name w:val="正文缩进_0"/>
    <w:basedOn w:val="256"/>
    <w:qFormat/>
    <w:uiPriority w:val="0"/>
    <w:pPr>
      <w:widowControl w:val="0"/>
      <w:ind w:firstLine="420"/>
      <w:jc w:val="both"/>
    </w:pPr>
    <w:rPr>
      <w:kern w:val="2"/>
      <w:u w:val="single"/>
    </w:rPr>
  </w:style>
  <w:style w:type="paragraph" w:customStyle="1" w:styleId="347">
    <w:name w:val="文字"/>
    <w:basedOn w:val="1"/>
    <w:next w:val="348"/>
    <w:qFormat/>
    <w:uiPriority w:val="0"/>
    <w:pPr>
      <w:spacing w:line="312" w:lineRule="auto"/>
      <w:ind w:right="-210" w:firstLine="556"/>
    </w:pPr>
    <w:rPr>
      <w:rFonts w:ascii="楷体_GB2312" w:hAnsi="宋体" w:eastAsia="楷体_GB2312" w:cs="宋体"/>
      <w:kern w:val="0"/>
      <w:sz w:val="28"/>
      <w:szCs w:val="20"/>
    </w:rPr>
  </w:style>
  <w:style w:type="paragraph" w:customStyle="1" w:styleId="348">
    <w:name w:val="xl150"/>
    <w:basedOn w:val="1"/>
    <w:next w:val="253"/>
    <w:qFormat/>
    <w:uiPriority w:val="0"/>
    <w:pPr>
      <w:widowControl/>
      <w:spacing w:before="280" w:after="280"/>
    </w:pPr>
    <w:rPr>
      <w:rFonts w:ascii="宋体" w:hAnsi="宋体" w:cs="宋体"/>
      <w:kern w:val="0"/>
      <w:sz w:val="18"/>
      <w:szCs w:val="20"/>
    </w:rPr>
  </w:style>
  <w:style w:type="paragraph" w:customStyle="1" w:styleId="349">
    <w:name w:val="Char Char1 Char Char Char"/>
    <w:next w:val="2"/>
    <w:qFormat/>
    <w:uiPriority w:val="0"/>
    <w:pPr>
      <w:widowControl w:val="0"/>
      <w:shd w:val="clear" w:color="000000" w:fill="000080"/>
      <w:jc w:val="both"/>
    </w:pPr>
    <w:rPr>
      <w:rFonts w:ascii="Times New Roman" w:hAnsi="宋体" w:eastAsia="Times New Roman" w:cs="宋体"/>
      <w:sz w:val="21"/>
      <w:lang w:val="en-US" w:eastAsia="zh-CN" w:bidi="ar-SA"/>
    </w:rPr>
  </w:style>
  <w:style w:type="paragraph" w:customStyle="1" w:styleId="350">
    <w:name w:val="font8"/>
    <w:basedOn w:val="1"/>
    <w:next w:val="351"/>
    <w:qFormat/>
    <w:uiPriority w:val="0"/>
    <w:pPr>
      <w:widowControl/>
      <w:spacing w:before="280" w:after="280"/>
    </w:pPr>
    <w:rPr>
      <w:rFonts w:ascii="Arial" w:hAnsi="宋体" w:cs="宋体"/>
      <w:kern w:val="0"/>
      <w:sz w:val="16"/>
      <w:szCs w:val="20"/>
    </w:rPr>
  </w:style>
  <w:style w:type="paragraph" w:customStyle="1" w:styleId="351">
    <w:name w:val="目录 71"/>
    <w:basedOn w:val="1"/>
    <w:next w:val="1"/>
    <w:qFormat/>
    <w:uiPriority w:val="0"/>
    <w:pPr>
      <w:ind w:left="2520"/>
    </w:pPr>
    <w:rPr>
      <w:rFonts w:ascii="Calibri" w:hAnsi="宋体" w:cs="宋体"/>
      <w:kern w:val="0"/>
      <w:szCs w:val="20"/>
    </w:rPr>
  </w:style>
  <w:style w:type="paragraph" w:customStyle="1" w:styleId="352">
    <w:name w:val="reader-word-layer reader-word-s1-11"/>
    <w:basedOn w:val="1"/>
    <w:next w:val="353"/>
    <w:qFormat/>
    <w:uiPriority w:val="0"/>
    <w:pPr>
      <w:widowControl/>
      <w:spacing w:before="280" w:after="280"/>
    </w:pPr>
    <w:rPr>
      <w:rFonts w:ascii="宋体" w:hAnsi="宋体" w:cs="宋体"/>
      <w:kern w:val="0"/>
      <w:sz w:val="24"/>
      <w:szCs w:val="20"/>
    </w:rPr>
  </w:style>
  <w:style w:type="paragraph" w:customStyle="1" w:styleId="353">
    <w:name w:val="TOC 21"/>
    <w:next w:val="1"/>
    <w:qFormat/>
    <w:uiPriority w:val="0"/>
    <w:pPr>
      <w:wordWrap w:val="0"/>
      <w:ind w:left="425"/>
      <w:jc w:val="both"/>
    </w:pPr>
    <w:rPr>
      <w:rFonts w:ascii="宋体" w:hAnsi="宋体" w:eastAsia="宋体" w:cs="宋体"/>
      <w:sz w:val="21"/>
      <w:lang w:val="en-US" w:eastAsia="zh-CN" w:bidi="ar-SA"/>
    </w:rPr>
  </w:style>
  <w:style w:type="paragraph" w:customStyle="1" w:styleId="354">
    <w:name w:val="Char Char Char Char Char Char Char Char Char Char Char Char Char Char Char1"/>
    <w:basedOn w:val="1"/>
    <w:qFormat/>
    <w:uiPriority w:val="0"/>
    <w:pPr>
      <w:widowControl/>
      <w:spacing w:line="400" w:lineRule="exact"/>
      <w:jc w:val="center"/>
    </w:pPr>
    <w:rPr>
      <w:rFonts w:ascii="Verdana" w:hAnsi="Verdana"/>
      <w:kern w:val="0"/>
      <w:szCs w:val="20"/>
      <w:lang w:eastAsia="en-US"/>
    </w:rPr>
  </w:style>
  <w:style w:type="paragraph" w:customStyle="1" w:styleId="355">
    <w:name w:val="xl157"/>
    <w:basedOn w:val="1"/>
    <w:next w:val="1"/>
    <w:qFormat/>
    <w:uiPriority w:val="0"/>
    <w:pPr>
      <w:widowControl/>
      <w:spacing w:before="280" w:after="280"/>
    </w:pPr>
    <w:rPr>
      <w:rFonts w:ascii="宋体" w:hAnsi="宋体" w:cs="宋体"/>
      <w:b/>
      <w:kern w:val="0"/>
      <w:sz w:val="18"/>
      <w:szCs w:val="20"/>
    </w:rPr>
  </w:style>
  <w:style w:type="paragraph" w:customStyle="1" w:styleId="356">
    <w:name w:val="样式14"/>
    <w:next w:val="357"/>
    <w:qFormat/>
    <w:uiPriority w:val="0"/>
    <w:pPr>
      <w:widowControl w:val="0"/>
      <w:jc w:val="center"/>
    </w:pPr>
    <w:rPr>
      <w:rFonts w:ascii="Times New Roman" w:hAnsi="宋体" w:eastAsia="宋体" w:cs="宋体"/>
      <w:sz w:val="18"/>
      <w:lang w:val="en-US" w:eastAsia="zh-CN" w:bidi="ar-SA"/>
    </w:rPr>
  </w:style>
  <w:style w:type="paragraph" w:customStyle="1" w:styleId="357">
    <w:name w:val="Char Char2 Char Char Char Char3"/>
    <w:basedOn w:val="1"/>
    <w:next w:val="265"/>
    <w:qFormat/>
    <w:uiPriority w:val="0"/>
    <w:rPr>
      <w:rFonts w:ascii="Tahoma" w:hAnsi="宋体" w:cs="宋体"/>
      <w:kern w:val="0"/>
      <w:sz w:val="24"/>
      <w:szCs w:val="20"/>
    </w:rPr>
  </w:style>
  <w:style w:type="paragraph" w:customStyle="1" w:styleId="358">
    <w:name w:val="Char Char Char Char Char Char Char1"/>
    <w:basedOn w:val="1"/>
    <w:next w:val="359"/>
    <w:qFormat/>
    <w:uiPriority w:val="0"/>
    <w:pPr>
      <w:widowControl/>
      <w:spacing w:line="400" w:lineRule="exact"/>
      <w:jc w:val="center"/>
    </w:pPr>
    <w:rPr>
      <w:rFonts w:ascii="Verdana" w:hAnsi="宋体" w:cs="宋体"/>
      <w:kern w:val="0"/>
      <w:szCs w:val="20"/>
    </w:rPr>
  </w:style>
  <w:style w:type="paragraph" w:customStyle="1" w:styleId="359">
    <w:name w:val="xl147"/>
    <w:basedOn w:val="1"/>
    <w:next w:val="360"/>
    <w:qFormat/>
    <w:uiPriority w:val="0"/>
    <w:pPr>
      <w:widowControl/>
      <w:spacing w:before="280" w:after="280"/>
    </w:pPr>
    <w:rPr>
      <w:rFonts w:ascii="宋体" w:hAnsi="宋体" w:cs="宋体"/>
      <w:kern w:val="0"/>
      <w:sz w:val="20"/>
      <w:szCs w:val="20"/>
    </w:rPr>
  </w:style>
  <w:style w:type="paragraph" w:customStyle="1" w:styleId="360">
    <w:name w:val="xl163"/>
    <w:basedOn w:val="1"/>
    <w:next w:val="288"/>
    <w:qFormat/>
    <w:uiPriority w:val="0"/>
    <w:pPr>
      <w:widowControl/>
      <w:spacing w:before="280" w:after="280"/>
    </w:pPr>
    <w:rPr>
      <w:rFonts w:ascii="宋体" w:hAnsi="宋体" w:cs="宋体"/>
      <w:color w:val="000000"/>
      <w:kern w:val="0"/>
      <w:sz w:val="18"/>
      <w:szCs w:val="20"/>
    </w:rPr>
  </w:style>
  <w:style w:type="paragraph" w:customStyle="1" w:styleId="361">
    <w:name w:val="_Style 7"/>
    <w:basedOn w:val="1"/>
    <w:next w:val="1"/>
    <w:qFormat/>
    <w:uiPriority w:val="0"/>
    <w:pPr>
      <w:widowControl/>
      <w:spacing w:after="160" w:line="240" w:lineRule="exact"/>
    </w:pPr>
    <w:rPr>
      <w:rFonts w:hAnsi="宋体" w:cs="宋体"/>
      <w:kern w:val="0"/>
      <w:szCs w:val="20"/>
    </w:rPr>
  </w:style>
  <w:style w:type="paragraph" w:customStyle="1" w:styleId="362">
    <w:name w:val="样式13"/>
    <w:next w:val="363"/>
    <w:qFormat/>
    <w:uiPriority w:val="0"/>
    <w:pPr>
      <w:widowControl w:val="0"/>
      <w:jc w:val="center"/>
    </w:pPr>
    <w:rPr>
      <w:rFonts w:ascii="Times New Roman" w:hAnsi="宋体" w:eastAsia="宋体" w:cs="宋体"/>
      <w:sz w:val="18"/>
      <w:lang w:val="en-US" w:eastAsia="zh-CN" w:bidi="ar-SA"/>
    </w:rPr>
  </w:style>
  <w:style w:type="paragraph" w:customStyle="1" w:styleId="363">
    <w:name w:val="样式 (中文) 黑体 小二 居中 行距: 1.5 倍行距"/>
    <w:basedOn w:val="1"/>
    <w:next w:val="1"/>
    <w:qFormat/>
    <w:uiPriority w:val="0"/>
    <w:pPr>
      <w:jc w:val="center"/>
    </w:pPr>
    <w:rPr>
      <w:rFonts w:hAnsi="宋体" w:eastAsia="黑体" w:cs="宋体"/>
      <w:kern w:val="0"/>
      <w:sz w:val="36"/>
      <w:szCs w:val="20"/>
    </w:rPr>
  </w:style>
  <w:style w:type="paragraph" w:customStyle="1" w:styleId="364">
    <w:name w:val="xl152"/>
    <w:basedOn w:val="1"/>
    <w:next w:val="352"/>
    <w:qFormat/>
    <w:uiPriority w:val="0"/>
    <w:pPr>
      <w:widowControl/>
      <w:spacing w:before="280" w:after="280"/>
    </w:pPr>
    <w:rPr>
      <w:rFonts w:ascii="宋体" w:hAnsi="宋体" w:cs="宋体"/>
      <w:b/>
      <w:kern w:val="0"/>
      <w:sz w:val="18"/>
      <w:szCs w:val="20"/>
    </w:rPr>
  </w:style>
  <w:style w:type="paragraph" w:customStyle="1" w:styleId="365">
    <w:name w:val="无间隔1"/>
    <w:link w:val="506"/>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66">
    <w:name w:val="Char Char Char Char Char Char Char Char Char Char Char Char Char2"/>
    <w:basedOn w:val="1"/>
    <w:qFormat/>
    <w:uiPriority w:val="0"/>
    <w:pPr>
      <w:tabs>
        <w:tab w:val="left" w:pos="420"/>
      </w:tabs>
      <w:ind w:left="420" w:hanging="420"/>
    </w:pPr>
    <w:rPr>
      <w:rFonts w:ascii="Tahoma" w:hAnsi="Tahoma"/>
      <w:sz w:val="24"/>
      <w:szCs w:val="20"/>
    </w:rPr>
  </w:style>
  <w:style w:type="paragraph" w:customStyle="1" w:styleId="367">
    <w:name w:val="Char Char Char Char Char Char Char121"/>
    <w:basedOn w:val="1"/>
    <w:next w:val="344"/>
    <w:qFormat/>
    <w:uiPriority w:val="0"/>
    <w:pPr>
      <w:widowControl/>
      <w:spacing w:line="400" w:lineRule="exact"/>
      <w:jc w:val="center"/>
    </w:pPr>
    <w:rPr>
      <w:rFonts w:ascii="Verdana" w:hAnsi="宋体" w:cs="宋体"/>
      <w:kern w:val="0"/>
      <w:szCs w:val="20"/>
    </w:rPr>
  </w:style>
  <w:style w:type="paragraph" w:customStyle="1" w:styleId="368">
    <w:name w:val="Char Char Char Char Char Char Char Char Char Char Char Char Char1"/>
    <w:basedOn w:val="1"/>
    <w:qFormat/>
    <w:uiPriority w:val="0"/>
    <w:pPr>
      <w:tabs>
        <w:tab w:val="left" w:pos="420"/>
      </w:tabs>
      <w:ind w:left="420" w:hanging="420"/>
    </w:pPr>
    <w:rPr>
      <w:rFonts w:ascii="Tahoma" w:hAnsi="Tahoma"/>
      <w:sz w:val="24"/>
      <w:szCs w:val="20"/>
    </w:rPr>
  </w:style>
  <w:style w:type="paragraph" w:customStyle="1" w:styleId="369">
    <w:name w:val="font9"/>
    <w:basedOn w:val="1"/>
    <w:next w:val="275"/>
    <w:qFormat/>
    <w:uiPriority w:val="0"/>
    <w:pPr>
      <w:widowControl/>
      <w:spacing w:before="280" w:after="280"/>
    </w:pPr>
    <w:rPr>
      <w:rFonts w:ascii="宋体" w:hAnsi="宋体" w:cs="宋体"/>
      <w:kern w:val="0"/>
      <w:sz w:val="18"/>
      <w:szCs w:val="20"/>
    </w:rPr>
  </w:style>
  <w:style w:type="paragraph" w:customStyle="1" w:styleId="370">
    <w:name w:val="样式 (中文) 黑体 小三 黑色"/>
    <w:basedOn w:val="4"/>
    <w:next w:val="367"/>
    <w:qFormat/>
    <w:uiPriority w:val="0"/>
    <w:pPr>
      <w:keepNext w:val="0"/>
      <w:keepLines w:val="0"/>
      <w:spacing w:line="240" w:lineRule="auto"/>
      <w:jc w:val="center"/>
    </w:pPr>
    <w:rPr>
      <w:rFonts w:hAnsi="宋体" w:cs="宋体"/>
      <w:bCs w:val="0"/>
      <w:color w:val="000000"/>
      <w:kern w:val="0"/>
      <w:sz w:val="30"/>
      <w:szCs w:val="20"/>
    </w:rPr>
  </w:style>
  <w:style w:type="paragraph" w:customStyle="1" w:styleId="371">
    <w:name w:val="样式12"/>
    <w:next w:val="372"/>
    <w:qFormat/>
    <w:uiPriority w:val="0"/>
    <w:pPr>
      <w:widowControl w:val="0"/>
      <w:jc w:val="center"/>
    </w:pPr>
    <w:rPr>
      <w:rFonts w:ascii="Times New Roman" w:hAnsi="宋体" w:eastAsia="宋体" w:cs="宋体"/>
      <w:sz w:val="18"/>
      <w:lang w:val="en-US" w:eastAsia="zh-CN" w:bidi="ar-SA"/>
    </w:rPr>
  </w:style>
  <w:style w:type="paragraph" w:customStyle="1" w:styleId="372">
    <w:name w:val="Char Char1 Char Char Char21"/>
    <w:next w:val="80"/>
    <w:qFormat/>
    <w:uiPriority w:val="0"/>
    <w:pPr>
      <w:widowControl w:val="0"/>
      <w:shd w:val="clear" w:color="000000" w:fill="000080"/>
      <w:jc w:val="both"/>
    </w:pPr>
    <w:rPr>
      <w:rFonts w:ascii="Times New Roman" w:hAnsi="宋体" w:eastAsia="Times New Roman" w:cs="宋体"/>
      <w:sz w:val="21"/>
      <w:lang w:val="en-US" w:eastAsia="zh-CN" w:bidi="ar-SA"/>
    </w:rPr>
  </w:style>
  <w:style w:type="paragraph" w:customStyle="1" w:styleId="373">
    <w:name w:val="标题 1_0"/>
    <w:basedOn w:val="28"/>
    <w:next w:val="28"/>
    <w:qFormat/>
    <w:uiPriority w:val="0"/>
    <w:pPr>
      <w:keepNext/>
      <w:keepLines/>
      <w:spacing w:before="340" w:after="330" w:line="576" w:lineRule="auto"/>
      <w:outlineLvl w:val="0"/>
    </w:pPr>
    <w:rPr>
      <w:rFonts w:ascii="Times New Roman" w:hAnsi="Times New Roman"/>
      <w:b/>
      <w:bCs/>
      <w:kern w:val="44"/>
      <w:sz w:val="44"/>
      <w:szCs w:val="44"/>
    </w:rPr>
  </w:style>
  <w:style w:type="paragraph" w:customStyle="1" w:styleId="374">
    <w:name w:val="目录 81"/>
    <w:basedOn w:val="1"/>
    <w:next w:val="1"/>
    <w:qFormat/>
    <w:uiPriority w:val="0"/>
    <w:pPr>
      <w:ind w:left="2940"/>
    </w:pPr>
    <w:rPr>
      <w:rFonts w:ascii="Calibri" w:hAnsi="宋体" w:cs="宋体"/>
      <w:kern w:val="0"/>
      <w:szCs w:val="20"/>
    </w:rPr>
  </w:style>
  <w:style w:type="paragraph" w:customStyle="1" w:styleId="375">
    <w:name w:val="样式 标题 2 + (西文) 宋体 居中"/>
    <w:basedOn w:val="4"/>
    <w:next w:val="376"/>
    <w:qFormat/>
    <w:uiPriority w:val="0"/>
    <w:pPr>
      <w:keepNext w:val="0"/>
      <w:keepLines w:val="0"/>
      <w:spacing w:line="416" w:lineRule="auto"/>
      <w:jc w:val="center"/>
    </w:pPr>
    <w:rPr>
      <w:rFonts w:ascii="宋体" w:hAnsi="宋体" w:cs="宋体"/>
      <w:bCs w:val="0"/>
      <w:kern w:val="0"/>
      <w:szCs w:val="20"/>
    </w:rPr>
  </w:style>
  <w:style w:type="paragraph" w:customStyle="1" w:styleId="376">
    <w:name w:val="xl135"/>
    <w:basedOn w:val="1"/>
    <w:next w:val="248"/>
    <w:qFormat/>
    <w:uiPriority w:val="0"/>
    <w:pPr>
      <w:widowControl/>
      <w:spacing w:before="280" w:after="280"/>
    </w:pPr>
    <w:rPr>
      <w:rFonts w:ascii="宋体" w:hAnsi="宋体" w:cs="宋体"/>
      <w:kern w:val="0"/>
      <w:sz w:val="18"/>
      <w:szCs w:val="20"/>
    </w:rPr>
  </w:style>
  <w:style w:type="paragraph" w:customStyle="1" w:styleId="377">
    <w:name w:val="xl131"/>
    <w:basedOn w:val="1"/>
    <w:next w:val="378"/>
    <w:qFormat/>
    <w:uiPriority w:val="0"/>
    <w:pPr>
      <w:widowControl/>
      <w:spacing w:before="280" w:after="280"/>
    </w:pPr>
    <w:rPr>
      <w:rFonts w:ascii="宋体" w:hAnsi="宋体" w:cs="宋体"/>
      <w:kern w:val="0"/>
      <w:sz w:val="24"/>
      <w:szCs w:val="20"/>
    </w:rPr>
  </w:style>
  <w:style w:type="paragraph" w:customStyle="1" w:styleId="378">
    <w:name w:val="样式7"/>
    <w:next w:val="1"/>
    <w:qFormat/>
    <w:uiPriority w:val="0"/>
    <w:pPr>
      <w:widowControl w:val="0"/>
      <w:jc w:val="both"/>
    </w:pPr>
    <w:rPr>
      <w:rFonts w:ascii="Times New Roman" w:hAnsi="宋体" w:eastAsia="仿宋_GB2312" w:cs="宋体"/>
      <w:sz w:val="28"/>
      <w:lang w:val="en-US" w:eastAsia="zh-CN" w:bidi="ar-SA"/>
    </w:rPr>
  </w:style>
  <w:style w:type="paragraph" w:customStyle="1" w:styleId="379">
    <w:name w:val="五号正文（标准）"/>
    <w:basedOn w:val="1"/>
    <w:next w:val="349"/>
    <w:qFormat/>
    <w:uiPriority w:val="0"/>
    <w:pPr>
      <w:spacing w:line="360" w:lineRule="auto"/>
      <w:ind w:firstLine="600"/>
    </w:pPr>
    <w:rPr>
      <w:rFonts w:ascii="仿宋_GB2312" w:hAnsi="宋体" w:eastAsia="仿宋_GB2312" w:cs="宋体"/>
      <w:b/>
      <w:kern w:val="0"/>
      <w:sz w:val="30"/>
      <w:szCs w:val="20"/>
    </w:rPr>
  </w:style>
  <w:style w:type="paragraph" w:customStyle="1" w:styleId="380">
    <w:name w:val="xl136"/>
    <w:basedOn w:val="1"/>
    <w:next w:val="381"/>
    <w:qFormat/>
    <w:uiPriority w:val="0"/>
    <w:pPr>
      <w:widowControl/>
      <w:spacing w:before="280" w:after="280"/>
      <w:jc w:val="center"/>
    </w:pPr>
    <w:rPr>
      <w:rFonts w:ascii="宋体" w:hAnsi="宋体" w:cs="宋体"/>
      <w:kern w:val="0"/>
      <w:sz w:val="20"/>
      <w:szCs w:val="20"/>
    </w:rPr>
  </w:style>
  <w:style w:type="paragraph" w:customStyle="1" w:styleId="381">
    <w:name w:val="xl156"/>
    <w:basedOn w:val="1"/>
    <w:next w:val="382"/>
    <w:qFormat/>
    <w:uiPriority w:val="0"/>
    <w:pPr>
      <w:widowControl/>
      <w:shd w:val="clear" w:color="000000" w:fill="C0C0C0"/>
      <w:spacing w:before="280" w:after="280"/>
    </w:pPr>
    <w:rPr>
      <w:rFonts w:ascii="宋体" w:hAnsi="宋体" w:cs="宋体"/>
      <w:kern w:val="0"/>
      <w:sz w:val="20"/>
      <w:szCs w:val="20"/>
    </w:rPr>
  </w:style>
  <w:style w:type="paragraph" w:customStyle="1" w:styleId="382">
    <w:name w:val="Char Char Char Char Char Char Char Char Char Char Char Char Char Char Char Char Char Char Char1"/>
    <w:basedOn w:val="1"/>
    <w:next w:val="339"/>
    <w:qFormat/>
    <w:uiPriority w:val="0"/>
    <w:pPr>
      <w:widowControl/>
      <w:spacing w:line="400" w:lineRule="exact"/>
      <w:jc w:val="center"/>
    </w:pPr>
    <w:rPr>
      <w:rFonts w:ascii="Verdana" w:hAnsi="宋体" w:cs="宋体"/>
      <w:kern w:val="0"/>
      <w:szCs w:val="20"/>
    </w:rPr>
  </w:style>
  <w:style w:type="paragraph" w:customStyle="1" w:styleId="383">
    <w:name w:val="样式 标题 3h3section:3Level 3 HeadH3level_3PIM 33rd level3H..."/>
    <w:basedOn w:val="5"/>
    <w:next w:val="358"/>
    <w:qFormat/>
    <w:uiPriority w:val="0"/>
    <w:pPr>
      <w:keepNext w:val="0"/>
      <w:keepLines w:val="0"/>
      <w:spacing w:line="416" w:lineRule="atLeast"/>
      <w:ind w:left="1680" w:hanging="420"/>
    </w:pPr>
    <w:rPr>
      <w:rFonts w:ascii="Arial" w:hAnsi="宋体" w:cs="宋体"/>
      <w:bCs w:val="0"/>
      <w:kern w:val="0"/>
      <w:sz w:val="24"/>
      <w:szCs w:val="20"/>
    </w:rPr>
  </w:style>
  <w:style w:type="paragraph" w:customStyle="1" w:styleId="384">
    <w:name w:val="xl140"/>
    <w:basedOn w:val="1"/>
    <w:next w:val="385"/>
    <w:qFormat/>
    <w:uiPriority w:val="0"/>
    <w:pPr>
      <w:widowControl/>
      <w:spacing w:before="280" w:after="280"/>
    </w:pPr>
    <w:rPr>
      <w:rFonts w:ascii="宋体" w:hAnsi="宋体" w:cs="宋体"/>
      <w:kern w:val="0"/>
      <w:sz w:val="18"/>
      <w:szCs w:val="20"/>
    </w:rPr>
  </w:style>
  <w:style w:type="paragraph" w:customStyle="1" w:styleId="385">
    <w:name w:val="xl143"/>
    <w:basedOn w:val="1"/>
    <w:next w:val="1"/>
    <w:qFormat/>
    <w:uiPriority w:val="0"/>
    <w:pPr>
      <w:widowControl/>
      <w:spacing w:before="280" w:after="280"/>
      <w:jc w:val="center"/>
    </w:pPr>
    <w:rPr>
      <w:rFonts w:ascii="宋体" w:hAnsi="宋体" w:cs="宋体"/>
      <w:color w:val="000000"/>
      <w:kern w:val="0"/>
      <w:sz w:val="20"/>
      <w:szCs w:val="20"/>
    </w:rPr>
  </w:style>
  <w:style w:type="paragraph" w:customStyle="1" w:styleId="386">
    <w:name w:val="TOC 标题_0"/>
    <w:basedOn w:val="373"/>
    <w:next w:val="28"/>
    <w:qFormat/>
    <w:uiPriority w:val="0"/>
    <w:pPr>
      <w:outlineLvl w:val="9"/>
    </w:pPr>
    <w:rPr>
      <w:rFonts w:ascii="Calibri" w:hAnsi="Calibri"/>
    </w:rPr>
  </w:style>
  <w:style w:type="paragraph" w:customStyle="1" w:styleId="387">
    <w:name w:val="Char Char Char Char Char Char Char Char Char Char Char Char Char Char Char21"/>
    <w:basedOn w:val="1"/>
    <w:next w:val="326"/>
    <w:qFormat/>
    <w:uiPriority w:val="0"/>
    <w:pPr>
      <w:widowControl/>
      <w:spacing w:line="400" w:lineRule="exact"/>
      <w:jc w:val="center"/>
    </w:pPr>
    <w:rPr>
      <w:rFonts w:ascii="Verdana" w:hAnsi="宋体" w:cs="宋体"/>
      <w:kern w:val="0"/>
      <w:szCs w:val="20"/>
    </w:rPr>
  </w:style>
  <w:style w:type="paragraph" w:customStyle="1" w:styleId="388">
    <w:name w:val="德吉标题二"/>
    <w:basedOn w:val="4"/>
    <w:next w:val="21"/>
    <w:qFormat/>
    <w:uiPriority w:val="0"/>
    <w:pPr>
      <w:keepNext w:val="0"/>
      <w:keepLines w:val="0"/>
      <w:spacing w:line="416" w:lineRule="auto"/>
    </w:pPr>
    <w:rPr>
      <w:rFonts w:ascii="仿宋_GB2312" w:hAnsi="宋体" w:eastAsia="仿宋_GB2312" w:cs="宋体"/>
      <w:bCs w:val="0"/>
      <w:kern w:val="0"/>
      <w:szCs w:val="20"/>
    </w:rPr>
  </w:style>
  <w:style w:type="paragraph" w:customStyle="1" w:styleId="389">
    <w:name w:val="Default"/>
    <w:qFormat/>
    <w:uiPriority w:val="0"/>
    <w:pPr>
      <w:widowControl w:val="0"/>
      <w:autoSpaceDE w:val="0"/>
      <w:autoSpaceDN w:val="0"/>
      <w:adjustRightInd w:val="0"/>
    </w:pPr>
    <w:rPr>
      <w:rFonts w:ascii="Times New Roman" w:hAnsi="Times New Roman" w:eastAsia="宋体" w:cs="Calibri"/>
      <w:color w:val="000000"/>
      <w:sz w:val="24"/>
      <w:szCs w:val="24"/>
      <w:lang w:val="en-US" w:eastAsia="zh-CN" w:bidi="ar-SA"/>
    </w:rPr>
  </w:style>
  <w:style w:type="paragraph" w:customStyle="1" w:styleId="390">
    <w:name w:val="xl155"/>
    <w:basedOn w:val="1"/>
    <w:next w:val="383"/>
    <w:qFormat/>
    <w:uiPriority w:val="0"/>
    <w:pPr>
      <w:widowControl/>
      <w:shd w:val="clear" w:color="000000" w:fill="C0C0C0"/>
      <w:spacing w:before="280" w:after="280"/>
    </w:pPr>
    <w:rPr>
      <w:rFonts w:ascii="宋体" w:hAnsi="宋体" w:cs="宋体"/>
      <w:kern w:val="0"/>
      <w:sz w:val="20"/>
      <w:szCs w:val="20"/>
    </w:rPr>
  </w:style>
  <w:style w:type="paragraph" w:customStyle="1" w:styleId="391">
    <w:name w:val="样式3 Char"/>
    <w:basedOn w:val="5"/>
    <w:next w:val="1"/>
    <w:qFormat/>
    <w:uiPriority w:val="0"/>
    <w:pPr>
      <w:keepNext w:val="0"/>
      <w:keepLines w:val="0"/>
      <w:spacing w:line="240" w:lineRule="auto"/>
      <w:jc w:val="center"/>
    </w:pPr>
    <w:rPr>
      <w:rFonts w:hAnsi="宋体" w:eastAsia="黑体" w:cs="宋体"/>
      <w:bCs w:val="0"/>
      <w:kern w:val="0"/>
      <w:szCs w:val="20"/>
    </w:rPr>
  </w:style>
  <w:style w:type="paragraph" w:customStyle="1" w:styleId="392">
    <w:name w:val="样式9"/>
    <w:next w:val="393"/>
    <w:qFormat/>
    <w:uiPriority w:val="0"/>
    <w:pPr>
      <w:widowControl w:val="0"/>
      <w:jc w:val="center"/>
    </w:pPr>
    <w:rPr>
      <w:rFonts w:ascii="Times New Roman" w:hAnsi="宋体" w:eastAsia="宋体" w:cs="宋体"/>
      <w:sz w:val="18"/>
      <w:lang w:val="en-US" w:eastAsia="zh-CN" w:bidi="ar-SA"/>
    </w:rPr>
  </w:style>
  <w:style w:type="paragraph" w:customStyle="1" w:styleId="393">
    <w:name w:val="xl148"/>
    <w:basedOn w:val="1"/>
    <w:next w:val="338"/>
    <w:qFormat/>
    <w:uiPriority w:val="0"/>
    <w:pPr>
      <w:widowControl/>
      <w:spacing w:before="280" w:after="280"/>
    </w:pPr>
    <w:rPr>
      <w:rFonts w:ascii="宋体" w:hAnsi="宋体" w:cs="宋体"/>
      <w:kern w:val="0"/>
      <w:sz w:val="20"/>
      <w:szCs w:val="20"/>
    </w:rPr>
  </w:style>
  <w:style w:type="paragraph" w:customStyle="1" w:styleId="394">
    <w:name w:val="Char Char Char Char Char Char Char"/>
    <w:basedOn w:val="1"/>
    <w:qFormat/>
    <w:uiPriority w:val="0"/>
    <w:pPr>
      <w:widowControl/>
      <w:spacing w:after="160" w:line="240" w:lineRule="exact"/>
      <w:jc w:val="left"/>
    </w:pPr>
  </w:style>
  <w:style w:type="paragraph" w:customStyle="1" w:styleId="395">
    <w:name w:val="Char Char Char1 Char Char Char Char Char Char Char1"/>
    <w:basedOn w:val="1"/>
    <w:next w:val="396"/>
    <w:qFormat/>
    <w:uiPriority w:val="0"/>
    <w:rPr>
      <w:rFonts w:ascii="Tahoma" w:hAnsi="宋体" w:cs="宋体"/>
      <w:kern w:val="0"/>
      <w:sz w:val="24"/>
      <w:szCs w:val="20"/>
    </w:rPr>
  </w:style>
  <w:style w:type="paragraph" w:customStyle="1" w:styleId="396">
    <w:name w:val="目录 31"/>
    <w:basedOn w:val="1"/>
    <w:next w:val="1"/>
    <w:qFormat/>
    <w:uiPriority w:val="0"/>
    <w:pPr>
      <w:ind w:left="840"/>
    </w:pPr>
    <w:rPr>
      <w:rFonts w:hAnsi="宋体" w:eastAsia="仿宋_GB2312" w:cs="宋体"/>
      <w:kern w:val="0"/>
      <w:sz w:val="28"/>
      <w:szCs w:val="20"/>
    </w:rPr>
  </w:style>
  <w:style w:type="paragraph" w:customStyle="1" w:styleId="397">
    <w:name w:val="副标题11"/>
    <w:basedOn w:val="1"/>
    <w:next w:val="1"/>
    <w:qFormat/>
    <w:uiPriority w:val="0"/>
    <w:pPr>
      <w:spacing w:before="120" w:after="120"/>
    </w:pPr>
    <w:rPr>
      <w:rFonts w:ascii="Arial" w:hAnsi="宋体" w:cs="宋体"/>
      <w:b/>
      <w:color w:val="000000"/>
      <w:kern w:val="0"/>
      <w:sz w:val="20"/>
      <w:szCs w:val="20"/>
    </w:rPr>
  </w:style>
  <w:style w:type="paragraph" w:customStyle="1" w:styleId="398">
    <w:name w:val="xl146"/>
    <w:basedOn w:val="1"/>
    <w:next w:val="399"/>
    <w:qFormat/>
    <w:uiPriority w:val="0"/>
    <w:pPr>
      <w:widowControl/>
      <w:spacing w:before="280" w:after="280"/>
    </w:pPr>
    <w:rPr>
      <w:rFonts w:ascii="宋体" w:hAnsi="宋体" w:cs="宋体"/>
      <w:kern w:val="0"/>
      <w:sz w:val="24"/>
      <w:szCs w:val="20"/>
    </w:rPr>
  </w:style>
  <w:style w:type="paragraph" w:customStyle="1" w:styleId="399">
    <w:name w:val="样式2"/>
    <w:basedOn w:val="4"/>
    <w:next w:val="1"/>
    <w:qFormat/>
    <w:uiPriority w:val="0"/>
    <w:pPr>
      <w:keepNext w:val="0"/>
      <w:keepLines w:val="0"/>
      <w:spacing w:line="240" w:lineRule="auto"/>
      <w:jc w:val="center"/>
    </w:pPr>
    <w:rPr>
      <w:rFonts w:hAnsi="宋体" w:cs="宋体"/>
      <w:bCs w:val="0"/>
      <w:kern w:val="0"/>
      <w:sz w:val="36"/>
      <w:szCs w:val="20"/>
    </w:rPr>
  </w:style>
  <w:style w:type="paragraph" w:customStyle="1" w:styleId="400">
    <w:name w:val="xl161"/>
    <w:basedOn w:val="1"/>
    <w:next w:val="300"/>
    <w:qFormat/>
    <w:uiPriority w:val="0"/>
    <w:pPr>
      <w:widowControl/>
      <w:spacing w:before="280" w:after="280"/>
      <w:jc w:val="center"/>
    </w:pPr>
    <w:rPr>
      <w:rFonts w:ascii="宋体" w:hAnsi="宋体" w:cs="宋体"/>
      <w:color w:val="000000"/>
      <w:kern w:val="0"/>
      <w:sz w:val="20"/>
      <w:szCs w:val="20"/>
    </w:rPr>
  </w:style>
  <w:style w:type="paragraph" w:customStyle="1" w:styleId="401">
    <w:name w:val="Char Char"/>
    <w:basedOn w:val="1"/>
    <w:next w:val="1"/>
    <w:qFormat/>
    <w:uiPriority w:val="0"/>
    <w:pPr>
      <w:widowControl/>
      <w:spacing w:after="160" w:line="240" w:lineRule="exact"/>
    </w:pPr>
    <w:rPr>
      <w:rFonts w:hAnsi="宋体" w:cs="宋体"/>
      <w:kern w:val="0"/>
      <w:szCs w:val="20"/>
    </w:rPr>
  </w:style>
  <w:style w:type="paragraph" w:customStyle="1" w:styleId="402">
    <w:name w:val="xl141"/>
    <w:basedOn w:val="1"/>
    <w:next w:val="390"/>
    <w:qFormat/>
    <w:uiPriority w:val="0"/>
    <w:pPr>
      <w:widowControl/>
      <w:spacing w:before="280" w:after="280"/>
    </w:pPr>
    <w:rPr>
      <w:rFonts w:ascii="宋体" w:hAnsi="宋体" w:cs="宋体"/>
      <w:b/>
      <w:kern w:val="0"/>
      <w:sz w:val="18"/>
      <w:szCs w:val="20"/>
    </w:rPr>
  </w:style>
  <w:style w:type="paragraph" w:customStyle="1" w:styleId="403">
    <w:name w:val="华文细黑1"/>
    <w:basedOn w:val="1"/>
    <w:next w:val="404"/>
    <w:qFormat/>
    <w:uiPriority w:val="0"/>
    <w:pPr>
      <w:widowControl/>
      <w:spacing w:line="300" w:lineRule="auto"/>
      <w:ind w:firstLine="200"/>
    </w:pPr>
    <w:rPr>
      <w:rFonts w:hAnsi="宋体" w:eastAsia="华文细黑" w:cs="宋体"/>
      <w:kern w:val="0"/>
      <w:sz w:val="24"/>
      <w:szCs w:val="20"/>
    </w:rPr>
  </w:style>
  <w:style w:type="paragraph" w:customStyle="1" w:styleId="404">
    <w:name w:val="TOC 81"/>
    <w:next w:val="1"/>
    <w:qFormat/>
    <w:uiPriority w:val="0"/>
    <w:pPr>
      <w:wordWrap w:val="0"/>
      <w:ind w:left="2975"/>
      <w:jc w:val="both"/>
    </w:pPr>
    <w:rPr>
      <w:rFonts w:ascii="宋体" w:hAnsi="宋体" w:eastAsia="宋体" w:cs="宋体"/>
      <w:sz w:val="21"/>
      <w:lang w:val="en-US" w:eastAsia="zh-CN" w:bidi="ar-SA"/>
    </w:rPr>
  </w:style>
  <w:style w:type="paragraph" w:customStyle="1" w:styleId="405">
    <w:name w:val="样式11"/>
    <w:basedOn w:val="36"/>
    <w:qFormat/>
    <w:uiPriority w:val="0"/>
    <w:pPr>
      <w:widowControl/>
      <w:pBdr>
        <w:bottom w:val="none" w:color="auto" w:sz="0" w:space="0"/>
      </w:pBdr>
    </w:pPr>
  </w:style>
  <w:style w:type="paragraph" w:customStyle="1" w:styleId="406">
    <w:name w:val="TOC 11"/>
    <w:next w:val="1"/>
    <w:qFormat/>
    <w:uiPriority w:val="0"/>
    <w:pPr>
      <w:wordWrap w:val="0"/>
      <w:jc w:val="both"/>
    </w:pPr>
    <w:rPr>
      <w:rFonts w:ascii="宋体" w:hAnsi="宋体" w:eastAsia="宋体" w:cs="宋体"/>
      <w:sz w:val="21"/>
      <w:lang w:val="en-US" w:eastAsia="zh-CN" w:bidi="ar-SA"/>
    </w:rPr>
  </w:style>
  <w:style w:type="paragraph" w:customStyle="1" w:styleId="407">
    <w:name w:val="Char Char Char Char2"/>
    <w:basedOn w:val="1"/>
    <w:next w:val="1"/>
    <w:qFormat/>
    <w:uiPriority w:val="0"/>
    <w:pPr>
      <w:widowControl/>
      <w:spacing w:after="160" w:line="240" w:lineRule="exact"/>
      <w:jc w:val="left"/>
    </w:pPr>
  </w:style>
  <w:style w:type="paragraph" w:customStyle="1" w:styleId="408">
    <w:name w:val="重点说明"/>
    <w:basedOn w:val="1"/>
    <w:next w:val="397"/>
    <w:qFormat/>
    <w:uiPriority w:val="0"/>
    <w:pPr>
      <w:widowControl/>
      <w:spacing w:before="40" w:after="40" w:line="400" w:lineRule="exact"/>
      <w:ind w:left="360" w:hanging="360"/>
    </w:pPr>
    <w:rPr>
      <w:rFonts w:ascii="宋体" w:hAnsi="宋体" w:cs="宋体"/>
      <w:b/>
      <w:kern w:val="0"/>
      <w:sz w:val="28"/>
      <w:szCs w:val="20"/>
    </w:rPr>
  </w:style>
  <w:style w:type="paragraph" w:customStyle="1" w:styleId="409">
    <w:name w:val="明显引用1"/>
    <w:basedOn w:val="1"/>
    <w:next w:val="1"/>
    <w:qFormat/>
    <w:uiPriority w:val="0"/>
    <w:pPr>
      <w:pBdr>
        <w:bottom w:val="single" w:color="4F81BD" w:sz="4" w:space="4"/>
      </w:pBdr>
      <w:spacing w:before="200" w:after="280"/>
      <w:ind w:left="936" w:right="936"/>
    </w:pPr>
    <w:rPr>
      <w:b/>
      <w:i/>
      <w:color w:val="4F81BD"/>
      <w:sz w:val="22"/>
      <w:szCs w:val="20"/>
    </w:rPr>
  </w:style>
  <w:style w:type="paragraph" w:customStyle="1" w:styleId="410">
    <w:name w:val="正文3"/>
    <w:qFormat/>
    <w:uiPriority w:val="0"/>
    <w:pPr>
      <w:widowControl w:val="0"/>
      <w:spacing w:line="315" w:lineRule="atLeast"/>
      <w:jc w:val="both"/>
    </w:pPr>
    <w:rPr>
      <w:rFonts w:ascii="宋体" w:hAnsi="宋体" w:eastAsia="宋体" w:cs="宋体"/>
      <w:sz w:val="24"/>
      <w:lang w:val="en-US" w:eastAsia="zh-CN" w:bidi="ar-SA"/>
    </w:rPr>
  </w:style>
  <w:style w:type="paragraph" w:customStyle="1" w:styleId="411">
    <w:name w:val="样式4"/>
    <w:basedOn w:val="1"/>
    <w:next w:val="15"/>
    <w:qFormat/>
    <w:uiPriority w:val="0"/>
    <w:pPr>
      <w:ind w:right="13"/>
      <w:jc w:val="right"/>
    </w:pPr>
    <w:rPr>
      <w:rFonts w:hAnsi="宋体" w:eastAsia="仿宋_GB2312" w:cs="宋体"/>
      <w:kern w:val="0"/>
      <w:sz w:val="28"/>
      <w:szCs w:val="20"/>
    </w:rPr>
  </w:style>
  <w:style w:type="paragraph" w:customStyle="1" w:styleId="412">
    <w:name w:val="样式5"/>
    <w:basedOn w:val="413"/>
    <w:next w:val="298"/>
    <w:qFormat/>
    <w:uiPriority w:val="0"/>
    <w:pPr>
      <w:spacing w:before="340" w:after="330" w:line="360" w:lineRule="auto"/>
      <w:ind w:firstLine="0" w:firstLineChars="0"/>
      <w:jc w:val="center"/>
      <w:outlineLvl w:val="0"/>
    </w:pPr>
    <w:rPr>
      <w:rFonts w:ascii="Times New Roman" w:hAnsi="宋体" w:eastAsia="黑体" w:cs="宋体"/>
      <w:b/>
      <w:kern w:val="0"/>
      <w:sz w:val="36"/>
      <w:szCs w:val="20"/>
    </w:rPr>
  </w:style>
  <w:style w:type="paragraph" w:styleId="413">
    <w:name w:val="List Paragraph"/>
    <w:basedOn w:val="1"/>
    <w:qFormat/>
    <w:uiPriority w:val="0"/>
    <w:pPr>
      <w:ind w:firstLine="420" w:firstLineChars="200"/>
    </w:pPr>
    <w:rPr>
      <w:rFonts w:ascii="Calibri" w:hAnsi="Calibri"/>
      <w:szCs w:val="22"/>
    </w:rPr>
  </w:style>
  <w:style w:type="paragraph" w:customStyle="1" w:styleId="414">
    <w:name w:val="fontsize"/>
    <w:basedOn w:val="1"/>
    <w:next w:val="415"/>
    <w:qFormat/>
    <w:uiPriority w:val="0"/>
    <w:pPr>
      <w:widowControl/>
      <w:spacing w:before="280" w:after="280"/>
      <w:ind w:firstLine="180"/>
    </w:pPr>
    <w:rPr>
      <w:rFonts w:ascii="Arial Unicode MS" w:hAnsi="宋体" w:eastAsia="Arial Unicode MS" w:cs="宋体"/>
      <w:color w:val="000000"/>
      <w:kern w:val="0"/>
      <w:sz w:val="24"/>
      <w:szCs w:val="20"/>
      <w:vertAlign w:val="subscript"/>
    </w:rPr>
  </w:style>
  <w:style w:type="paragraph" w:customStyle="1" w:styleId="415">
    <w:name w:val="文档正文"/>
    <w:basedOn w:val="1"/>
    <w:next w:val="244"/>
    <w:qFormat/>
    <w:uiPriority w:val="0"/>
    <w:pPr>
      <w:spacing w:line="480" w:lineRule="atLeast"/>
      <w:ind w:firstLine="567"/>
    </w:pPr>
    <w:rPr>
      <w:rFonts w:ascii="长城仿宋" w:hAnsi="宋体" w:cs="宋体"/>
      <w:kern w:val="0"/>
      <w:sz w:val="24"/>
      <w:szCs w:val="20"/>
    </w:rPr>
  </w:style>
  <w:style w:type="paragraph" w:customStyle="1" w:styleId="416">
    <w:name w:val="List Paragraph1"/>
    <w:basedOn w:val="1"/>
    <w:next w:val="417"/>
    <w:qFormat/>
    <w:uiPriority w:val="99"/>
    <w:pPr>
      <w:ind w:firstLine="420"/>
    </w:pPr>
    <w:rPr>
      <w:rFonts w:hAnsi="宋体" w:cs="宋体"/>
      <w:kern w:val="0"/>
      <w:szCs w:val="20"/>
    </w:rPr>
  </w:style>
  <w:style w:type="paragraph" w:customStyle="1" w:styleId="417">
    <w:name w:val="Char Char Char Char"/>
    <w:basedOn w:val="1"/>
    <w:qFormat/>
    <w:uiPriority w:val="0"/>
    <w:pPr>
      <w:widowControl/>
      <w:spacing w:line="500" w:lineRule="exact"/>
      <w:outlineLvl w:val="2"/>
    </w:pPr>
    <w:rPr>
      <w:rFonts w:ascii="黑体" w:hAnsi="Verdana" w:eastAsia="黑体" w:cs="黑体"/>
      <w:kern w:val="0"/>
      <w:sz w:val="28"/>
      <w:szCs w:val="28"/>
      <w:lang w:eastAsia="en-US"/>
    </w:rPr>
  </w:style>
  <w:style w:type="paragraph" w:customStyle="1" w:styleId="418">
    <w:name w:val="xl24"/>
    <w:basedOn w:val="1"/>
    <w:next w:val="305"/>
    <w:qFormat/>
    <w:uiPriority w:val="0"/>
    <w:pPr>
      <w:widowControl/>
      <w:spacing w:before="280" w:after="280"/>
    </w:pPr>
    <w:rPr>
      <w:rFonts w:ascii="宋体" w:hAnsi="宋体" w:cs="宋体"/>
      <w:kern w:val="0"/>
      <w:sz w:val="20"/>
      <w:szCs w:val="20"/>
    </w:rPr>
  </w:style>
  <w:style w:type="paragraph" w:customStyle="1" w:styleId="419">
    <w:name w:val="正文缩进1"/>
    <w:basedOn w:val="1"/>
    <w:next w:val="416"/>
    <w:qFormat/>
    <w:uiPriority w:val="0"/>
    <w:pPr>
      <w:spacing w:line="312" w:lineRule="atLeast"/>
      <w:ind w:firstLine="420"/>
    </w:pPr>
    <w:rPr>
      <w:rFonts w:ascii="Plotter" w:hAnsi="宋体" w:cs="宋体"/>
      <w:kern w:val="0"/>
      <w:szCs w:val="20"/>
    </w:rPr>
  </w:style>
  <w:style w:type="paragraph" w:customStyle="1" w:styleId="420">
    <w:name w:val="Char Char Char Char Char Char Char12"/>
    <w:basedOn w:val="1"/>
    <w:qFormat/>
    <w:uiPriority w:val="0"/>
    <w:pPr>
      <w:widowControl/>
      <w:spacing w:line="400" w:lineRule="exact"/>
      <w:jc w:val="center"/>
    </w:pPr>
    <w:rPr>
      <w:rFonts w:ascii="Verdana" w:hAnsi="Verdana"/>
      <w:kern w:val="0"/>
      <w:szCs w:val="20"/>
      <w:lang w:eastAsia="en-US"/>
    </w:rPr>
  </w:style>
  <w:style w:type="paragraph" w:customStyle="1" w:styleId="421">
    <w:name w:val="正文缩进11"/>
    <w:basedOn w:val="1"/>
    <w:next w:val="1"/>
    <w:qFormat/>
    <w:uiPriority w:val="0"/>
    <w:pPr>
      <w:spacing w:line="360" w:lineRule="atLeast"/>
      <w:ind w:firstLine="482"/>
    </w:pPr>
    <w:rPr>
      <w:rFonts w:hAnsi="宋体" w:cs="宋体"/>
      <w:kern w:val="0"/>
      <w:sz w:val="24"/>
      <w:szCs w:val="20"/>
    </w:rPr>
  </w:style>
  <w:style w:type="paragraph" w:customStyle="1" w:styleId="422">
    <w:name w:val="font14"/>
    <w:basedOn w:val="1"/>
    <w:next w:val="379"/>
    <w:qFormat/>
    <w:uiPriority w:val="0"/>
    <w:pPr>
      <w:widowControl/>
      <w:spacing w:before="280" w:after="280"/>
    </w:pPr>
    <w:rPr>
      <w:rFonts w:ascii="宋体" w:hAnsi="宋体" w:cs="宋体"/>
      <w:kern w:val="0"/>
      <w:sz w:val="18"/>
      <w:szCs w:val="20"/>
    </w:rPr>
  </w:style>
  <w:style w:type="paragraph" w:customStyle="1" w:styleId="423">
    <w:name w:val="TOC 61"/>
    <w:next w:val="1"/>
    <w:qFormat/>
    <w:uiPriority w:val="0"/>
    <w:pPr>
      <w:wordWrap w:val="0"/>
      <w:ind w:left="2125"/>
      <w:jc w:val="both"/>
    </w:pPr>
    <w:rPr>
      <w:rFonts w:ascii="宋体" w:hAnsi="宋体" w:eastAsia="宋体" w:cs="宋体"/>
      <w:sz w:val="21"/>
      <w:lang w:val="en-US" w:eastAsia="zh-CN" w:bidi="ar-SA"/>
    </w:rPr>
  </w:style>
  <w:style w:type="paragraph" w:customStyle="1" w:styleId="424">
    <w:name w:val="默认段落字体 Para Char Char Char Char"/>
    <w:basedOn w:val="1"/>
    <w:next w:val="34"/>
    <w:qFormat/>
    <w:uiPriority w:val="0"/>
    <w:rPr>
      <w:rFonts w:hAnsi="宋体" w:cs="宋体"/>
      <w:kern w:val="0"/>
      <w:szCs w:val="20"/>
    </w:rPr>
  </w:style>
  <w:style w:type="paragraph" w:customStyle="1" w:styleId="425">
    <w:name w:val="p0"/>
    <w:basedOn w:val="1"/>
    <w:qFormat/>
    <w:uiPriority w:val="0"/>
    <w:pPr>
      <w:widowControl/>
    </w:pPr>
    <w:rPr>
      <w:rFonts w:ascii="Calibri" w:hAnsi="Calibri" w:cs="宋体"/>
      <w:kern w:val="0"/>
      <w:szCs w:val="21"/>
    </w:rPr>
  </w:style>
  <w:style w:type="paragraph" w:customStyle="1" w:styleId="426">
    <w:name w:val="Char Char Char Char Char Char Char Char Char Char Char Char Char Char Char2"/>
    <w:basedOn w:val="1"/>
    <w:qFormat/>
    <w:uiPriority w:val="0"/>
    <w:pPr>
      <w:widowControl/>
      <w:spacing w:line="400" w:lineRule="exact"/>
      <w:jc w:val="center"/>
    </w:pPr>
    <w:rPr>
      <w:rFonts w:ascii="Verdana" w:hAnsi="Verdana"/>
      <w:kern w:val="0"/>
      <w:szCs w:val="20"/>
      <w:lang w:eastAsia="en-US"/>
    </w:rPr>
  </w:style>
  <w:style w:type="paragraph" w:customStyle="1" w:styleId="427">
    <w:name w:val="flNote"/>
    <w:basedOn w:val="1"/>
    <w:qFormat/>
    <w:uiPriority w:val="0"/>
    <w:pPr>
      <w:adjustRightInd w:val="0"/>
      <w:spacing w:before="320" w:after="160" w:line="360" w:lineRule="atLeast"/>
      <w:jc w:val="center"/>
      <w:textAlignment w:val="baseline"/>
    </w:pPr>
    <w:rPr>
      <w:rFonts w:ascii="Arial" w:eastAsia="黑体"/>
      <w:kern w:val="0"/>
      <w:sz w:val="30"/>
      <w:szCs w:val="20"/>
    </w:rPr>
  </w:style>
  <w:style w:type="paragraph" w:customStyle="1" w:styleId="428">
    <w:name w:val="TOC 标题2"/>
    <w:basedOn w:val="3"/>
    <w:next w:val="1"/>
    <w:qFormat/>
    <w:uiPriority w:val="0"/>
    <w:pPr>
      <w:widowControl/>
      <w:spacing w:before="480" w:after="0" w:line="276" w:lineRule="auto"/>
      <w:jc w:val="left"/>
      <w:outlineLvl w:val="9"/>
    </w:pPr>
    <w:rPr>
      <w:rFonts w:ascii="Cambria" w:hAnsi="Cambria"/>
      <w:color w:val="365F91"/>
      <w:kern w:val="0"/>
      <w:sz w:val="28"/>
      <w:szCs w:val="28"/>
    </w:rPr>
  </w:style>
  <w:style w:type="paragraph" w:customStyle="1" w:styleId="429">
    <w:name w:val="TOC 标题1"/>
    <w:basedOn w:val="3"/>
    <w:next w:val="1"/>
    <w:qFormat/>
    <w:uiPriority w:val="99"/>
    <w:pPr>
      <w:keepNext w:val="0"/>
      <w:keepLines w:val="0"/>
      <w:widowControl/>
      <w:spacing w:before="480" w:after="0" w:line="276" w:lineRule="auto"/>
    </w:pPr>
    <w:rPr>
      <w:rFonts w:ascii="Cambria" w:hAnsi="宋体" w:cs="宋体"/>
      <w:bCs w:val="0"/>
      <w:color w:val="365F91"/>
      <w:kern w:val="0"/>
      <w:sz w:val="28"/>
      <w:szCs w:val="20"/>
    </w:rPr>
  </w:style>
  <w:style w:type="paragraph" w:customStyle="1" w:styleId="430">
    <w:name w:val="xl168"/>
    <w:basedOn w:val="1"/>
    <w:next w:val="1"/>
    <w:qFormat/>
    <w:uiPriority w:val="0"/>
    <w:pPr>
      <w:widowControl/>
      <w:spacing w:before="280" w:after="280"/>
      <w:jc w:val="center"/>
    </w:pPr>
    <w:rPr>
      <w:rFonts w:ascii="宋体" w:hAnsi="宋体" w:cs="宋体"/>
      <w:kern w:val="0"/>
      <w:sz w:val="24"/>
      <w:szCs w:val="20"/>
    </w:rPr>
  </w:style>
  <w:style w:type="paragraph" w:customStyle="1" w:styleId="431">
    <w:name w:val="正文文本_0"/>
    <w:basedOn w:val="28"/>
    <w:qFormat/>
    <w:uiPriority w:val="0"/>
    <w:pPr>
      <w:adjustRightInd w:val="0"/>
      <w:spacing w:after="60" w:line="360" w:lineRule="atLeast"/>
      <w:ind w:left="72" w:leftChars="30" w:right="30" w:rightChars="30"/>
      <w:jc w:val="center"/>
      <w:textAlignment w:val="baseline"/>
    </w:pPr>
    <w:rPr>
      <w:rFonts w:ascii="Times New Roman" w:hAnsi="Times New Roman"/>
      <w:kern w:val="0"/>
      <w:sz w:val="20"/>
      <w:szCs w:val="20"/>
    </w:rPr>
  </w:style>
  <w:style w:type="paragraph" w:customStyle="1" w:styleId="432">
    <w:name w:val="1"/>
    <w:basedOn w:val="1"/>
    <w:next w:val="1"/>
    <w:qFormat/>
    <w:uiPriority w:val="0"/>
  </w:style>
  <w:style w:type="paragraph" w:customStyle="1" w:styleId="433">
    <w:name w:val="默认段落字体 Para Char Char Char Char Char Char Char Char Char Char"/>
    <w:basedOn w:val="1"/>
    <w:next w:val="434"/>
    <w:qFormat/>
    <w:uiPriority w:val="0"/>
    <w:rPr>
      <w:rFonts w:ascii="Tahoma" w:hAnsi="宋体" w:cs="宋体"/>
      <w:kern w:val="0"/>
      <w:sz w:val="24"/>
      <w:szCs w:val="20"/>
    </w:rPr>
  </w:style>
  <w:style w:type="paragraph" w:customStyle="1" w:styleId="434">
    <w:name w:val="reader-word-layer reader-word-s1-2"/>
    <w:basedOn w:val="1"/>
    <w:next w:val="47"/>
    <w:qFormat/>
    <w:uiPriority w:val="0"/>
    <w:pPr>
      <w:widowControl/>
      <w:spacing w:before="280" w:after="280"/>
    </w:pPr>
    <w:rPr>
      <w:rFonts w:ascii="宋体" w:hAnsi="宋体" w:cs="宋体"/>
      <w:kern w:val="0"/>
      <w:sz w:val="24"/>
      <w:szCs w:val="20"/>
    </w:rPr>
  </w:style>
  <w:style w:type="paragraph" w:customStyle="1" w:styleId="435">
    <w:name w:val="TOC 41"/>
    <w:next w:val="1"/>
    <w:qFormat/>
    <w:uiPriority w:val="0"/>
    <w:pPr>
      <w:wordWrap w:val="0"/>
      <w:ind w:left="1275"/>
      <w:jc w:val="both"/>
    </w:pPr>
    <w:rPr>
      <w:rFonts w:ascii="宋体" w:hAnsi="宋体" w:eastAsia="宋体" w:cs="宋体"/>
      <w:sz w:val="21"/>
      <w:lang w:val="en-US" w:eastAsia="zh-CN" w:bidi="ar-SA"/>
    </w:rPr>
  </w:style>
  <w:style w:type="paragraph" w:customStyle="1" w:styleId="436">
    <w:name w:val="xl137"/>
    <w:basedOn w:val="1"/>
    <w:next w:val="384"/>
    <w:qFormat/>
    <w:uiPriority w:val="0"/>
    <w:pPr>
      <w:widowControl/>
      <w:spacing w:before="280" w:after="280"/>
      <w:jc w:val="center"/>
    </w:pPr>
    <w:rPr>
      <w:rFonts w:ascii="宋体" w:hAnsi="宋体" w:cs="宋体"/>
      <w:kern w:val="0"/>
      <w:sz w:val="20"/>
      <w:szCs w:val="20"/>
    </w:rPr>
  </w:style>
  <w:style w:type="paragraph" w:customStyle="1" w:styleId="437">
    <w:name w:val="_Style 37"/>
    <w:basedOn w:val="1"/>
    <w:next w:val="1"/>
    <w:qFormat/>
    <w:uiPriority w:val="0"/>
  </w:style>
  <w:style w:type="paragraph" w:customStyle="1" w:styleId="438">
    <w:name w:val="Char Char Char Char Char Char Char Char Char Char1"/>
    <w:basedOn w:val="1"/>
    <w:qFormat/>
    <w:uiPriority w:val="0"/>
    <w:pPr>
      <w:widowControl/>
      <w:spacing w:line="400" w:lineRule="exact"/>
      <w:jc w:val="center"/>
    </w:pPr>
    <w:rPr>
      <w:rFonts w:ascii="Verdana" w:hAnsi="Verdana"/>
      <w:kern w:val="0"/>
      <w:szCs w:val="20"/>
      <w:lang w:eastAsia="en-US"/>
    </w:rPr>
  </w:style>
  <w:style w:type="paragraph" w:customStyle="1" w:styleId="439">
    <w:name w:val="列出段落3"/>
    <w:basedOn w:val="1"/>
    <w:qFormat/>
    <w:uiPriority w:val="0"/>
    <w:pPr>
      <w:ind w:firstLine="420" w:firstLineChars="200"/>
    </w:pPr>
  </w:style>
  <w:style w:type="paragraph" w:customStyle="1" w:styleId="440">
    <w:name w:val="Char Char Char Char Char Char Char Char Char Char Char Char Char"/>
    <w:basedOn w:val="1"/>
    <w:next w:val="441"/>
    <w:qFormat/>
    <w:uiPriority w:val="0"/>
    <w:pPr>
      <w:ind w:left="420" w:hanging="420"/>
    </w:pPr>
    <w:rPr>
      <w:rFonts w:ascii="Tahoma" w:hAnsi="宋体" w:cs="宋体"/>
      <w:kern w:val="0"/>
      <w:sz w:val="24"/>
      <w:szCs w:val="20"/>
    </w:rPr>
  </w:style>
  <w:style w:type="paragraph" w:customStyle="1" w:styleId="441">
    <w:name w:val="Char Char Char Char1"/>
    <w:basedOn w:val="1"/>
    <w:next w:val="1"/>
    <w:qFormat/>
    <w:uiPriority w:val="0"/>
    <w:pPr>
      <w:widowControl/>
      <w:spacing w:after="160" w:line="240" w:lineRule="exact"/>
    </w:pPr>
    <w:rPr>
      <w:rFonts w:hAnsi="宋体" w:cs="宋体"/>
      <w:kern w:val="0"/>
      <w:szCs w:val="20"/>
    </w:rPr>
  </w:style>
  <w:style w:type="paragraph" w:customStyle="1" w:styleId="442">
    <w:name w:val="默认段落字体 Para Char"/>
    <w:basedOn w:val="1"/>
    <w:next w:val="412"/>
    <w:qFormat/>
    <w:uiPriority w:val="0"/>
    <w:rPr>
      <w:rFonts w:hAnsi="宋体" w:cs="宋体"/>
      <w:kern w:val="0"/>
      <w:szCs w:val="20"/>
    </w:rPr>
  </w:style>
  <w:style w:type="paragraph" w:customStyle="1" w:styleId="443">
    <w:name w:val="font12"/>
    <w:basedOn w:val="1"/>
    <w:next w:val="317"/>
    <w:qFormat/>
    <w:uiPriority w:val="0"/>
    <w:pPr>
      <w:widowControl/>
      <w:spacing w:before="280" w:after="280"/>
    </w:pPr>
    <w:rPr>
      <w:rFonts w:ascii="宋体" w:hAnsi="宋体" w:cs="宋体"/>
      <w:color w:val="000000"/>
      <w:kern w:val="0"/>
      <w:sz w:val="18"/>
      <w:szCs w:val="20"/>
    </w:rPr>
  </w:style>
  <w:style w:type="paragraph" w:customStyle="1" w:styleId="444">
    <w:name w:val="样式 (中文) 黑体 小三 加粗 居中 行距: 1.5 倍行距"/>
    <w:basedOn w:val="1"/>
    <w:next w:val="1"/>
    <w:qFormat/>
    <w:uiPriority w:val="0"/>
    <w:pPr>
      <w:spacing w:line="360" w:lineRule="auto"/>
      <w:jc w:val="center"/>
    </w:pPr>
    <w:rPr>
      <w:rFonts w:hAnsi="宋体" w:eastAsia="黑体" w:cs="宋体"/>
      <w:b/>
      <w:kern w:val="0"/>
      <w:sz w:val="30"/>
      <w:szCs w:val="20"/>
    </w:rPr>
  </w:style>
  <w:style w:type="paragraph" w:customStyle="1" w:styleId="445">
    <w:name w:val="目录 51"/>
    <w:basedOn w:val="1"/>
    <w:next w:val="1"/>
    <w:qFormat/>
    <w:uiPriority w:val="0"/>
    <w:pPr>
      <w:ind w:left="1050"/>
    </w:pPr>
    <w:rPr>
      <w:rFonts w:ascii="Calibri" w:hAnsi="宋体" w:cs="宋体"/>
      <w:kern w:val="0"/>
      <w:szCs w:val="20"/>
    </w:rPr>
  </w:style>
  <w:style w:type="paragraph" w:customStyle="1" w:styleId="446">
    <w:name w:val="标题_0"/>
    <w:basedOn w:val="256"/>
    <w:qFormat/>
    <w:uiPriority w:val="0"/>
    <w:pPr>
      <w:spacing w:before="120" w:after="120" w:line="360" w:lineRule="auto"/>
      <w:jc w:val="center"/>
      <w:outlineLvl w:val="0"/>
    </w:pPr>
    <w:rPr>
      <w:rFonts w:ascii="黑体" w:hAnsi="Arial" w:eastAsia="黑体"/>
      <w:b/>
      <w:bCs/>
      <w:kern w:val="2"/>
      <w:sz w:val="32"/>
      <w:szCs w:val="32"/>
    </w:rPr>
  </w:style>
  <w:style w:type="paragraph" w:customStyle="1" w:styleId="447">
    <w:name w:val="Char Char Char1 Char1"/>
    <w:basedOn w:val="4"/>
    <w:next w:val="1"/>
    <w:qFormat/>
    <w:uiPriority w:val="0"/>
    <w:pPr>
      <w:keepNext w:val="0"/>
      <w:keepLines w:val="0"/>
      <w:spacing w:before="120" w:after="120" w:line="240" w:lineRule="auto"/>
    </w:pPr>
    <w:rPr>
      <w:rFonts w:hAnsi="宋体" w:cs="宋体"/>
      <w:bCs w:val="0"/>
      <w:kern w:val="0"/>
      <w:szCs w:val="20"/>
    </w:rPr>
  </w:style>
  <w:style w:type="paragraph" w:customStyle="1" w:styleId="448">
    <w:name w:val="font7"/>
    <w:basedOn w:val="1"/>
    <w:next w:val="24"/>
    <w:qFormat/>
    <w:uiPriority w:val="0"/>
    <w:pPr>
      <w:widowControl/>
      <w:spacing w:before="280" w:after="280"/>
    </w:pPr>
    <w:rPr>
      <w:rFonts w:ascii="宋体" w:hAnsi="宋体" w:cs="宋体"/>
      <w:kern w:val="0"/>
      <w:sz w:val="18"/>
      <w:szCs w:val="20"/>
    </w:rPr>
  </w:style>
  <w:style w:type="paragraph" w:customStyle="1" w:styleId="449">
    <w:name w:val="列出段落4"/>
    <w:basedOn w:val="1"/>
    <w:qFormat/>
    <w:uiPriority w:val="99"/>
    <w:pPr>
      <w:ind w:firstLine="420" w:firstLineChars="200"/>
    </w:pPr>
    <w:rPr>
      <w:sz w:val="28"/>
    </w:rPr>
  </w:style>
  <w:style w:type="paragraph" w:customStyle="1" w:styleId="450">
    <w:name w:val="样式15"/>
    <w:next w:val="451"/>
    <w:qFormat/>
    <w:uiPriority w:val="0"/>
    <w:pPr>
      <w:widowControl w:val="0"/>
      <w:jc w:val="center"/>
    </w:pPr>
    <w:rPr>
      <w:rFonts w:ascii="Times New Roman" w:hAnsi="宋体" w:eastAsia="宋体" w:cs="宋体"/>
      <w:sz w:val="18"/>
      <w:lang w:val="en-US" w:eastAsia="zh-CN" w:bidi="ar-SA"/>
    </w:rPr>
  </w:style>
  <w:style w:type="paragraph" w:customStyle="1" w:styleId="451">
    <w:name w:val="Char Char Char Char Char Char Char Char Char Char Char Char Char3"/>
    <w:basedOn w:val="1"/>
    <w:next w:val="452"/>
    <w:qFormat/>
    <w:uiPriority w:val="0"/>
    <w:pPr>
      <w:ind w:left="420" w:hanging="420"/>
    </w:pPr>
    <w:rPr>
      <w:rFonts w:ascii="Tahoma" w:hAnsi="宋体" w:cs="宋体"/>
      <w:kern w:val="0"/>
      <w:sz w:val="24"/>
      <w:szCs w:val="20"/>
    </w:rPr>
  </w:style>
  <w:style w:type="paragraph" w:customStyle="1" w:styleId="452">
    <w:name w:val="xl158"/>
    <w:basedOn w:val="1"/>
    <w:next w:val="429"/>
    <w:qFormat/>
    <w:uiPriority w:val="0"/>
    <w:pPr>
      <w:widowControl/>
      <w:spacing w:before="280" w:after="280"/>
    </w:pPr>
    <w:rPr>
      <w:rFonts w:ascii="宋体" w:hAnsi="宋体" w:cs="宋体"/>
      <w:b/>
      <w:kern w:val="0"/>
      <w:sz w:val="18"/>
      <w:szCs w:val="20"/>
    </w:rPr>
  </w:style>
  <w:style w:type="paragraph" w:customStyle="1" w:styleId="453">
    <w:name w:val="正文31"/>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454">
    <w:name w:val="Char Char1 Char Char Char2"/>
    <w:basedOn w:val="17"/>
    <w:qFormat/>
    <w:uiPriority w:val="0"/>
    <w:rPr>
      <w:rFonts w:eastAsia="Times New Roman"/>
    </w:rPr>
  </w:style>
  <w:style w:type="paragraph" w:customStyle="1" w:styleId="455">
    <w:name w:val="引用1"/>
    <w:basedOn w:val="1"/>
    <w:next w:val="1"/>
    <w:qFormat/>
    <w:uiPriority w:val="0"/>
    <w:rPr>
      <w:i/>
      <w:color w:val="000000"/>
      <w:sz w:val="22"/>
      <w:szCs w:val="20"/>
    </w:rPr>
  </w:style>
  <w:style w:type="paragraph" w:customStyle="1" w:styleId="456">
    <w:name w:val="TOC 71"/>
    <w:next w:val="1"/>
    <w:qFormat/>
    <w:uiPriority w:val="0"/>
    <w:pPr>
      <w:wordWrap w:val="0"/>
      <w:ind w:left="2550"/>
      <w:jc w:val="both"/>
    </w:pPr>
    <w:rPr>
      <w:rFonts w:ascii="宋体" w:hAnsi="宋体" w:eastAsia="宋体" w:cs="宋体"/>
      <w:sz w:val="21"/>
      <w:lang w:val="en-US" w:eastAsia="zh-CN" w:bidi="ar-SA"/>
    </w:rPr>
  </w:style>
  <w:style w:type="paragraph" w:customStyle="1" w:styleId="457">
    <w:name w:val="修订11"/>
    <w:semiHidden/>
    <w:qFormat/>
    <w:uiPriority w:val="99"/>
    <w:rPr>
      <w:rFonts w:ascii="Times New Roman" w:hAnsi="Times New Roman" w:eastAsia="宋体" w:cs="Times New Roman"/>
      <w:kern w:val="2"/>
      <w:sz w:val="21"/>
      <w:szCs w:val="24"/>
      <w:lang w:val="en-US" w:eastAsia="zh-CN" w:bidi="ar-SA"/>
    </w:rPr>
  </w:style>
  <w:style w:type="paragraph" w:customStyle="1" w:styleId="458">
    <w:name w:val="Char Char Char Char3"/>
    <w:basedOn w:val="1"/>
    <w:next w:val="1"/>
    <w:qFormat/>
    <w:uiPriority w:val="0"/>
    <w:pPr>
      <w:widowControl/>
      <w:spacing w:after="160" w:line="240" w:lineRule="exact"/>
    </w:pPr>
    <w:rPr>
      <w:rFonts w:hAnsi="宋体" w:cs="宋体"/>
      <w:kern w:val="0"/>
      <w:szCs w:val="20"/>
    </w:rPr>
  </w:style>
  <w:style w:type="paragraph" w:customStyle="1" w:styleId="459">
    <w:name w:val="样式8"/>
    <w:basedOn w:val="1"/>
    <w:next w:val="286"/>
    <w:qFormat/>
    <w:uiPriority w:val="0"/>
    <w:pPr>
      <w:spacing w:before="260" w:after="260"/>
      <w:jc w:val="center"/>
      <w:outlineLvl w:val="1"/>
    </w:pPr>
    <w:rPr>
      <w:rFonts w:ascii="Arial" w:hAnsi="宋体" w:eastAsia="黑体" w:cs="宋体"/>
      <w:b/>
      <w:kern w:val="0"/>
      <w:sz w:val="72"/>
      <w:szCs w:val="20"/>
    </w:rPr>
  </w:style>
  <w:style w:type="paragraph" w:customStyle="1" w:styleId="460">
    <w:name w:val="样式 标题 2 + (中文) 宋体 (西文)五号 非(西文)粗体 段前: 6 磅 段后: 3 磅 行距: 1.5 倍行距"/>
    <w:basedOn w:val="4"/>
    <w:next w:val="403"/>
    <w:qFormat/>
    <w:uiPriority w:val="0"/>
    <w:pPr>
      <w:keepNext w:val="0"/>
      <w:keepLines w:val="0"/>
      <w:spacing w:before="120" w:after="60" w:line="360" w:lineRule="auto"/>
      <w:jc w:val="center"/>
    </w:pPr>
    <w:rPr>
      <w:rFonts w:hAnsi="宋体" w:eastAsia="宋体" w:cs="宋体"/>
      <w:bCs w:val="0"/>
      <w:kern w:val="0"/>
      <w:sz w:val="24"/>
      <w:szCs w:val="20"/>
    </w:rPr>
  </w:style>
  <w:style w:type="paragraph" w:customStyle="1" w:styleId="461">
    <w:name w:val="Char Char Char Char Char Char Char Char Char Char2"/>
    <w:basedOn w:val="1"/>
    <w:qFormat/>
    <w:uiPriority w:val="0"/>
    <w:pPr>
      <w:widowControl/>
      <w:spacing w:line="400" w:lineRule="exact"/>
      <w:jc w:val="center"/>
    </w:pPr>
    <w:rPr>
      <w:rFonts w:ascii="Verdana" w:hAnsi="Verdana"/>
      <w:kern w:val="0"/>
      <w:szCs w:val="20"/>
      <w:lang w:eastAsia="en-US"/>
    </w:rPr>
  </w:style>
  <w:style w:type="paragraph" w:customStyle="1" w:styleId="462">
    <w:name w:val="TOC 标题3"/>
    <w:basedOn w:val="3"/>
    <w:next w:val="1"/>
    <w:qFormat/>
    <w:uiPriority w:val="0"/>
    <w:pPr>
      <w:spacing w:line="576" w:lineRule="auto"/>
      <w:outlineLvl w:val="9"/>
    </w:pPr>
    <w:rPr>
      <w:rFonts w:ascii="Calibri" w:hAnsi="Calibri" w:eastAsia="黑体"/>
    </w:rPr>
  </w:style>
  <w:style w:type="paragraph" w:customStyle="1" w:styleId="463">
    <w:name w:val="Blockquote"/>
    <w:basedOn w:val="1"/>
    <w:next w:val="267"/>
    <w:qFormat/>
    <w:uiPriority w:val="0"/>
    <w:pPr>
      <w:autoSpaceDE w:val="0"/>
      <w:autoSpaceDN w:val="0"/>
      <w:spacing w:before="100" w:after="100"/>
      <w:ind w:left="360" w:right="360"/>
    </w:pPr>
    <w:rPr>
      <w:rFonts w:hAnsi="宋体" w:cs="宋体"/>
      <w:kern w:val="0"/>
      <w:sz w:val="24"/>
      <w:szCs w:val="20"/>
    </w:rPr>
  </w:style>
  <w:style w:type="character" w:customStyle="1" w:styleId="464">
    <w:name w:val="15"/>
    <w:basedOn w:val="59"/>
    <w:qFormat/>
    <w:uiPriority w:val="0"/>
  </w:style>
  <w:style w:type="character" w:customStyle="1" w:styleId="465">
    <w:name w:val="标题 3 Char"/>
    <w:qFormat/>
    <w:uiPriority w:val="0"/>
    <w:rPr>
      <w:rFonts w:eastAsia="黑体"/>
      <w:b/>
      <w:bCs/>
      <w:kern w:val="2"/>
      <w:sz w:val="21"/>
      <w:szCs w:val="32"/>
      <w:lang w:val="zh-CN" w:eastAsia="zh-CN"/>
    </w:rPr>
  </w:style>
  <w:style w:type="character" w:customStyle="1" w:styleId="466">
    <w:name w:val="未处理的提及2"/>
    <w:basedOn w:val="59"/>
    <w:semiHidden/>
    <w:unhideWhenUsed/>
    <w:qFormat/>
    <w:uiPriority w:val="99"/>
    <w:rPr>
      <w:color w:val="605E5C"/>
      <w:shd w:val="clear" w:color="auto" w:fill="E1DFDD"/>
    </w:rPr>
  </w:style>
  <w:style w:type="character" w:customStyle="1" w:styleId="467">
    <w:name w:val="页脚 Char1"/>
    <w:semiHidden/>
    <w:qFormat/>
    <w:uiPriority w:val="99"/>
    <w:rPr>
      <w:rFonts w:ascii="Times New Roman" w:hAnsi="Times New Roman" w:eastAsia="宋体" w:cs="Times New Roman"/>
      <w:sz w:val="18"/>
      <w:szCs w:val="18"/>
    </w:rPr>
  </w:style>
  <w:style w:type="character" w:customStyle="1" w:styleId="468">
    <w:name w:val="正文文本缩进 2 Char1"/>
    <w:semiHidden/>
    <w:qFormat/>
    <w:uiPriority w:val="99"/>
    <w:rPr>
      <w:rFonts w:ascii="Times New Roman" w:hAnsi="Times New Roman" w:eastAsia="宋体" w:cs="Times New Roman"/>
      <w:szCs w:val="24"/>
    </w:rPr>
  </w:style>
  <w:style w:type="character" w:customStyle="1" w:styleId="469">
    <w:name w:val="日期 Char2"/>
    <w:semiHidden/>
    <w:qFormat/>
    <w:uiPriority w:val="99"/>
    <w:rPr>
      <w:rFonts w:ascii="Times New Roman" w:hAnsi="Times New Roman" w:eastAsia="宋体" w:cs="Times New Roman"/>
      <w:szCs w:val="24"/>
    </w:rPr>
  </w:style>
  <w:style w:type="character" w:customStyle="1" w:styleId="470">
    <w:name w:val="纯文本 Char2"/>
    <w:semiHidden/>
    <w:qFormat/>
    <w:uiPriority w:val="99"/>
    <w:rPr>
      <w:rFonts w:ascii="宋体" w:hAnsi="Courier New" w:eastAsia="宋体" w:cs="Courier New"/>
      <w:szCs w:val="21"/>
    </w:rPr>
  </w:style>
  <w:style w:type="character" w:customStyle="1" w:styleId="471">
    <w:name w:val="批注框文本 Char2"/>
    <w:semiHidden/>
    <w:qFormat/>
    <w:uiPriority w:val="99"/>
    <w:rPr>
      <w:rFonts w:ascii="Times New Roman" w:hAnsi="Times New Roman" w:eastAsia="宋体" w:cs="Times New Roman"/>
      <w:sz w:val="18"/>
      <w:szCs w:val="18"/>
    </w:rPr>
  </w:style>
  <w:style w:type="character" w:customStyle="1" w:styleId="472">
    <w:name w:val="批注主题 Char2"/>
    <w:semiHidden/>
    <w:qFormat/>
    <w:uiPriority w:val="99"/>
    <w:rPr>
      <w:rFonts w:ascii="Times New Roman" w:hAnsi="Times New Roman" w:eastAsia="宋体" w:cs="Times New Roman"/>
      <w:b/>
      <w:bCs/>
      <w:szCs w:val="24"/>
    </w:rPr>
  </w:style>
  <w:style w:type="character" w:customStyle="1" w:styleId="473">
    <w:name w:val="webpageurl"/>
    <w:basedOn w:val="59"/>
    <w:qFormat/>
    <w:uiPriority w:val="0"/>
  </w:style>
  <w:style w:type="character" w:customStyle="1" w:styleId="474">
    <w:name w:val="文档结构图 Char2"/>
    <w:semiHidden/>
    <w:qFormat/>
    <w:uiPriority w:val="99"/>
    <w:rPr>
      <w:rFonts w:ascii="Microsoft YaHei UI" w:hAnsi="Times New Roman" w:eastAsia="Microsoft YaHei UI" w:cs="Times New Roman"/>
      <w:sz w:val="18"/>
      <w:szCs w:val="18"/>
    </w:rPr>
  </w:style>
  <w:style w:type="character" w:customStyle="1" w:styleId="475">
    <w:name w:val="副标题 Char2"/>
    <w:qFormat/>
    <w:uiPriority w:val="11"/>
    <w:rPr>
      <w:rFonts w:ascii="Calibri Light" w:hAnsi="Calibri Light" w:eastAsia="宋体" w:cs="Times New Roman"/>
      <w:b/>
      <w:bCs/>
      <w:kern w:val="28"/>
      <w:sz w:val="32"/>
      <w:szCs w:val="32"/>
    </w:rPr>
  </w:style>
  <w:style w:type="character" w:customStyle="1" w:styleId="476">
    <w:name w:val="正文文本缩进 Char1"/>
    <w:semiHidden/>
    <w:qFormat/>
    <w:uiPriority w:val="99"/>
    <w:rPr>
      <w:rFonts w:ascii="Times New Roman" w:hAnsi="Times New Roman" w:eastAsia="宋体" w:cs="Times New Roman"/>
      <w:szCs w:val="24"/>
    </w:rPr>
  </w:style>
  <w:style w:type="character" w:customStyle="1" w:styleId="477">
    <w:name w:val="标题 Char3"/>
    <w:qFormat/>
    <w:uiPriority w:val="10"/>
    <w:rPr>
      <w:rFonts w:ascii="Calibri Light" w:hAnsi="Calibri Light" w:eastAsia="宋体" w:cs="Times New Roman"/>
      <w:b/>
      <w:bCs/>
      <w:sz w:val="32"/>
      <w:szCs w:val="32"/>
    </w:rPr>
  </w:style>
  <w:style w:type="character" w:customStyle="1" w:styleId="478">
    <w:name w:val="批注文字 Char3"/>
    <w:semiHidden/>
    <w:qFormat/>
    <w:uiPriority w:val="99"/>
    <w:rPr>
      <w:rFonts w:ascii="Times New Roman" w:hAnsi="Times New Roman" w:eastAsia="宋体" w:cs="Times New Roman"/>
      <w:szCs w:val="24"/>
    </w:rPr>
  </w:style>
  <w:style w:type="character" w:customStyle="1" w:styleId="479">
    <w:name w:val="脚注文本 Char1"/>
    <w:semiHidden/>
    <w:qFormat/>
    <w:uiPriority w:val="99"/>
    <w:rPr>
      <w:rFonts w:ascii="Times New Roman" w:hAnsi="Times New Roman" w:eastAsia="宋体" w:cs="Times New Roman"/>
      <w:sz w:val="18"/>
      <w:szCs w:val="18"/>
    </w:rPr>
  </w:style>
  <w:style w:type="character" w:customStyle="1" w:styleId="480">
    <w:name w:val="页眉 Char1"/>
    <w:semiHidden/>
    <w:qFormat/>
    <w:uiPriority w:val="99"/>
    <w:rPr>
      <w:rFonts w:ascii="Times New Roman" w:hAnsi="Times New Roman" w:eastAsia="宋体" w:cs="Times New Roman"/>
      <w:sz w:val="18"/>
      <w:szCs w:val="18"/>
    </w:rPr>
  </w:style>
  <w:style w:type="table" w:customStyle="1" w:styleId="481">
    <w:name w:val="网格型1"/>
    <w:basedOn w:val="57"/>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customStyle="1" w:styleId="482">
    <w:name w:val="正文文本首行缩进 2 字符"/>
    <w:basedOn w:val="98"/>
    <w:link w:val="56"/>
    <w:qFormat/>
    <w:uiPriority w:val="99"/>
    <w:rPr>
      <w:rFonts w:ascii="宋体" w:hAnsi="宋体" w:eastAsia="仿宋_GB2312"/>
      <w:kern w:val="2"/>
      <w:sz w:val="21"/>
      <w:szCs w:val="24"/>
    </w:rPr>
  </w:style>
  <w:style w:type="table" w:customStyle="1" w:styleId="483">
    <w:name w:val="网格型2"/>
    <w:basedOn w:val="57"/>
    <w:qFormat/>
    <w:uiPriority w:val="0"/>
    <w:rPr>
      <w:rFonts w:ascii="Calibri" w:hAnsi="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customStyle="1" w:styleId="484">
    <w:name w:val="正文首行缩进 Char1"/>
    <w:qFormat/>
    <w:uiPriority w:val="0"/>
    <w:rPr>
      <w:rFonts w:eastAsia="宋体"/>
      <w:kern w:val="2"/>
      <w:sz w:val="21"/>
      <w:szCs w:val="24"/>
      <w:lang w:val="en-US" w:eastAsia="zh-CN" w:bidi="ar-SA"/>
    </w:rPr>
  </w:style>
  <w:style w:type="character" w:customStyle="1" w:styleId="485">
    <w:name w:val="Intense Quote Char"/>
    <w:qFormat/>
    <w:locked/>
    <w:uiPriority w:val="99"/>
    <w:rPr>
      <w:b/>
      <w:i/>
      <w:color w:val="4F81BD"/>
      <w:kern w:val="2"/>
      <w:sz w:val="24"/>
    </w:rPr>
  </w:style>
  <w:style w:type="character" w:customStyle="1" w:styleId="486">
    <w:name w:val="Body Text Indent 3 Char"/>
    <w:qFormat/>
    <w:locked/>
    <w:uiPriority w:val="99"/>
    <w:rPr>
      <w:kern w:val="2"/>
      <w:sz w:val="16"/>
    </w:rPr>
  </w:style>
  <w:style w:type="character" w:customStyle="1" w:styleId="487">
    <w:name w:val="Char Char25"/>
    <w:qFormat/>
    <w:uiPriority w:val="0"/>
    <w:rPr>
      <w:rFonts w:eastAsia="宋体"/>
      <w:sz w:val="24"/>
      <w:szCs w:val="24"/>
      <w:lang w:val="en-US" w:eastAsia="zh-CN" w:bidi="ar-SA"/>
    </w:rPr>
  </w:style>
  <w:style w:type="character" w:customStyle="1" w:styleId="488">
    <w:name w:val="Char Char81"/>
    <w:qFormat/>
    <w:locked/>
    <w:uiPriority w:val="0"/>
    <w:rPr>
      <w:rFonts w:eastAsia="宋体"/>
      <w:kern w:val="2"/>
      <w:sz w:val="21"/>
      <w:lang w:val="en-US" w:eastAsia="zh-CN" w:bidi="ar-SA"/>
    </w:rPr>
  </w:style>
  <w:style w:type="character" w:customStyle="1" w:styleId="489">
    <w:name w:val="emailstyle17"/>
    <w:semiHidden/>
    <w:qFormat/>
    <w:uiPriority w:val="0"/>
    <w:rPr>
      <w:rFonts w:hint="default" w:ascii="Arial" w:hAnsi="Arial" w:eastAsia="宋体" w:cs="Arial"/>
      <w:color w:val="auto"/>
      <w:sz w:val="18"/>
      <w:szCs w:val="20"/>
    </w:rPr>
  </w:style>
  <w:style w:type="character" w:customStyle="1" w:styleId="490">
    <w:name w:val="批注文字 Char Char Char"/>
    <w:qFormat/>
    <w:uiPriority w:val="0"/>
    <w:rPr>
      <w:kern w:val="2"/>
      <w:sz w:val="21"/>
      <w:szCs w:val="24"/>
    </w:rPr>
  </w:style>
  <w:style w:type="character" w:customStyle="1" w:styleId="491">
    <w:name w:val="标题 4 Char1"/>
    <w:qFormat/>
    <w:locked/>
    <w:uiPriority w:val="99"/>
    <w:rPr>
      <w:rFonts w:ascii="Cambria" w:hAnsi="Cambria" w:eastAsia="宋体"/>
      <w:b/>
      <w:kern w:val="2"/>
      <w:sz w:val="28"/>
    </w:rPr>
  </w:style>
  <w:style w:type="character" w:customStyle="1" w:styleId="492">
    <w:name w:val="Subtitle Char"/>
    <w:qFormat/>
    <w:locked/>
    <w:uiPriority w:val="99"/>
    <w:rPr>
      <w:rFonts w:ascii="Cambria" w:hAnsi="Cambria"/>
      <w:b/>
      <w:kern w:val="28"/>
      <w:sz w:val="32"/>
    </w:rPr>
  </w:style>
  <w:style w:type="character" w:customStyle="1" w:styleId="493">
    <w:name w:val="明显参考11"/>
    <w:qFormat/>
    <w:uiPriority w:val="99"/>
    <w:rPr>
      <w:b/>
      <w:smallCaps/>
      <w:color w:val="C0504D"/>
      <w:spacing w:val="5"/>
      <w:u w:val="single"/>
    </w:rPr>
  </w:style>
  <w:style w:type="character" w:customStyle="1" w:styleId="494">
    <w:name w:val="Char Char141"/>
    <w:qFormat/>
    <w:uiPriority w:val="0"/>
    <w:rPr>
      <w:rFonts w:eastAsia="宋体"/>
      <w:kern w:val="2"/>
      <w:sz w:val="21"/>
      <w:szCs w:val="24"/>
      <w:lang w:val="en-US" w:eastAsia="zh-CN" w:bidi="ar-SA"/>
    </w:rPr>
  </w:style>
  <w:style w:type="character" w:customStyle="1" w:styleId="495">
    <w:name w:val="不明显参考11"/>
    <w:qFormat/>
    <w:uiPriority w:val="99"/>
    <w:rPr>
      <w:smallCaps/>
      <w:color w:val="C0504D"/>
      <w:u w:val="single"/>
    </w:rPr>
  </w:style>
  <w:style w:type="character" w:customStyle="1" w:styleId="496">
    <w:name w:val="Body Text Char"/>
    <w:qFormat/>
    <w:locked/>
    <w:uiPriority w:val="0"/>
    <w:rPr>
      <w:kern w:val="2"/>
      <w:sz w:val="24"/>
    </w:rPr>
  </w:style>
  <w:style w:type="character" w:customStyle="1" w:styleId="497">
    <w:name w:val="Char Char211"/>
    <w:qFormat/>
    <w:uiPriority w:val="0"/>
    <w:rPr>
      <w:rFonts w:eastAsia="宋体"/>
      <w:b/>
      <w:bCs/>
      <w:kern w:val="2"/>
      <w:sz w:val="32"/>
      <w:szCs w:val="32"/>
      <w:lang w:val="en-US" w:eastAsia="zh-CN" w:bidi="ar-SA"/>
    </w:rPr>
  </w:style>
  <w:style w:type="character" w:customStyle="1" w:styleId="498">
    <w:name w:val="Char Char201"/>
    <w:qFormat/>
    <w:locked/>
    <w:uiPriority w:val="0"/>
    <w:rPr>
      <w:rFonts w:eastAsia="宋体"/>
      <w:sz w:val="24"/>
      <w:lang w:val="en-US" w:eastAsia="zh-CN" w:bidi="ar-SA"/>
    </w:rPr>
  </w:style>
  <w:style w:type="character" w:customStyle="1" w:styleId="499">
    <w:name w:val="明显强调11"/>
    <w:qFormat/>
    <w:uiPriority w:val="99"/>
    <w:rPr>
      <w:b/>
      <w:i/>
      <w:color w:val="4F81BD"/>
    </w:rPr>
  </w:style>
  <w:style w:type="character" w:customStyle="1" w:styleId="500">
    <w:name w:val="Char Char Char Char Char Char2"/>
    <w:qFormat/>
    <w:uiPriority w:val="0"/>
    <w:rPr>
      <w:rFonts w:eastAsia="宋体"/>
      <w:kern w:val="2"/>
      <w:sz w:val="21"/>
      <w:szCs w:val="24"/>
      <w:lang w:val="en-US" w:eastAsia="zh-CN" w:bidi="ar-SA"/>
    </w:rPr>
  </w:style>
  <w:style w:type="character" w:customStyle="1" w:styleId="501">
    <w:name w:val="10"/>
    <w:qFormat/>
    <w:uiPriority w:val="0"/>
    <w:rPr>
      <w:rFonts w:hint="default" w:ascii="Times New Roman" w:hAnsi="Times New Roman" w:cs="Times New Roman"/>
    </w:rPr>
  </w:style>
  <w:style w:type="character" w:customStyle="1" w:styleId="502">
    <w:name w:val="Quote Char"/>
    <w:qFormat/>
    <w:locked/>
    <w:uiPriority w:val="99"/>
    <w:rPr>
      <w:i/>
      <w:color w:val="000000"/>
      <w:kern w:val="2"/>
      <w:sz w:val="24"/>
    </w:rPr>
  </w:style>
  <w:style w:type="character" w:customStyle="1" w:styleId="503">
    <w:name w:val="Char Char31"/>
    <w:qFormat/>
    <w:uiPriority w:val="0"/>
    <w:rPr>
      <w:rFonts w:eastAsia="宋体"/>
      <w:b/>
      <w:bCs/>
      <w:kern w:val="2"/>
      <w:sz w:val="32"/>
      <w:szCs w:val="32"/>
      <w:lang w:val="en-US" w:eastAsia="zh-CN" w:bidi="ar-SA"/>
    </w:rPr>
  </w:style>
  <w:style w:type="character" w:customStyle="1" w:styleId="504">
    <w:name w:val="HTML 预设格式 Char1"/>
    <w:qFormat/>
    <w:uiPriority w:val="0"/>
    <w:rPr>
      <w:rFonts w:ascii="Courier New" w:hAnsi="Courier New" w:cs="Courier New"/>
      <w:kern w:val="2"/>
    </w:rPr>
  </w:style>
  <w:style w:type="character" w:customStyle="1" w:styleId="505">
    <w:name w:val="Char Char101"/>
    <w:qFormat/>
    <w:uiPriority w:val="0"/>
    <w:rPr>
      <w:rFonts w:eastAsia="宋体"/>
      <w:kern w:val="2"/>
      <w:sz w:val="18"/>
      <w:szCs w:val="18"/>
      <w:lang w:val="en-US" w:eastAsia="zh-CN" w:bidi="ar-SA"/>
    </w:rPr>
  </w:style>
  <w:style w:type="character" w:customStyle="1" w:styleId="506">
    <w:name w:val="无间隔 Char"/>
    <w:link w:val="365"/>
    <w:qFormat/>
    <w:locked/>
    <w:uiPriority w:val="0"/>
    <w:rPr>
      <w:kern w:val="2"/>
      <w:sz w:val="21"/>
      <w:szCs w:val="24"/>
    </w:rPr>
  </w:style>
  <w:style w:type="character" w:customStyle="1" w:styleId="507">
    <w:name w:val="Char Char71"/>
    <w:qFormat/>
    <w:uiPriority w:val="0"/>
    <w:rPr>
      <w:b/>
      <w:bCs/>
      <w:kern w:val="2"/>
      <w:sz w:val="21"/>
      <w:szCs w:val="24"/>
      <w:lang w:bidi="ar-SA"/>
    </w:rPr>
  </w:style>
  <w:style w:type="character" w:customStyle="1" w:styleId="508">
    <w:name w:val="Char Char92"/>
    <w:qFormat/>
    <w:locked/>
    <w:uiPriority w:val="0"/>
    <w:rPr>
      <w:rFonts w:eastAsia="宋体"/>
      <w:b/>
      <w:kern w:val="2"/>
      <w:sz w:val="21"/>
      <w:lang w:val="en-US" w:eastAsia="zh-CN" w:bidi="ar-SA"/>
    </w:rPr>
  </w:style>
  <w:style w:type="character" w:customStyle="1" w:styleId="509">
    <w:name w:val="正文缩进2格 Char"/>
    <w:link w:val="510"/>
    <w:qFormat/>
    <w:uiPriority w:val="0"/>
    <w:rPr>
      <w:rFonts w:ascii="仿宋_GB2312" w:hAnsi="宋体" w:eastAsia="仿宋_GB2312"/>
      <w:sz w:val="31"/>
      <w:szCs w:val="28"/>
    </w:rPr>
  </w:style>
  <w:style w:type="paragraph" w:customStyle="1" w:styleId="510">
    <w:name w:val="正文缩进2格"/>
    <w:basedOn w:val="1"/>
    <w:link w:val="509"/>
    <w:qFormat/>
    <w:uiPriority w:val="0"/>
    <w:pPr>
      <w:spacing w:line="600" w:lineRule="exact"/>
      <w:ind w:firstLine="639" w:firstLineChars="206"/>
    </w:pPr>
    <w:rPr>
      <w:rFonts w:ascii="仿宋_GB2312" w:hAnsi="宋体" w:eastAsia="仿宋_GB2312"/>
      <w:kern w:val="0"/>
      <w:sz w:val="31"/>
      <w:szCs w:val="28"/>
    </w:rPr>
  </w:style>
  <w:style w:type="character" w:customStyle="1" w:styleId="511">
    <w:name w:val="Char Char61"/>
    <w:qFormat/>
    <w:uiPriority w:val="0"/>
    <w:rPr>
      <w:kern w:val="2"/>
      <w:sz w:val="18"/>
      <w:szCs w:val="18"/>
    </w:rPr>
  </w:style>
  <w:style w:type="character" w:customStyle="1" w:styleId="512">
    <w:name w:val="方案文档 Char"/>
    <w:link w:val="513"/>
    <w:qFormat/>
    <w:uiPriority w:val="0"/>
    <w:rPr>
      <w:rFonts w:ascii="宋体" w:hAnsi="宋体"/>
      <w:sz w:val="24"/>
      <w:szCs w:val="24"/>
      <w:lang w:val="zh-CN"/>
    </w:rPr>
  </w:style>
  <w:style w:type="paragraph" w:customStyle="1" w:styleId="513">
    <w:name w:val="方案文档"/>
    <w:basedOn w:val="1"/>
    <w:link w:val="512"/>
    <w:qFormat/>
    <w:uiPriority w:val="0"/>
    <w:pPr>
      <w:spacing w:before="120" w:after="120" w:line="360" w:lineRule="auto"/>
      <w:ind w:right="32" w:firstLine="480"/>
    </w:pPr>
    <w:rPr>
      <w:rFonts w:ascii="宋体" w:hAnsi="宋体"/>
      <w:kern w:val="0"/>
      <w:sz w:val="24"/>
      <w:lang w:val="zh-CN"/>
    </w:rPr>
  </w:style>
  <w:style w:type="character" w:customStyle="1" w:styleId="514">
    <w:name w:val="书籍标题11"/>
    <w:qFormat/>
    <w:uiPriority w:val="99"/>
    <w:rPr>
      <w:b/>
      <w:smallCaps/>
      <w:spacing w:val="5"/>
    </w:rPr>
  </w:style>
  <w:style w:type="character" w:customStyle="1" w:styleId="515">
    <w:name w:val="font161"/>
    <w:qFormat/>
    <w:uiPriority w:val="99"/>
    <w:rPr>
      <w:b/>
      <w:sz w:val="32"/>
    </w:rPr>
  </w:style>
  <w:style w:type="character" w:customStyle="1" w:styleId="516">
    <w:name w:val="Char Char191"/>
    <w:qFormat/>
    <w:locked/>
    <w:uiPriority w:val="0"/>
    <w:rPr>
      <w:rFonts w:eastAsia="宋体"/>
      <w:sz w:val="24"/>
      <w:lang w:val="en-US" w:eastAsia="zh-CN" w:bidi="ar-SA"/>
    </w:rPr>
  </w:style>
  <w:style w:type="character" w:customStyle="1" w:styleId="517">
    <w:name w:val="Body Text 3 Char"/>
    <w:qFormat/>
    <w:locked/>
    <w:uiPriority w:val="99"/>
    <w:rPr>
      <w:rFonts w:ascii="宋体"/>
      <w:kern w:val="2"/>
      <w:sz w:val="24"/>
    </w:rPr>
  </w:style>
  <w:style w:type="character" w:customStyle="1" w:styleId="518">
    <w:name w:val="不明显强调11"/>
    <w:qFormat/>
    <w:uiPriority w:val="99"/>
    <w:rPr>
      <w:i/>
      <w:color w:val="808080"/>
    </w:rPr>
  </w:style>
  <w:style w:type="paragraph" w:customStyle="1" w:styleId="519">
    <w:name w:val="xl75"/>
    <w:basedOn w:val="1"/>
    <w:qFormat/>
    <w:uiPriority w:val="99"/>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20">
    <w:name w:val="xl81"/>
    <w:basedOn w:val="1"/>
    <w:qFormat/>
    <w:uiPriority w:val="99"/>
    <w:pPr>
      <w:widowControl/>
      <w:pBdr>
        <w:top w:val="single" w:color="auto" w:sz="4" w:space="0"/>
        <w:left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521">
    <w:name w:val="Char Char Char Char Char Char Char Char Char Char Char Char Char Char Char3"/>
    <w:basedOn w:val="1"/>
    <w:qFormat/>
    <w:uiPriority w:val="0"/>
    <w:pPr>
      <w:widowControl/>
      <w:spacing w:line="400" w:lineRule="exact"/>
      <w:jc w:val="center"/>
    </w:pPr>
    <w:rPr>
      <w:rFonts w:ascii="Verdana" w:hAnsi="Verdana"/>
      <w:kern w:val="0"/>
      <w:szCs w:val="20"/>
      <w:lang w:eastAsia="en-US"/>
    </w:rPr>
  </w:style>
  <w:style w:type="paragraph" w:customStyle="1" w:styleId="522">
    <w:name w:val="(1)"/>
    <w:basedOn w:val="1"/>
    <w:qFormat/>
    <w:uiPriority w:val="99"/>
    <w:pPr>
      <w:tabs>
        <w:tab w:val="left" w:pos="780"/>
        <w:tab w:val="left" w:pos="1134"/>
        <w:tab w:val="left" w:pos="1647"/>
      </w:tabs>
      <w:ind w:left="780" w:hanging="360"/>
    </w:pPr>
    <w:rPr>
      <w:rFonts w:ascii="宋体" w:hAnsi="宋体"/>
      <w:sz w:val="24"/>
    </w:rPr>
  </w:style>
  <w:style w:type="paragraph" w:customStyle="1" w:styleId="523">
    <w:name w:val="Char Char Char Char Char Char Char13"/>
    <w:basedOn w:val="1"/>
    <w:qFormat/>
    <w:uiPriority w:val="0"/>
    <w:pPr>
      <w:widowControl/>
      <w:spacing w:line="400" w:lineRule="exact"/>
      <w:jc w:val="center"/>
    </w:pPr>
    <w:rPr>
      <w:rFonts w:ascii="Verdana" w:hAnsi="Verdana"/>
      <w:kern w:val="0"/>
      <w:szCs w:val="20"/>
      <w:lang w:eastAsia="en-US"/>
    </w:rPr>
  </w:style>
  <w:style w:type="paragraph" w:customStyle="1" w:styleId="524">
    <w:name w:val="WW-正文缩进"/>
    <w:basedOn w:val="525"/>
    <w:qFormat/>
    <w:uiPriority w:val="0"/>
    <w:pPr>
      <w:tabs>
        <w:tab w:val="left" w:pos="1654"/>
      </w:tabs>
    </w:pPr>
  </w:style>
  <w:style w:type="paragraph" w:customStyle="1" w:styleId="525">
    <w:name w:val="默认"/>
    <w:qFormat/>
    <w:uiPriority w:val="0"/>
    <w:pPr>
      <w:widowControl w:val="0"/>
      <w:tabs>
        <w:tab w:val="left" w:pos="1654"/>
      </w:tabs>
      <w:suppressAutoHyphens/>
      <w:spacing w:line="360" w:lineRule="atLeast"/>
      <w:ind w:firstLine="420"/>
    </w:pPr>
    <w:rPr>
      <w:rFonts w:ascii="Times New Roman" w:hAnsi="Times New Roman" w:eastAsia="Times New Roman" w:cs="Times New Roman"/>
      <w:color w:val="000000"/>
      <w:sz w:val="21"/>
      <w:szCs w:val="22"/>
      <w:lang w:val="en-US" w:eastAsia="zh-CN" w:bidi="ar-SA"/>
    </w:rPr>
  </w:style>
  <w:style w:type="paragraph" w:customStyle="1" w:styleId="526">
    <w:name w:val="Char Char Char Char4"/>
    <w:basedOn w:val="1"/>
    <w:next w:val="1"/>
    <w:qFormat/>
    <w:uiPriority w:val="0"/>
    <w:pPr>
      <w:widowControl/>
      <w:spacing w:after="160" w:line="240" w:lineRule="exact"/>
      <w:jc w:val="left"/>
    </w:pPr>
  </w:style>
  <w:style w:type="paragraph" w:customStyle="1" w:styleId="527">
    <w:name w:val="Char Char15"/>
    <w:basedOn w:val="1"/>
    <w:qFormat/>
    <w:uiPriority w:val="0"/>
  </w:style>
  <w:style w:type="paragraph" w:customStyle="1" w:styleId="528">
    <w:name w:val="2"/>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529">
    <w:name w:val="Char Char Char Char Char Char Char Char Char Char Char Char Char4"/>
    <w:basedOn w:val="1"/>
    <w:qFormat/>
    <w:uiPriority w:val="0"/>
    <w:pPr>
      <w:tabs>
        <w:tab w:val="left" w:pos="420"/>
      </w:tabs>
      <w:ind w:left="420" w:hanging="420"/>
    </w:pPr>
    <w:rPr>
      <w:rFonts w:ascii="Tahoma" w:hAnsi="Tahoma"/>
      <w:sz w:val="24"/>
      <w:szCs w:val="20"/>
    </w:rPr>
  </w:style>
  <w:style w:type="paragraph" w:customStyle="1" w:styleId="530">
    <w:name w:val="_Style 26"/>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531">
    <w:name w:val="Char Char2 Char Char"/>
    <w:basedOn w:val="17"/>
    <w:qFormat/>
    <w:uiPriority w:val="99"/>
    <w:rPr>
      <w:rFonts w:ascii="Tahoma" w:hAnsi="Tahoma"/>
      <w:kern w:val="0"/>
      <w:sz w:val="2"/>
      <w:szCs w:val="20"/>
      <w:shd w:val="clear" w:color="auto" w:fill="auto"/>
    </w:rPr>
  </w:style>
  <w:style w:type="paragraph" w:customStyle="1" w:styleId="532">
    <w:name w:val="Char Char Char Char Char Char Char Char Char Char Char Char Char Char Char Char Char Char Char2"/>
    <w:basedOn w:val="1"/>
    <w:qFormat/>
    <w:uiPriority w:val="0"/>
    <w:pPr>
      <w:widowControl/>
      <w:spacing w:line="400" w:lineRule="exact"/>
      <w:jc w:val="center"/>
    </w:pPr>
    <w:rPr>
      <w:rFonts w:ascii="Verdana" w:hAnsi="Verdana"/>
      <w:kern w:val="0"/>
      <w:szCs w:val="20"/>
      <w:lang w:eastAsia="en-US"/>
    </w:rPr>
  </w:style>
  <w:style w:type="paragraph" w:customStyle="1" w:styleId="533">
    <w:name w:val="xl82"/>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4"/>
    </w:rPr>
  </w:style>
  <w:style w:type="paragraph" w:customStyle="1" w:styleId="534">
    <w:name w:val="Char Char Char Char Char Char Char Char Char Char3"/>
    <w:basedOn w:val="1"/>
    <w:qFormat/>
    <w:uiPriority w:val="0"/>
    <w:pPr>
      <w:widowControl/>
      <w:spacing w:line="400" w:lineRule="exact"/>
      <w:jc w:val="center"/>
    </w:pPr>
    <w:rPr>
      <w:rFonts w:ascii="Verdana" w:hAnsi="Verdana"/>
      <w:kern w:val="0"/>
      <w:szCs w:val="20"/>
      <w:lang w:eastAsia="en-US"/>
    </w:rPr>
  </w:style>
  <w:style w:type="paragraph" w:customStyle="1" w:styleId="535">
    <w:name w:val="xl70"/>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4"/>
    </w:rPr>
  </w:style>
  <w:style w:type="paragraph" w:customStyle="1" w:styleId="536">
    <w:name w:val="Char Char1 Char Char Char3"/>
    <w:basedOn w:val="17"/>
    <w:qFormat/>
    <w:uiPriority w:val="0"/>
    <w:rPr>
      <w:shd w:val="clear" w:color="auto" w:fill="auto"/>
    </w:rPr>
  </w:style>
  <w:style w:type="paragraph" w:customStyle="1" w:styleId="537">
    <w:name w:val="纯文本1"/>
    <w:basedOn w:val="1"/>
    <w:qFormat/>
    <w:uiPriority w:val="0"/>
    <w:pPr>
      <w:adjustRightInd w:val="0"/>
      <w:textAlignment w:val="baseline"/>
    </w:pPr>
    <w:rPr>
      <w:rFonts w:ascii="宋体" w:hAnsi="Courier New" w:eastAsia="楷体_GB2312"/>
      <w:sz w:val="26"/>
    </w:rPr>
  </w:style>
  <w:style w:type="paragraph" w:customStyle="1" w:styleId="538">
    <w:name w:val="纯文本2"/>
    <w:basedOn w:val="1"/>
    <w:qFormat/>
    <w:uiPriority w:val="99"/>
    <w:rPr>
      <w:rFonts w:ascii="宋体" w:hAnsi="Courier New"/>
      <w:sz w:val="28"/>
    </w:rPr>
  </w:style>
  <w:style w:type="paragraph" w:customStyle="1" w:styleId="539">
    <w:name w:val="xl71"/>
    <w:basedOn w:val="1"/>
    <w:qFormat/>
    <w:uiPriority w:val="99"/>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40">
    <w:name w:val="6'"/>
    <w:basedOn w:val="1"/>
    <w:qFormat/>
    <w:uiPriority w:val="99"/>
    <w:pPr>
      <w:autoSpaceDE w:val="0"/>
      <w:autoSpaceDN w:val="0"/>
      <w:adjustRightInd w:val="0"/>
      <w:snapToGrid w:val="0"/>
      <w:spacing w:line="320" w:lineRule="exact"/>
      <w:jc w:val="center"/>
      <w:textAlignment w:val="baseline"/>
    </w:pPr>
    <w:rPr>
      <w:spacing w:val="20"/>
      <w:kern w:val="28"/>
    </w:rPr>
  </w:style>
  <w:style w:type="paragraph" w:customStyle="1" w:styleId="541">
    <w:name w:val="xl68"/>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42">
    <w:name w:val="Char Char Char1 Char3"/>
    <w:basedOn w:val="1"/>
    <w:qFormat/>
    <w:uiPriority w:val="0"/>
    <w:rPr>
      <w:szCs w:val="20"/>
    </w:rPr>
  </w:style>
  <w:style w:type="paragraph" w:customStyle="1" w:styleId="543">
    <w:name w:val="Char Char Char1"/>
    <w:basedOn w:val="1"/>
    <w:qFormat/>
    <w:uiPriority w:val="0"/>
    <w:pPr>
      <w:tabs>
        <w:tab w:val="left" w:pos="420"/>
      </w:tabs>
      <w:ind w:left="420" w:hanging="420"/>
    </w:pPr>
    <w:rPr>
      <w:rFonts w:ascii="Tahoma" w:hAnsi="Tahoma"/>
      <w:sz w:val="24"/>
      <w:szCs w:val="20"/>
    </w:rPr>
  </w:style>
  <w:style w:type="paragraph" w:customStyle="1" w:styleId="544">
    <w:name w:val="正文4"/>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545">
    <w:name w:val="È±Ê¡ÎÄ±¾"/>
    <w:basedOn w:val="1"/>
    <w:qFormat/>
    <w:uiPriority w:val="0"/>
    <w:pPr>
      <w:widowControl/>
      <w:overflowPunct w:val="0"/>
      <w:autoSpaceDE w:val="0"/>
      <w:autoSpaceDN w:val="0"/>
      <w:adjustRightInd w:val="0"/>
      <w:jc w:val="left"/>
      <w:textAlignment w:val="baseline"/>
    </w:pPr>
    <w:rPr>
      <w:kern w:val="0"/>
      <w:sz w:val="24"/>
      <w:lang w:val="zh-CN"/>
    </w:rPr>
  </w:style>
  <w:style w:type="paragraph" w:customStyle="1" w:styleId="546">
    <w:name w:val="注"/>
    <w:basedOn w:val="1"/>
    <w:qFormat/>
    <w:uiPriority w:val="99"/>
    <w:pPr>
      <w:adjustRightInd w:val="0"/>
      <w:spacing w:line="360" w:lineRule="atLeast"/>
      <w:ind w:left="840" w:hanging="420"/>
      <w:textAlignment w:val="baseline"/>
    </w:pPr>
    <w:rPr>
      <w:kern w:val="0"/>
    </w:rPr>
  </w:style>
  <w:style w:type="paragraph" w:customStyle="1" w:styleId="547">
    <w:name w:val="xl76"/>
    <w:basedOn w:val="1"/>
    <w:qFormat/>
    <w:uiPriority w:val="99"/>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4"/>
    </w:rPr>
  </w:style>
  <w:style w:type="paragraph" w:customStyle="1" w:styleId="548">
    <w:name w:val="正文文本缩进1"/>
    <w:basedOn w:val="1"/>
    <w:qFormat/>
    <w:uiPriority w:val="99"/>
    <w:pPr>
      <w:spacing w:line="360" w:lineRule="auto"/>
      <w:ind w:firstLine="420"/>
    </w:pPr>
    <w:rPr>
      <w:rFonts w:ascii="宋体"/>
      <w:sz w:val="24"/>
    </w:rPr>
  </w:style>
  <w:style w:type="paragraph" w:customStyle="1" w:styleId="549">
    <w:name w:val="表格"/>
    <w:basedOn w:val="1"/>
    <w:qFormat/>
    <w:uiPriority w:val="99"/>
    <w:pPr>
      <w:jc w:val="center"/>
      <w:textAlignment w:val="center"/>
    </w:pPr>
    <w:rPr>
      <w:rFonts w:ascii="华文细黑" w:hAnsi="华文细黑"/>
      <w:kern w:val="0"/>
    </w:rPr>
  </w:style>
  <w:style w:type="paragraph" w:customStyle="1" w:styleId="550">
    <w:name w:val="样式 标题 2 + 黑色 行距: 1.5 倍行距"/>
    <w:basedOn w:val="4"/>
    <w:qFormat/>
    <w:uiPriority w:val="99"/>
    <w:pPr>
      <w:spacing w:line="360" w:lineRule="auto"/>
    </w:pPr>
    <w:rPr>
      <w:rFonts w:eastAsia="宋体" w:cs="宋体"/>
      <w:bCs w:val="0"/>
      <w:color w:val="000000"/>
      <w:szCs w:val="20"/>
    </w:rPr>
  </w:style>
  <w:style w:type="paragraph" w:customStyle="1" w:styleId="551">
    <w:name w:val="Plain Text1"/>
    <w:basedOn w:val="1"/>
    <w:qFormat/>
    <w:uiPriority w:val="99"/>
    <w:rPr>
      <w:rFonts w:ascii="宋体" w:hAnsi="Courier New"/>
      <w:sz w:val="28"/>
    </w:rPr>
  </w:style>
  <w:style w:type="paragraph" w:customStyle="1" w:styleId="552">
    <w:name w:val="xl3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4"/>
    </w:rPr>
  </w:style>
  <w:style w:type="paragraph" w:customStyle="1" w:styleId="553">
    <w:name w:val="xl65"/>
    <w:basedOn w:val="1"/>
    <w:qFormat/>
    <w:uiPriority w:val="99"/>
    <w:pPr>
      <w:widowControl/>
      <w:shd w:val="clear" w:color="000000" w:fill="FFFFFF"/>
      <w:spacing w:before="100" w:beforeAutospacing="1" w:after="100" w:afterAutospacing="1"/>
      <w:jc w:val="center"/>
    </w:pPr>
    <w:rPr>
      <w:rFonts w:ascii="宋体" w:hAnsi="宋体" w:cs="宋体"/>
      <w:kern w:val="0"/>
      <w:sz w:val="20"/>
      <w:szCs w:val="20"/>
    </w:rPr>
  </w:style>
  <w:style w:type="paragraph" w:customStyle="1" w:styleId="554">
    <w:name w:val="xl74"/>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555">
    <w:name w:val="副标题2"/>
    <w:basedOn w:val="1"/>
    <w:next w:val="1"/>
    <w:qFormat/>
    <w:uiPriority w:val="0"/>
    <w:pPr>
      <w:spacing w:before="120" w:after="120"/>
      <w:jc w:val="left"/>
    </w:pPr>
    <w:rPr>
      <w:rFonts w:ascii="Arial" w:hAnsi="Arial"/>
      <w:b/>
      <w:bCs/>
      <w:color w:val="000000"/>
      <w:kern w:val="44"/>
      <w:sz w:val="20"/>
      <w:szCs w:val="20"/>
    </w:rPr>
  </w:style>
  <w:style w:type="paragraph" w:customStyle="1" w:styleId="556">
    <w:name w:val="Char3"/>
    <w:basedOn w:val="1"/>
    <w:qFormat/>
    <w:uiPriority w:val="0"/>
    <w:rPr>
      <w:rFonts w:ascii="Tahoma" w:hAnsi="Tahoma"/>
      <w:sz w:val="24"/>
      <w:szCs w:val="20"/>
    </w:rPr>
  </w:style>
  <w:style w:type="paragraph" w:customStyle="1" w:styleId="557">
    <w:name w:val="Body Text Indent1"/>
    <w:basedOn w:val="1"/>
    <w:qFormat/>
    <w:uiPriority w:val="99"/>
    <w:pPr>
      <w:spacing w:line="360" w:lineRule="auto"/>
      <w:ind w:firstLine="420"/>
    </w:pPr>
    <w:rPr>
      <w:rFonts w:ascii="宋体"/>
      <w:sz w:val="24"/>
    </w:rPr>
  </w:style>
  <w:style w:type="paragraph" w:customStyle="1" w:styleId="558">
    <w:name w:val="标题 2 + 黑色 行距: 1.5 倍行距"/>
    <w:basedOn w:val="4"/>
    <w:qFormat/>
    <w:uiPriority w:val="99"/>
    <w:pPr>
      <w:spacing w:line="360" w:lineRule="auto"/>
    </w:pPr>
    <w:rPr>
      <w:rFonts w:eastAsia="宋体" w:cs="宋体"/>
      <w:bCs w:val="0"/>
      <w:color w:val="000000"/>
      <w:szCs w:val="20"/>
    </w:rPr>
  </w:style>
  <w:style w:type="paragraph" w:customStyle="1" w:styleId="559">
    <w:name w:val="xl79"/>
    <w:basedOn w:val="1"/>
    <w:qFormat/>
    <w:uiPriority w:val="99"/>
    <w:pPr>
      <w:widowControl/>
      <w:pBdr>
        <w:top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0"/>
      <w:szCs w:val="20"/>
    </w:rPr>
  </w:style>
  <w:style w:type="paragraph" w:customStyle="1" w:styleId="560">
    <w:name w:val="样式 标题 1 + 黑体 三号 非加粗 居中 段前: 6 磅 段后: 6 磅 行距: 固定值 20 磅"/>
    <w:basedOn w:val="3"/>
    <w:qFormat/>
    <w:uiPriority w:val="99"/>
    <w:pPr>
      <w:spacing w:before="120" w:after="120" w:line="400" w:lineRule="exact"/>
      <w:jc w:val="center"/>
    </w:pPr>
    <w:rPr>
      <w:rFonts w:ascii="黑体" w:hAnsi="黑体" w:eastAsia="黑体" w:cs="宋体"/>
      <w:b w:val="0"/>
      <w:bCs w:val="0"/>
      <w:sz w:val="32"/>
      <w:szCs w:val="20"/>
    </w:rPr>
  </w:style>
  <w:style w:type="paragraph" w:customStyle="1" w:styleId="561">
    <w:name w:val="Char Char Char1 Char Char Char Char Char Char Char2"/>
    <w:basedOn w:val="1"/>
    <w:qFormat/>
    <w:uiPriority w:val="0"/>
    <w:rPr>
      <w:rFonts w:ascii="Tahoma" w:hAnsi="Tahoma"/>
      <w:kern w:val="0"/>
      <w:sz w:val="24"/>
      <w:szCs w:val="20"/>
    </w:rPr>
  </w:style>
  <w:style w:type="paragraph" w:customStyle="1" w:styleId="562">
    <w:name w:val="xl63"/>
    <w:basedOn w:val="1"/>
    <w:qFormat/>
    <w:uiPriority w:val="99"/>
    <w:pPr>
      <w:widowControl/>
      <w:shd w:val="clear" w:color="000000" w:fill="FFFFFF"/>
      <w:spacing w:before="100" w:beforeAutospacing="1" w:after="100" w:afterAutospacing="1"/>
      <w:jc w:val="center"/>
    </w:pPr>
    <w:rPr>
      <w:rFonts w:ascii="宋体" w:hAnsi="宋体" w:cs="宋体"/>
      <w:kern w:val="0"/>
      <w:sz w:val="20"/>
      <w:szCs w:val="20"/>
    </w:rPr>
  </w:style>
  <w:style w:type="paragraph" w:customStyle="1" w:styleId="563">
    <w:name w:val="_Style 38"/>
    <w:basedOn w:val="1"/>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0"/>
    </w:rPr>
  </w:style>
  <w:style w:type="paragraph" w:customStyle="1" w:styleId="564">
    <w:name w:val="xl66"/>
    <w:basedOn w:val="1"/>
    <w:qFormat/>
    <w:uiPriority w:val="99"/>
    <w:pPr>
      <w:widowControl/>
      <w:shd w:val="clear" w:color="000000" w:fill="FFFFFF"/>
      <w:spacing w:before="100" w:beforeAutospacing="1" w:after="100" w:afterAutospacing="1"/>
      <w:jc w:val="center"/>
    </w:pPr>
    <w:rPr>
      <w:rFonts w:ascii="宋体" w:hAnsi="宋体" w:cs="宋体"/>
      <w:kern w:val="0"/>
      <w:sz w:val="24"/>
    </w:rPr>
  </w:style>
  <w:style w:type="paragraph" w:customStyle="1" w:styleId="565">
    <w:name w:val="样式 样式1 + 首行缩进:  2 字符"/>
    <w:basedOn w:val="1"/>
    <w:qFormat/>
    <w:uiPriority w:val="0"/>
    <w:pPr>
      <w:spacing w:line="360" w:lineRule="exact"/>
      <w:ind w:firstLine="420" w:firstLineChars="200"/>
    </w:pPr>
    <w:rPr>
      <w:rFonts w:ascii="Arial" w:hAnsi="Arial" w:cs="宋体"/>
      <w:kern w:val="0"/>
      <w:sz w:val="24"/>
      <w:szCs w:val="20"/>
    </w:rPr>
  </w:style>
  <w:style w:type="paragraph" w:customStyle="1" w:styleId="566">
    <w:name w:val="列表段落1"/>
    <w:basedOn w:val="1"/>
    <w:qFormat/>
    <w:uiPriority w:val="0"/>
    <w:pPr>
      <w:ind w:firstLine="420" w:firstLineChars="200"/>
    </w:pPr>
    <w:rPr>
      <w:rFonts w:ascii="Calibri" w:hAnsi="Calibri"/>
      <w:szCs w:val="20"/>
    </w:rPr>
  </w:style>
  <w:style w:type="paragraph" w:customStyle="1" w:styleId="567">
    <w:name w:val="Char Char2 Char Char Char Char4"/>
    <w:basedOn w:val="1"/>
    <w:qFormat/>
    <w:uiPriority w:val="0"/>
    <w:rPr>
      <w:rFonts w:ascii="Tahoma" w:hAnsi="Tahoma"/>
      <w:sz w:val="24"/>
      <w:szCs w:val="20"/>
    </w:rPr>
  </w:style>
  <w:style w:type="paragraph" w:customStyle="1" w:styleId="568">
    <w:name w:val="xl78"/>
    <w:basedOn w:val="1"/>
    <w:qFormat/>
    <w:uiPriority w:val="99"/>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4"/>
    </w:rPr>
  </w:style>
  <w:style w:type="paragraph" w:customStyle="1" w:styleId="569">
    <w:name w:val="xl67"/>
    <w:basedOn w:val="1"/>
    <w:qFormat/>
    <w:uiPriority w:val="99"/>
    <w:pPr>
      <w:widowControl/>
      <w:pBdr>
        <w:top w:val="single" w:color="auto" w:sz="4" w:space="0"/>
        <w:left w:val="single" w:color="auto" w:sz="4" w:space="0"/>
        <w:bottom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70">
    <w:name w:val="xl72"/>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0"/>
      <w:szCs w:val="20"/>
    </w:rPr>
  </w:style>
  <w:style w:type="paragraph" w:customStyle="1" w:styleId="571">
    <w:name w:val="Personal Name"/>
    <w:basedOn w:val="53"/>
    <w:qFormat/>
    <w:uiPriority w:val="99"/>
    <w:pPr>
      <w:adjustRightInd w:val="0"/>
      <w:spacing w:line="420" w:lineRule="atLeast"/>
      <w:textAlignment w:val="baseline"/>
    </w:pPr>
    <w:rPr>
      <w:rFonts w:ascii="Impact" w:hAnsi="Impact"/>
      <w:b w:val="0"/>
      <w:bCs w:val="0"/>
      <w:caps/>
      <w:color w:val="000000"/>
      <w:kern w:val="0"/>
      <w:sz w:val="28"/>
      <w:szCs w:val="28"/>
    </w:rPr>
  </w:style>
  <w:style w:type="paragraph" w:customStyle="1" w:styleId="572">
    <w:name w:val="xl64"/>
    <w:basedOn w:val="1"/>
    <w:qFormat/>
    <w:uiPriority w:val="99"/>
    <w:pPr>
      <w:widowControl/>
      <w:shd w:val="clear" w:color="000000" w:fill="FFFFFF"/>
      <w:spacing w:before="100" w:beforeAutospacing="1" w:after="100" w:afterAutospacing="1"/>
      <w:jc w:val="center"/>
    </w:pPr>
    <w:rPr>
      <w:rFonts w:ascii="宋体" w:hAnsi="宋体" w:cs="宋体"/>
      <w:kern w:val="0"/>
      <w:sz w:val="24"/>
    </w:rPr>
  </w:style>
  <w:style w:type="paragraph" w:customStyle="1" w:styleId="573">
    <w:name w:val="xl77"/>
    <w:basedOn w:val="1"/>
    <w:qFormat/>
    <w:uiPriority w:val="99"/>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0"/>
      <w:szCs w:val="20"/>
    </w:rPr>
  </w:style>
  <w:style w:type="paragraph" w:customStyle="1" w:styleId="574">
    <w:name w:val="xl69"/>
    <w:basedOn w:val="1"/>
    <w:qFormat/>
    <w:uiPriority w:val="99"/>
    <w:pPr>
      <w:widowControl/>
      <w:pBdr>
        <w:top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75">
    <w:name w:val="xl80"/>
    <w:basedOn w:val="1"/>
    <w:qFormat/>
    <w:uiPriority w:val="99"/>
    <w:pPr>
      <w:widowControl/>
      <w:pBdr>
        <w:top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576">
    <w:name w:val="xl73"/>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4"/>
    </w:rPr>
  </w:style>
  <w:style w:type="paragraph" w:customStyle="1" w:styleId="577">
    <w:name w:val="sh4"/>
    <w:basedOn w:val="1"/>
    <w:qFormat/>
    <w:uiPriority w:val="0"/>
    <w:pPr>
      <w:spacing w:line="460" w:lineRule="exact"/>
      <w:ind w:firstLine="420" w:firstLineChars="200"/>
    </w:pPr>
    <w:rPr>
      <w:rFonts w:ascii="宋体" w:hAnsi="宋体"/>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2.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7.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7E4B3B6-2CE0-4120-A5E4-DF4DA73A65A7}">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118</Pages>
  <Words>59120</Words>
  <Characters>61919</Characters>
  <Lines>517</Lines>
  <Paragraphs>145</Paragraphs>
  <TotalTime>1</TotalTime>
  <ScaleCrop>false</ScaleCrop>
  <LinksUpToDate>false</LinksUpToDate>
  <CharactersWithSpaces>67096</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2021-02-25T06:33:00Z</dcterms:created>
  <dc:creator>~一只~小螃蟹~</dc:creator>
  <cp:lastModifiedBy>user01</cp:lastModifiedBy>
  <cp:lastPrinted>2021-02-25T06:50:00Z</cp:lastPrinted>
  <dcterms:modified xsi:type="dcterms:W3CDTF">2023-09-27T06:30:34Z</dcterms:modified>
  <cp:revision>82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827225F9972644BD9026AC0BBCDD3726_13</vt:lpwstr>
  </property>
</Properties>
</file>