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sz w:val="44"/>
          <w:szCs w:val="44"/>
        </w:rPr>
      </w:pPr>
    </w:p>
    <w:p>
      <w:pPr>
        <w:spacing w:line="560" w:lineRule="exact"/>
        <w:jc w:val="center"/>
        <w:rPr>
          <w:rFonts w:ascii="宋体" w:hAnsi="宋体"/>
          <w:sz w:val="44"/>
          <w:szCs w:val="44"/>
        </w:rPr>
      </w:pPr>
    </w:p>
    <w:p>
      <w:pPr>
        <w:spacing w:line="360" w:lineRule="auto"/>
        <w:jc w:val="center"/>
        <w:rPr>
          <w:rFonts w:ascii="宋体" w:hAnsi="宋体"/>
          <w:b/>
          <w:bCs/>
          <w:sz w:val="48"/>
          <w:szCs w:val="48"/>
        </w:rPr>
      </w:pPr>
      <w:r>
        <w:rPr>
          <w:rFonts w:hint="eastAsia" w:ascii="宋体" w:hAnsi="宋体"/>
          <w:b/>
          <w:bCs/>
          <w:sz w:val="48"/>
          <w:szCs w:val="48"/>
        </w:rPr>
        <w:t xml:space="preserve"> 南通市保安服务有限公司及下属子公司2023-2024年度车辆保险采购项目</w:t>
      </w:r>
    </w:p>
    <w:p>
      <w:pPr>
        <w:spacing w:line="560" w:lineRule="exact"/>
        <w:jc w:val="center"/>
        <w:rPr>
          <w:rFonts w:ascii="宋体" w:hAnsi="宋体"/>
          <w:b/>
          <w:bCs/>
          <w:sz w:val="44"/>
          <w:szCs w:val="44"/>
        </w:rPr>
      </w:pPr>
    </w:p>
    <w:p>
      <w:pPr>
        <w:spacing w:line="560" w:lineRule="exact"/>
        <w:jc w:val="center"/>
        <w:rPr>
          <w:rFonts w:ascii="宋体" w:hAnsi="宋体"/>
          <w:b/>
          <w:bCs/>
          <w:sz w:val="44"/>
          <w:szCs w:val="44"/>
        </w:rPr>
      </w:pPr>
    </w:p>
    <w:p>
      <w:pPr>
        <w:spacing w:line="560" w:lineRule="exact"/>
        <w:jc w:val="center"/>
        <w:rPr>
          <w:rFonts w:ascii="宋体" w:hAnsi="宋体"/>
          <w:b/>
          <w:bCs/>
          <w:sz w:val="44"/>
          <w:szCs w:val="44"/>
        </w:rPr>
      </w:pPr>
    </w:p>
    <w:p>
      <w:pPr>
        <w:rPr>
          <w:rFonts w:ascii="宋体" w:hAnsi="宋体"/>
          <w:b/>
          <w:bCs/>
          <w:sz w:val="44"/>
          <w:szCs w:val="44"/>
        </w:rPr>
      </w:pPr>
    </w:p>
    <w:p>
      <w:pPr>
        <w:pStyle w:val="2"/>
      </w:pPr>
    </w:p>
    <w:p>
      <w:pPr>
        <w:spacing w:line="360" w:lineRule="auto"/>
        <w:jc w:val="center"/>
        <w:rPr>
          <w:rFonts w:ascii="宋体" w:hAnsi="宋体"/>
          <w:b/>
          <w:bCs/>
          <w:sz w:val="96"/>
          <w:szCs w:val="96"/>
        </w:rPr>
      </w:pPr>
      <w:r>
        <w:rPr>
          <w:rFonts w:hint="eastAsia" w:ascii="宋体" w:hAnsi="宋体"/>
          <w:b/>
          <w:bCs/>
          <w:sz w:val="96"/>
          <w:szCs w:val="96"/>
        </w:rPr>
        <w:t>招标文件</w:t>
      </w:r>
    </w:p>
    <w:p>
      <w:pPr>
        <w:spacing w:line="560" w:lineRule="exact"/>
        <w:jc w:val="center"/>
        <w:rPr>
          <w:rFonts w:hint="eastAsia" w:ascii="宋体" w:hAnsi="宋体" w:eastAsia="宋体"/>
          <w:sz w:val="28"/>
          <w:szCs w:val="28"/>
          <w:lang w:eastAsia="zh-CN"/>
        </w:rPr>
      </w:pPr>
      <w:r>
        <w:rPr>
          <w:rFonts w:hint="eastAsia" w:ascii="宋体" w:hAnsi="宋体"/>
          <w:sz w:val="28"/>
          <w:szCs w:val="28"/>
          <w:lang w:eastAsia="zh-CN"/>
        </w:rPr>
        <w:t>（</w:t>
      </w:r>
      <w:r>
        <w:rPr>
          <w:rFonts w:hint="eastAsia" w:ascii="宋体" w:hAnsi="宋体"/>
          <w:sz w:val="28"/>
          <w:szCs w:val="28"/>
          <w:lang w:val="en-US" w:eastAsia="zh-CN"/>
        </w:rPr>
        <w:t>二次</w:t>
      </w:r>
      <w:r>
        <w:rPr>
          <w:rFonts w:hint="eastAsia" w:ascii="宋体" w:hAnsi="宋体"/>
          <w:sz w:val="28"/>
          <w:szCs w:val="28"/>
          <w:lang w:eastAsia="zh-CN"/>
        </w:rPr>
        <w:t>）</w:t>
      </w:r>
    </w:p>
    <w:p>
      <w:pPr>
        <w:spacing w:line="560" w:lineRule="exact"/>
        <w:jc w:val="center"/>
        <w:rPr>
          <w:rFonts w:ascii="宋体" w:hAnsi="宋体"/>
          <w:sz w:val="44"/>
          <w:szCs w:val="44"/>
        </w:rPr>
      </w:pPr>
    </w:p>
    <w:p>
      <w:pPr>
        <w:spacing w:line="560" w:lineRule="exact"/>
        <w:jc w:val="center"/>
        <w:rPr>
          <w:rFonts w:ascii="宋体" w:hAnsi="宋体"/>
          <w:sz w:val="44"/>
          <w:szCs w:val="44"/>
        </w:rPr>
      </w:pPr>
    </w:p>
    <w:p>
      <w:pPr>
        <w:spacing w:line="560" w:lineRule="exact"/>
        <w:jc w:val="center"/>
        <w:rPr>
          <w:rFonts w:ascii="宋体" w:hAnsi="宋体"/>
          <w:sz w:val="44"/>
          <w:szCs w:val="44"/>
        </w:rPr>
      </w:pPr>
    </w:p>
    <w:p>
      <w:pPr>
        <w:pStyle w:val="2"/>
        <w:rPr>
          <w:rFonts w:ascii="宋体" w:hAnsi="宋体"/>
          <w:sz w:val="44"/>
          <w:szCs w:val="44"/>
        </w:rPr>
      </w:pPr>
    </w:p>
    <w:p>
      <w:pPr>
        <w:pStyle w:val="3"/>
      </w:pPr>
    </w:p>
    <w:p>
      <w:pPr>
        <w:spacing w:line="560" w:lineRule="exact"/>
        <w:rPr>
          <w:rFonts w:ascii="宋体" w:hAnsi="宋体"/>
          <w:sz w:val="44"/>
          <w:szCs w:val="44"/>
        </w:rPr>
      </w:pPr>
    </w:p>
    <w:p>
      <w:pPr>
        <w:spacing w:line="560" w:lineRule="exact"/>
        <w:rPr>
          <w:rFonts w:ascii="宋体" w:hAnsi="宋体"/>
          <w:sz w:val="44"/>
          <w:szCs w:val="44"/>
        </w:rPr>
      </w:pPr>
    </w:p>
    <w:p>
      <w:pPr>
        <w:spacing w:before="100" w:beforeAutospacing="1" w:after="100" w:afterAutospacing="1" w:line="360" w:lineRule="auto"/>
        <w:ind w:firstLine="1500" w:firstLineChars="500"/>
        <w:rPr>
          <w:rFonts w:ascii="宋体" w:hAnsi="宋体"/>
          <w:sz w:val="30"/>
          <w:szCs w:val="30"/>
        </w:rPr>
      </w:pPr>
      <w:r>
        <w:rPr>
          <w:rFonts w:hint="eastAsia" w:ascii="宋体" w:hAnsi="宋体"/>
          <w:sz w:val="30"/>
          <w:szCs w:val="30"/>
        </w:rPr>
        <w:t>招标人：南通市保安服务有限公司</w:t>
      </w:r>
    </w:p>
    <w:p>
      <w:pPr>
        <w:spacing w:before="100" w:beforeAutospacing="1" w:after="100" w:afterAutospacing="1" w:line="360" w:lineRule="auto"/>
        <w:ind w:firstLine="1500" w:firstLineChars="500"/>
        <w:rPr>
          <w:rFonts w:ascii="宋体" w:hAnsi="宋体"/>
          <w:sz w:val="30"/>
          <w:szCs w:val="30"/>
        </w:rPr>
      </w:pPr>
      <w:r>
        <w:rPr>
          <w:rFonts w:hint="eastAsia" w:ascii="宋体" w:hAnsi="宋体"/>
          <w:sz w:val="30"/>
          <w:szCs w:val="30"/>
        </w:rPr>
        <w:t>代理机构：</w:t>
      </w:r>
      <w:r>
        <w:rPr>
          <w:rFonts w:hint="eastAsia" w:ascii="宋体" w:hAnsi="宋体"/>
          <w:kern w:val="0"/>
          <w:sz w:val="30"/>
          <w:szCs w:val="30"/>
          <w:shd w:val="clear" w:color="auto" w:fill="FFFFFF"/>
        </w:rPr>
        <w:t>中诚智信工程咨询集团股份有限公司</w:t>
      </w:r>
    </w:p>
    <w:p>
      <w:pPr>
        <w:spacing w:before="100" w:beforeAutospacing="1" w:after="100" w:afterAutospacing="1" w:line="360" w:lineRule="auto"/>
        <w:ind w:firstLine="1500" w:firstLineChars="500"/>
        <w:rPr>
          <w:rFonts w:ascii="宋体" w:hAnsi="宋体"/>
          <w:sz w:val="30"/>
          <w:szCs w:val="30"/>
        </w:rPr>
      </w:pPr>
      <w:r>
        <w:rPr>
          <w:rFonts w:hint="eastAsia" w:ascii="宋体" w:hAnsi="宋体"/>
          <w:sz w:val="30"/>
          <w:szCs w:val="30"/>
        </w:rPr>
        <w:t>日期：202</w:t>
      </w:r>
      <w:r>
        <w:rPr>
          <w:rFonts w:ascii="宋体" w:hAnsi="宋体"/>
          <w:sz w:val="30"/>
          <w:szCs w:val="30"/>
        </w:rPr>
        <w:t>3</w:t>
      </w:r>
      <w:r>
        <w:rPr>
          <w:rFonts w:hint="eastAsia" w:ascii="宋体" w:hAnsi="宋体"/>
          <w:sz w:val="30"/>
          <w:szCs w:val="30"/>
        </w:rPr>
        <w:t>年</w:t>
      </w:r>
      <w:r>
        <w:rPr>
          <w:rFonts w:hint="eastAsia" w:ascii="宋体" w:hAnsi="宋体"/>
          <w:sz w:val="30"/>
          <w:szCs w:val="30"/>
          <w:lang w:val="en-US" w:eastAsia="zh-CN"/>
        </w:rPr>
        <w:t>9</w:t>
      </w:r>
      <w:r>
        <w:rPr>
          <w:rFonts w:hint="eastAsia" w:ascii="宋体" w:hAnsi="宋体"/>
          <w:sz w:val="30"/>
          <w:szCs w:val="30"/>
        </w:rPr>
        <w:t>月</w:t>
      </w:r>
      <w:r>
        <w:rPr>
          <w:rFonts w:hint="eastAsia" w:ascii="宋体" w:hAnsi="宋体"/>
          <w:sz w:val="30"/>
          <w:szCs w:val="30"/>
          <w:lang w:val="en-US" w:eastAsia="zh-CN"/>
        </w:rPr>
        <w:t>4</w:t>
      </w:r>
      <w:r>
        <w:rPr>
          <w:rFonts w:hint="eastAsia" w:ascii="宋体" w:hAnsi="宋体"/>
          <w:sz w:val="30"/>
          <w:szCs w:val="30"/>
        </w:rPr>
        <w:t>日</w:t>
      </w:r>
    </w:p>
    <w:p>
      <w:pPr>
        <w:spacing w:line="560" w:lineRule="exact"/>
        <w:rPr>
          <w:rFonts w:ascii="宋体" w:hAnsi="宋体"/>
          <w:b/>
          <w:bCs/>
          <w:sz w:val="30"/>
          <w:szCs w:val="30"/>
        </w:rPr>
        <w:sectPr>
          <w:pgSz w:w="11906" w:h="16838"/>
          <w:pgMar w:top="1434" w:right="1797" w:bottom="1434" w:left="1797" w:header="851" w:footer="992" w:gutter="0"/>
          <w:pgNumType w:start="0"/>
          <w:cols w:space="425" w:num="1"/>
          <w:docGrid w:type="lines" w:linePitch="312" w:charSpace="0"/>
        </w:sectPr>
      </w:pPr>
    </w:p>
    <w:p>
      <w:pPr>
        <w:adjustRightInd w:val="0"/>
        <w:snapToGrid w:val="0"/>
        <w:spacing w:beforeLines="50" w:afterLines="50" w:line="360" w:lineRule="auto"/>
        <w:jc w:val="center"/>
        <w:rPr>
          <w:rFonts w:ascii="宋体" w:hAnsi="宋体"/>
          <w:b/>
          <w:bCs/>
          <w:sz w:val="32"/>
          <w:szCs w:val="32"/>
        </w:rPr>
      </w:pPr>
      <w:bookmarkStart w:id="37" w:name="_GoBack"/>
      <w:r>
        <w:rPr>
          <w:rFonts w:hint="eastAsia" w:ascii="宋体" w:hAnsi="宋体"/>
          <w:b/>
          <w:bCs/>
          <w:sz w:val="32"/>
          <w:szCs w:val="32"/>
        </w:rPr>
        <w:t>第一章  招标公告</w:t>
      </w:r>
    </w:p>
    <w:p>
      <w:pPr>
        <w:adjustRightInd w:val="0"/>
        <w:snapToGrid w:val="0"/>
        <w:spacing w:line="360" w:lineRule="auto"/>
        <w:ind w:firstLine="480" w:firstLineChars="200"/>
        <w:rPr>
          <w:rFonts w:ascii="宋体" w:hAnsi="宋体"/>
          <w:sz w:val="24"/>
        </w:rPr>
      </w:pPr>
      <w:r>
        <w:rPr>
          <w:rFonts w:hint="eastAsia" w:ascii="宋体" w:hAnsi="宋体"/>
          <w:sz w:val="24"/>
        </w:rPr>
        <w:t>南通市保安服务有限公司（以下简称招标人）拟用</w:t>
      </w:r>
      <w:r>
        <w:rPr>
          <w:rFonts w:ascii="宋体" w:hAnsi="宋体"/>
          <w:sz w:val="24"/>
        </w:rPr>
        <w:t>公开</w:t>
      </w:r>
      <w:r>
        <w:rPr>
          <w:rFonts w:hint="eastAsia" w:ascii="宋体" w:hAnsi="宋体"/>
          <w:sz w:val="24"/>
        </w:rPr>
        <w:t>招标方式对</w:t>
      </w:r>
      <w:r>
        <w:rPr>
          <w:rFonts w:hint="eastAsia" w:ascii="宋体" w:hAnsi="宋体"/>
          <w:sz w:val="24"/>
          <w:shd w:val="clear" w:color="auto" w:fill="FFFFFF"/>
        </w:rPr>
        <w:t>南通市保安服务有限公司及下属子公司2023-2024年度车辆保险</w:t>
      </w:r>
      <w:r>
        <w:rPr>
          <w:rFonts w:hint="eastAsia" w:ascii="宋体" w:hAnsi="宋体"/>
          <w:sz w:val="24"/>
        </w:rPr>
        <w:t>进行采购，内容如下：</w:t>
      </w:r>
    </w:p>
    <w:p>
      <w:pPr>
        <w:adjustRightInd w:val="0"/>
        <w:snapToGrid w:val="0"/>
        <w:spacing w:line="360" w:lineRule="auto"/>
        <w:ind w:firstLine="482" w:firstLineChars="200"/>
        <w:rPr>
          <w:rFonts w:ascii="宋体" w:hAnsi="宋体"/>
          <w:b/>
          <w:bCs/>
          <w:sz w:val="24"/>
        </w:rPr>
      </w:pPr>
      <w:r>
        <w:rPr>
          <w:rFonts w:hint="eastAsia" w:ascii="宋体" w:hAnsi="宋体"/>
          <w:b/>
          <w:bCs/>
          <w:sz w:val="24"/>
        </w:rPr>
        <w:t>一、项目名称</w:t>
      </w:r>
    </w:p>
    <w:p>
      <w:pPr>
        <w:adjustRightInd w:val="0"/>
        <w:snapToGrid w:val="0"/>
        <w:spacing w:line="360" w:lineRule="auto"/>
        <w:ind w:firstLine="480" w:firstLineChars="200"/>
        <w:rPr>
          <w:rFonts w:ascii="宋体" w:hAnsi="宋体"/>
          <w:sz w:val="24"/>
        </w:rPr>
      </w:pPr>
      <w:r>
        <w:rPr>
          <w:rFonts w:hint="eastAsia" w:ascii="宋体" w:hAnsi="宋体"/>
          <w:sz w:val="24"/>
        </w:rPr>
        <w:t>项目名称：南通市保安服务有限公司及下属子公司2023-2024年度车辆保险采购项目</w:t>
      </w:r>
    </w:p>
    <w:p>
      <w:pPr>
        <w:adjustRightInd w:val="0"/>
        <w:snapToGrid w:val="0"/>
        <w:spacing w:line="360" w:lineRule="auto"/>
        <w:ind w:firstLine="482" w:firstLineChars="200"/>
        <w:rPr>
          <w:rFonts w:ascii="宋体" w:hAnsi="宋体"/>
          <w:b/>
          <w:bCs/>
          <w:sz w:val="24"/>
        </w:rPr>
      </w:pPr>
      <w:r>
        <w:rPr>
          <w:rFonts w:hint="eastAsia" w:ascii="宋体" w:hAnsi="宋体"/>
          <w:b/>
          <w:bCs/>
          <w:sz w:val="24"/>
        </w:rPr>
        <w:t>二、项目预算：48.5万元</w:t>
      </w:r>
    </w:p>
    <w:p>
      <w:pPr>
        <w:adjustRightInd w:val="0"/>
        <w:snapToGrid w:val="0"/>
        <w:spacing w:line="360" w:lineRule="auto"/>
        <w:ind w:firstLine="482" w:firstLineChars="200"/>
        <w:rPr>
          <w:rFonts w:ascii="宋体" w:hAnsi="宋体"/>
          <w:b/>
          <w:bCs/>
          <w:sz w:val="24"/>
        </w:rPr>
      </w:pPr>
      <w:r>
        <w:rPr>
          <w:rFonts w:hint="eastAsia" w:ascii="宋体" w:hAnsi="宋体"/>
          <w:b/>
          <w:bCs/>
          <w:sz w:val="24"/>
        </w:rPr>
        <w:t>三、投标人资格要求</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1、在中华人民共和国境内（不含香港、澳门及台湾地区）注册的、具有车辆保险业务经营资格的独立法人，或是经法人单位书面授权的设立在南通的分支机构。</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2、若投标人为法人单位设立在南通的分支机构，必须经法人单位书面授权。提供授权原件。</w:t>
      </w:r>
    </w:p>
    <w:p>
      <w:pPr>
        <w:pStyle w:val="9"/>
        <w:adjustRightInd w:val="0"/>
        <w:snapToGrid w:val="0"/>
        <w:ind w:firstLine="480" w:firstLineChars="200"/>
        <w:rPr>
          <w:rFonts w:hAnsi="宋体"/>
          <w:kern w:val="2"/>
          <w:szCs w:val="24"/>
        </w:rPr>
      </w:pPr>
      <w:r>
        <w:rPr>
          <w:rFonts w:hint="eastAsia" w:hAnsi="宋体"/>
          <w:kern w:val="2"/>
          <w:szCs w:val="24"/>
        </w:rPr>
        <w:t>3、两个及两个以上关联公司（包括母公司、子公司、控股公司及参股公司），不得在本招标项目中同时投标，否则视同围标处理；</w:t>
      </w:r>
    </w:p>
    <w:p>
      <w:pPr>
        <w:pStyle w:val="9"/>
        <w:adjustRightInd w:val="0"/>
        <w:snapToGrid w:val="0"/>
        <w:ind w:firstLine="480" w:firstLineChars="200"/>
        <w:rPr>
          <w:rFonts w:hAnsi="宋体"/>
          <w:kern w:val="2"/>
          <w:szCs w:val="24"/>
        </w:rPr>
      </w:pPr>
      <w:r>
        <w:rPr>
          <w:rFonts w:hint="eastAsia" w:hAnsi="宋体"/>
          <w:kern w:val="2"/>
          <w:szCs w:val="24"/>
        </w:rPr>
        <w:t>4、本项目不接受联合体投标。</w:t>
      </w:r>
    </w:p>
    <w:p>
      <w:pPr>
        <w:adjustRightInd w:val="0"/>
        <w:snapToGrid w:val="0"/>
        <w:spacing w:line="360" w:lineRule="auto"/>
        <w:ind w:firstLine="482" w:firstLineChars="200"/>
        <w:rPr>
          <w:rFonts w:ascii="宋体" w:hAnsi="宋体"/>
          <w:b/>
          <w:bCs/>
          <w:sz w:val="24"/>
        </w:rPr>
      </w:pPr>
      <w:r>
        <w:rPr>
          <w:rFonts w:hint="eastAsia" w:ascii="宋体" w:hAnsi="宋体"/>
          <w:b/>
          <w:bCs/>
          <w:sz w:val="24"/>
        </w:rPr>
        <w:t>四、评标办法</w:t>
      </w:r>
    </w:p>
    <w:p>
      <w:pPr>
        <w:pStyle w:val="9"/>
        <w:adjustRightInd w:val="0"/>
        <w:snapToGrid w:val="0"/>
        <w:ind w:firstLine="480" w:firstLineChars="200"/>
        <w:rPr>
          <w:rFonts w:hAnsi="宋体"/>
          <w:b/>
          <w:bCs/>
          <w:szCs w:val="24"/>
          <w:shd w:val="clear" w:color="auto" w:fill="FFFFFF"/>
        </w:rPr>
      </w:pPr>
      <w:r>
        <w:rPr>
          <w:rFonts w:hint="eastAsia" w:hAnsi="宋体"/>
          <w:kern w:val="2"/>
          <w:szCs w:val="24"/>
        </w:rPr>
        <w:t>本项目采用综合评分法。</w:t>
      </w:r>
    </w:p>
    <w:p>
      <w:pPr>
        <w:pStyle w:val="9"/>
        <w:adjustRightInd w:val="0"/>
        <w:snapToGrid w:val="0"/>
        <w:ind w:firstLine="482" w:firstLineChars="200"/>
        <w:rPr>
          <w:rFonts w:asciiTheme="minorEastAsia" w:hAnsiTheme="minorEastAsia" w:cstheme="minorEastAsia"/>
          <w:b/>
          <w:bCs/>
          <w:szCs w:val="24"/>
        </w:rPr>
      </w:pPr>
      <w:r>
        <w:rPr>
          <w:rFonts w:hint="eastAsia" w:asciiTheme="minorEastAsia" w:hAnsiTheme="minorEastAsia" w:cstheme="minorEastAsia"/>
          <w:b/>
          <w:bCs/>
          <w:szCs w:val="24"/>
          <w:shd w:val="clear" w:color="auto" w:fill="FFFFFF"/>
        </w:rPr>
        <w:t>五、获取招标文件</w:t>
      </w:r>
    </w:p>
    <w:p>
      <w:pPr>
        <w:pStyle w:val="9"/>
        <w:adjustRightInd w:val="0"/>
        <w:snapToGrid w:val="0"/>
        <w:ind w:firstLine="480" w:firstLineChars="200"/>
        <w:rPr>
          <w:rFonts w:hAnsi="宋体"/>
          <w:b/>
          <w:bCs/>
          <w:szCs w:val="24"/>
          <w:shd w:val="clear" w:color="auto" w:fill="FFFFFF"/>
        </w:rPr>
      </w:pPr>
      <w:r>
        <w:rPr>
          <w:rFonts w:hint="eastAsia" w:asciiTheme="minorEastAsia" w:hAnsiTheme="minorEastAsia" w:cstheme="minorEastAsia"/>
        </w:rPr>
        <w:t>在“南通市保安服务有限公司网站”自行下载。</w:t>
      </w:r>
    </w:p>
    <w:p>
      <w:pPr>
        <w:adjustRightInd w:val="0"/>
        <w:snapToGrid w:val="0"/>
        <w:spacing w:line="360" w:lineRule="auto"/>
        <w:ind w:firstLine="482" w:firstLineChars="200"/>
        <w:rPr>
          <w:rFonts w:ascii="宋体" w:hAnsi="宋体"/>
          <w:b/>
          <w:bCs/>
          <w:sz w:val="24"/>
        </w:rPr>
      </w:pPr>
      <w:r>
        <w:rPr>
          <w:rFonts w:hint="eastAsia" w:ascii="宋体" w:hAnsi="宋体"/>
          <w:b/>
          <w:bCs/>
          <w:sz w:val="24"/>
        </w:rPr>
        <w:t>六、投标文件的递交</w:t>
      </w:r>
    </w:p>
    <w:p>
      <w:pPr>
        <w:pStyle w:val="9"/>
        <w:adjustRightInd w:val="0"/>
        <w:snapToGrid w:val="0"/>
        <w:ind w:firstLine="480" w:firstLineChars="200"/>
        <w:rPr>
          <w:rFonts w:hAnsi="宋体"/>
          <w:kern w:val="2"/>
          <w:szCs w:val="24"/>
        </w:rPr>
      </w:pPr>
      <w:r>
        <w:rPr>
          <w:rFonts w:hint="eastAsia" w:hAnsi="宋体"/>
          <w:kern w:val="2"/>
          <w:szCs w:val="24"/>
        </w:rPr>
        <w:t>1、文件递交方式：直接送达。</w:t>
      </w:r>
    </w:p>
    <w:p>
      <w:pPr>
        <w:pStyle w:val="9"/>
        <w:adjustRightInd w:val="0"/>
        <w:snapToGrid w:val="0"/>
        <w:ind w:firstLine="480" w:firstLineChars="200"/>
        <w:rPr>
          <w:rFonts w:hAnsi="宋体"/>
          <w:kern w:val="2"/>
          <w:szCs w:val="24"/>
        </w:rPr>
      </w:pPr>
      <w:r>
        <w:rPr>
          <w:rFonts w:hint="eastAsia" w:hAnsi="宋体"/>
          <w:kern w:val="2"/>
          <w:szCs w:val="24"/>
        </w:rPr>
        <w:t>2、投标文件递交截止时间及地点：</w:t>
      </w:r>
      <w:r>
        <w:rPr>
          <w:rFonts w:hint="eastAsia" w:hAnsi="宋体"/>
          <w:kern w:val="2"/>
          <w:szCs w:val="24"/>
          <w:lang w:eastAsia="zh-CN"/>
        </w:rPr>
        <w:t>2023年</w:t>
      </w:r>
      <w:r>
        <w:rPr>
          <w:rFonts w:hint="eastAsia" w:hAnsi="宋体"/>
          <w:kern w:val="2"/>
          <w:szCs w:val="24"/>
          <w:lang w:val="en-US" w:eastAsia="zh-CN"/>
        </w:rPr>
        <w:t>0</w:t>
      </w:r>
      <w:r>
        <w:rPr>
          <w:rFonts w:hint="eastAsia" w:hAnsi="宋体"/>
          <w:kern w:val="2"/>
          <w:szCs w:val="24"/>
          <w:lang w:eastAsia="zh-CN"/>
        </w:rPr>
        <w:t>9月25日</w:t>
      </w:r>
      <w:r>
        <w:rPr>
          <w:rFonts w:hint="eastAsia" w:hAnsi="宋体"/>
          <w:kern w:val="2"/>
          <w:szCs w:val="24"/>
          <w:lang w:val="en-US" w:eastAsia="zh-CN"/>
        </w:rPr>
        <w:t>09点30分</w:t>
      </w:r>
      <w:r>
        <w:rPr>
          <w:rFonts w:hint="eastAsia" w:hAnsi="宋体"/>
          <w:kern w:val="2"/>
          <w:szCs w:val="24"/>
        </w:rPr>
        <w:t>前；</w:t>
      </w:r>
      <w:r>
        <w:rPr>
          <w:rFonts w:hint="eastAsia" w:hAnsi="宋体"/>
          <w:szCs w:val="24"/>
          <w:shd w:val="clear" w:color="auto" w:fill="FFFFFF"/>
        </w:rPr>
        <w:t>南通市崇川区石桥路3</w:t>
      </w:r>
      <w:r>
        <w:rPr>
          <w:rFonts w:hAnsi="宋体"/>
          <w:szCs w:val="24"/>
          <w:shd w:val="clear" w:color="auto" w:fill="FFFFFF"/>
        </w:rPr>
        <w:t>33</w:t>
      </w:r>
      <w:r>
        <w:rPr>
          <w:rFonts w:hint="eastAsia" w:hAnsi="宋体"/>
          <w:szCs w:val="24"/>
          <w:shd w:val="clear" w:color="auto" w:fill="FFFFFF"/>
        </w:rPr>
        <w:t>号南通市保安服务有限公司6楼会议室2。</w:t>
      </w:r>
    </w:p>
    <w:p>
      <w:pPr>
        <w:pStyle w:val="9"/>
        <w:adjustRightInd w:val="0"/>
        <w:snapToGrid w:val="0"/>
        <w:ind w:firstLine="480" w:firstLineChars="200"/>
        <w:rPr>
          <w:rFonts w:hAnsi="宋体"/>
          <w:kern w:val="2"/>
          <w:szCs w:val="24"/>
        </w:rPr>
      </w:pPr>
      <w:r>
        <w:rPr>
          <w:rFonts w:hint="eastAsia" w:hAnsi="宋体"/>
          <w:kern w:val="2"/>
          <w:szCs w:val="24"/>
        </w:rPr>
        <w:t>3、投标文件截止时间：投标文件必须在规定的接收截止时间前送至指定地点，招标人或代理机构将拒绝接收在截止时间后递交的文件。</w:t>
      </w:r>
    </w:p>
    <w:p>
      <w:pPr>
        <w:adjustRightInd w:val="0"/>
        <w:snapToGrid w:val="0"/>
        <w:spacing w:line="360" w:lineRule="auto"/>
        <w:ind w:firstLine="482" w:firstLineChars="200"/>
        <w:rPr>
          <w:rFonts w:ascii="宋体" w:hAnsi="宋体"/>
          <w:b/>
          <w:bCs/>
          <w:sz w:val="24"/>
        </w:rPr>
      </w:pPr>
      <w:r>
        <w:rPr>
          <w:rFonts w:hint="eastAsia" w:ascii="宋体" w:hAnsi="宋体"/>
          <w:b/>
          <w:bCs/>
          <w:sz w:val="24"/>
        </w:rPr>
        <w:t>七、开标</w:t>
      </w:r>
    </w:p>
    <w:p>
      <w:pPr>
        <w:pStyle w:val="9"/>
        <w:adjustRightInd w:val="0"/>
        <w:snapToGrid w:val="0"/>
        <w:ind w:firstLine="480" w:firstLineChars="200"/>
        <w:rPr>
          <w:rFonts w:hAnsi="宋体"/>
          <w:kern w:val="2"/>
          <w:szCs w:val="24"/>
        </w:rPr>
      </w:pPr>
      <w:r>
        <w:rPr>
          <w:rFonts w:hint="eastAsia" w:hAnsi="宋体"/>
          <w:kern w:val="2"/>
          <w:szCs w:val="24"/>
        </w:rPr>
        <w:t>1、开标时间：</w:t>
      </w:r>
      <w:r>
        <w:rPr>
          <w:rFonts w:hint="eastAsia" w:hAnsi="宋体"/>
          <w:kern w:val="2"/>
          <w:szCs w:val="24"/>
          <w:lang w:eastAsia="zh-CN"/>
        </w:rPr>
        <w:t>2023年</w:t>
      </w:r>
      <w:r>
        <w:rPr>
          <w:rFonts w:hint="eastAsia" w:hAnsi="宋体"/>
          <w:kern w:val="2"/>
          <w:szCs w:val="24"/>
          <w:lang w:val="en-US" w:eastAsia="zh-CN"/>
        </w:rPr>
        <w:t>0</w:t>
      </w:r>
      <w:r>
        <w:rPr>
          <w:rFonts w:hint="eastAsia" w:hAnsi="宋体"/>
          <w:kern w:val="2"/>
          <w:szCs w:val="24"/>
          <w:lang w:eastAsia="zh-CN"/>
        </w:rPr>
        <w:t>9月25日</w:t>
      </w:r>
      <w:r>
        <w:rPr>
          <w:rFonts w:hint="eastAsia" w:hAnsi="宋体"/>
          <w:kern w:val="2"/>
          <w:szCs w:val="24"/>
          <w:lang w:val="en-US" w:eastAsia="zh-CN"/>
        </w:rPr>
        <w:t>09点30分</w:t>
      </w:r>
      <w:r>
        <w:rPr>
          <w:rFonts w:hint="eastAsia" w:hAnsi="宋体"/>
          <w:kern w:val="2"/>
          <w:szCs w:val="24"/>
        </w:rPr>
        <w:t>，如有变动，另行通知。</w:t>
      </w:r>
    </w:p>
    <w:p>
      <w:pPr>
        <w:pStyle w:val="9"/>
        <w:adjustRightInd w:val="0"/>
        <w:snapToGrid w:val="0"/>
        <w:ind w:firstLine="480" w:firstLineChars="200"/>
        <w:rPr>
          <w:rFonts w:hAnsi="宋体"/>
          <w:b/>
          <w:bCs/>
          <w:szCs w:val="24"/>
          <w:shd w:val="clear" w:color="auto" w:fill="FFFFFF"/>
        </w:rPr>
      </w:pPr>
      <w:r>
        <w:rPr>
          <w:rFonts w:hint="eastAsia" w:hAnsi="宋体"/>
          <w:kern w:val="2"/>
          <w:szCs w:val="24"/>
        </w:rPr>
        <w:t>2、开标地点：</w:t>
      </w:r>
      <w:r>
        <w:rPr>
          <w:rFonts w:hint="eastAsia" w:hAnsi="宋体"/>
          <w:b/>
          <w:bCs/>
          <w:szCs w:val="24"/>
          <w:u w:val="single"/>
          <w:shd w:val="clear" w:color="auto" w:fill="FFFFFF"/>
        </w:rPr>
        <w:t>南通市崇川区石桥路3</w:t>
      </w:r>
      <w:r>
        <w:rPr>
          <w:rFonts w:hAnsi="宋体"/>
          <w:b/>
          <w:bCs/>
          <w:szCs w:val="24"/>
          <w:u w:val="single"/>
          <w:shd w:val="clear" w:color="auto" w:fill="FFFFFF"/>
        </w:rPr>
        <w:t>33</w:t>
      </w:r>
      <w:r>
        <w:rPr>
          <w:rFonts w:hint="eastAsia" w:hAnsi="宋体"/>
          <w:b/>
          <w:bCs/>
          <w:szCs w:val="24"/>
          <w:u w:val="single"/>
          <w:shd w:val="clear" w:color="auto" w:fill="FFFFFF"/>
        </w:rPr>
        <w:t>号南通市保安服务有限公司6楼会议室2</w:t>
      </w:r>
      <w:r>
        <w:rPr>
          <w:rFonts w:hint="eastAsia" w:hAnsi="宋体"/>
          <w:kern w:val="2"/>
          <w:szCs w:val="24"/>
        </w:rPr>
        <w:t>。</w:t>
      </w:r>
    </w:p>
    <w:p>
      <w:pPr>
        <w:pStyle w:val="9"/>
        <w:adjustRightInd w:val="0"/>
        <w:snapToGrid w:val="0"/>
        <w:ind w:firstLine="482" w:firstLineChars="200"/>
        <w:rPr>
          <w:rFonts w:hAnsi="宋体"/>
          <w:b/>
          <w:bCs/>
          <w:szCs w:val="24"/>
          <w:shd w:val="clear" w:color="auto" w:fill="FFFFFF"/>
        </w:rPr>
      </w:pPr>
      <w:r>
        <w:rPr>
          <w:rFonts w:hint="eastAsia" w:hAnsi="宋体"/>
          <w:b/>
          <w:bCs/>
          <w:szCs w:val="24"/>
          <w:shd w:val="clear" w:color="auto" w:fill="FFFFFF"/>
        </w:rPr>
        <w:t>八、本项目中标人在领取中标通知书的同时，须向招标代理单位一次性支付招标代理服务费和评审费，否则取消其中标资格。招标代理服务费2500元，评审费按实结算。投标人在报价时一并考虑，招标人不再另行支付任何费用。</w:t>
      </w:r>
    </w:p>
    <w:p>
      <w:pPr>
        <w:pStyle w:val="9"/>
        <w:adjustRightInd w:val="0"/>
        <w:snapToGrid w:val="0"/>
        <w:ind w:firstLine="482" w:firstLineChars="200"/>
        <w:rPr>
          <w:rFonts w:hAnsi="宋体"/>
          <w:b/>
          <w:bCs/>
          <w:szCs w:val="24"/>
          <w:shd w:val="clear" w:color="auto" w:fill="FFFFFF"/>
        </w:rPr>
      </w:pPr>
      <w:r>
        <w:rPr>
          <w:rFonts w:hint="eastAsia" w:hAnsi="宋体"/>
          <w:b/>
          <w:bCs/>
          <w:szCs w:val="24"/>
          <w:shd w:val="clear" w:color="auto" w:fill="FFFFFF"/>
        </w:rPr>
        <w:t>九、联系方式</w:t>
      </w:r>
    </w:p>
    <w:p>
      <w:pPr>
        <w:pStyle w:val="9"/>
        <w:adjustRightInd w:val="0"/>
        <w:snapToGrid w:val="0"/>
        <w:ind w:firstLine="480" w:firstLineChars="200"/>
        <w:rPr>
          <w:rFonts w:hAnsi="宋体"/>
          <w:szCs w:val="24"/>
          <w:shd w:val="clear" w:color="auto" w:fill="FFFFFF"/>
        </w:rPr>
      </w:pPr>
      <w:r>
        <w:rPr>
          <w:rFonts w:hint="eastAsia" w:hAnsi="宋体"/>
          <w:szCs w:val="24"/>
          <w:shd w:val="clear" w:color="auto" w:fill="FFFFFF"/>
        </w:rPr>
        <w:t>1、招标人：南通市保安服务有限公司</w:t>
      </w:r>
    </w:p>
    <w:p>
      <w:pPr>
        <w:pStyle w:val="9"/>
        <w:adjustRightInd w:val="0"/>
        <w:snapToGrid w:val="0"/>
        <w:ind w:firstLine="480" w:firstLineChars="200"/>
        <w:rPr>
          <w:rFonts w:hAnsi="宋体"/>
          <w:szCs w:val="24"/>
          <w:shd w:val="clear" w:color="auto" w:fill="FFFFFF"/>
        </w:rPr>
      </w:pPr>
      <w:r>
        <w:rPr>
          <w:rFonts w:hint="eastAsia" w:hAnsi="宋体"/>
          <w:szCs w:val="24"/>
          <w:shd w:val="clear" w:color="auto" w:fill="FFFFFF"/>
        </w:rPr>
        <w:t>地 址：南通市崇川区石桥路3</w:t>
      </w:r>
      <w:r>
        <w:rPr>
          <w:rFonts w:hAnsi="宋体"/>
          <w:szCs w:val="24"/>
          <w:shd w:val="clear" w:color="auto" w:fill="FFFFFF"/>
        </w:rPr>
        <w:t>33</w:t>
      </w:r>
      <w:r>
        <w:rPr>
          <w:rFonts w:hint="eastAsia" w:hAnsi="宋体"/>
          <w:szCs w:val="24"/>
          <w:shd w:val="clear" w:color="auto" w:fill="FFFFFF"/>
        </w:rPr>
        <w:t>号</w:t>
      </w:r>
    </w:p>
    <w:p>
      <w:pPr>
        <w:pStyle w:val="9"/>
        <w:adjustRightInd w:val="0"/>
        <w:snapToGrid w:val="0"/>
        <w:ind w:firstLine="480" w:firstLineChars="200"/>
        <w:rPr>
          <w:rFonts w:hAnsi="宋体"/>
          <w:szCs w:val="24"/>
          <w:shd w:val="clear" w:color="auto" w:fill="FFFFFF"/>
        </w:rPr>
      </w:pPr>
      <w:r>
        <w:rPr>
          <w:rFonts w:hint="eastAsia" w:hAnsi="宋体"/>
          <w:szCs w:val="24"/>
          <w:shd w:val="clear" w:color="auto" w:fill="FFFFFF"/>
        </w:rPr>
        <w:t>联系人：徐先生</w:t>
      </w:r>
    </w:p>
    <w:p>
      <w:pPr>
        <w:pStyle w:val="9"/>
        <w:adjustRightInd w:val="0"/>
        <w:snapToGrid w:val="0"/>
        <w:ind w:firstLine="480" w:firstLineChars="200"/>
        <w:rPr>
          <w:rFonts w:hAnsi="宋体"/>
          <w:szCs w:val="24"/>
          <w:shd w:val="clear" w:color="auto" w:fill="FFFFFF"/>
        </w:rPr>
      </w:pPr>
      <w:r>
        <w:rPr>
          <w:rFonts w:hint="eastAsia" w:hAnsi="宋体"/>
          <w:szCs w:val="24"/>
          <w:shd w:val="clear" w:color="auto" w:fill="FFFFFF"/>
        </w:rPr>
        <w:t>联系方式：18252508066</w:t>
      </w:r>
    </w:p>
    <w:p>
      <w:pPr>
        <w:pStyle w:val="9"/>
        <w:adjustRightInd w:val="0"/>
        <w:snapToGrid w:val="0"/>
        <w:ind w:firstLine="480" w:firstLineChars="200"/>
        <w:rPr>
          <w:rFonts w:hAnsi="宋体"/>
          <w:szCs w:val="24"/>
          <w:shd w:val="clear" w:color="auto" w:fill="FFFFFF"/>
        </w:rPr>
      </w:pPr>
      <w:r>
        <w:rPr>
          <w:rFonts w:hint="eastAsia" w:hAnsi="宋体"/>
          <w:szCs w:val="24"/>
          <w:shd w:val="clear" w:color="auto" w:fill="FFFFFF"/>
        </w:rPr>
        <w:t>2、招标代理机构：中诚智信工程咨询集团股份有限公司</w:t>
      </w:r>
    </w:p>
    <w:p>
      <w:pPr>
        <w:pStyle w:val="9"/>
        <w:adjustRightInd w:val="0"/>
        <w:snapToGrid w:val="0"/>
        <w:ind w:firstLine="480" w:firstLineChars="200"/>
        <w:rPr>
          <w:rFonts w:hAnsi="宋体"/>
          <w:szCs w:val="24"/>
          <w:shd w:val="clear" w:color="auto" w:fill="FFFFFF"/>
        </w:rPr>
      </w:pPr>
      <w:r>
        <w:rPr>
          <w:rFonts w:hint="eastAsia" w:hAnsi="宋体"/>
          <w:szCs w:val="24"/>
          <w:shd w:val="clear" w:color="auto" w:fill="FFFFFF"/>
        </w:rPr>
        <w:t>地 址：南通市恒隆国际B座801室</w:t>
      </w:r>
    </w:p>
    <w:p>
      <w:pPr>
        <w:pStyle w:val="9"/>
        <w:adjustRightInd w:val="0"/>
        <w:snapToGrid w:val="0"/>
        <w:ind w:firstLine="480" w:firstLineChars="200"/>
        <w:rPr>
          <w:rFonts w:hAnsi="宋体"/>
          <w:szCs w:val="24"/>
          <w:shd w:val="clear" w:color="auto" w:fill="FFFFFF"/>
        </w:rPr>
      </w:pPr>
      <w:r>
        <w:rPr>
          <w:rFonts w:hint="eastAsia" w:hAnsi="宋体"/>
          <w:szCs w:val="24"/>
          <w:shd w:val="clear" w:color="auto" w:fill="FFFFFF"/>
        </w:rPr>
        <w:t>联系人：单舒</w:t>
      </w:r>
    </w:p>
    <w:p>
      <w:pPr>
        <w:pStyle w:val="9"/>
        <w:adjustRightInd w:val="0"/>
        <w:snapToGrid w:val="0"/>
        <w:ind w:firstLine="480" w:firstLineChars="200"/>
        <w:rPr>
          <w:rFonts w:hAnsi="宋体"/>
          <w:szCs w:val="24"/>
          <w:shd w:val="clear" w:color="auto" w:fill="FFFFFF"/>
        </w:rPr>
      </w:pPr>
      <w:r>
        <w:rPr>
          <w:rFonts w:hint="eastAsia" w:hAnsi="宋体"/>
          <w:szCs w:val="24"/>
          <w:shd w:val="clear" w:color="auto" w:fill="FFFFFF"/>
        </w:rPr>
        <w:t>联系电话：0513-85980007/13328094029</w:t>
      </w:r>
    </w:p>
    <w:bookmarkEnd w:id="37"/>
    <w:p>
      <w:pPr>
        <w:pStyle w:val="9"/>
        <w:adjustRightInd w:val="0"/>
        <w:snapToGrid w:val="0"/>
        <w:ind w:firstLine="480" w:firstLineChars="200"/>
        <w:rPr>
          <w:rFonts w:hAnsi="宋体"/>
          <w:szCs w:val="24"/>
          <w:shd w:val="clear" w:color="auto" w:fill="FFFFFF"/>
        </w:rPr>
      </w:pPr>
    </w:p>
    <w:p>
      <w:pPr>
        <w:widowControl/>
        <w:shd w:val="clear" w:color="auto" w:fill="FFFFFF"/>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p>
    <w:p>
      <w:pPr>
        <w:adjustRightInd w:val="0"/>
        <w:snapToGrid w:val="0"/>
        <w:spacing w:line="360" w:lineRule="auto"/>
        <w:rPr>
          <w:rFonts w:ascii="宋体" w:hAnsi="宋体"/>
          <w:sz w:val="24"/>
        </w:rPr>
      </w:pPr>
    </w:p>
    <w:p>
      <w:pPr>
        <w:adjustRightInd w:val="0"/>
        <w:snapToGrid w:val="0"/>
        <w:spacing w:line="360" w:lineRule="auto"/>
        <w:ind w:firstLine="480" w:firstLineChars="200"/>
        <w:rPr>
          <w:rFonts w:ascii="宋体" w:hAnsi="宋体"/>
          <w:sz w:val="24"/>
        </w:rPr>
      </w:pPr>
    </w:p>
    <w:p>
      <w:pPr>
        <w:widowControl/>
        <w:jc w:val="left"/>
        <w:rPr>
          <w:rFonts w:ascii="宋体" w:hAnsi="宋体"/>
          <w:b/>
          <w:bCs/>
          <w:sz w:val="32"/>
          <w:szCs w:val="32"/>
        </w:rPr>
      </w:pPr>
      <w:r>
        <w:rPr>
          <w:rFonts w:ascii="宋体" w:hAnsi="宋体"/>
          <w:b/>
          <w:bCs/>
          <w:sz w:val="32"/>
          <w:szCs w:val="32"/>
        </w:rPr>
        <w:br w:type="page"/>
      </w:r>
    </w:p>
    <w:p>
      <w:pPr>
        <w:adjustRightInd w:val="0"/>
        <w:snapToGrid w:val="0"/>
        <w:spacing w:beforeLines="50" w:afterLines="50" w:line="360" w:lineRule="auto"/>
        <w:jc w:val="center"/>
        <w:rPr>
          <w:rFonts w:ascii="宋体" w:hAnsi="宋体"/>
          <w:b/>
          <w:bCs/>
          <w:sz w:val="32"/>
          <w:szCs w:val="32"/>
        </w:rPr>
      </w:pPr>
      <w:r>
        <w:rPr>
          <w:rFonts w:hint="eastAsia" w:ascii="宋体" w:hAnsi="宋体"/>
          <w:b/>
          <w:bCs/>
          <w:sz w:val="32"/>
          <w:szCs w:val="32"/>
        </w:rPr>
        <w:t>第二章  招标须知</w:t>
      </w:r>
    </w:p>
    <w:p>
      <w:pPr>
        <w:adjustRightInd w:val="0"/>
        <w:snapToGrid w:val="0"/>
        <w:spacing w:line="360" w:lineRule="auto"/>
        <w:ind w:firstLine="482" w:firstLineChars="200"/>
        <w:rPr>
          <w:rFonts w:ascii="宋体" w:hAnsi="宋体"/>
          <w:b/>
          <w:bCs/>
          <w:sz w:val="24"/>
        </w:rPr>
      </w:pPr>
      <w:bookmarkStart w:id="0" w:name="_Toc513029209"/>
      <w:bookmarkStart w:id="1" w:name="_Toc120614215"/>
      <w:bookmarkStart w:id="2" w:name="_Toc16938525"/>
      <w:bookmarkStart w:id="3" w:name="_Toc20823281"/>
      <w:r>
        <w:rPr>
          <w:rFonts w:hint="eastAsia" w:ascii="宋体" w:hAnsi="宋体"/>
          <w:b/>
          <w:bCs/>
          <w:sz w:val="24"/>
        </w:rPr>
        <w:t>一、</w:t>
      </w:r>
      <w:bookmarkEnd w:id="0"/>
      <w:bookmarkEnd w:id="1"/>
      <w:bookmarkEnd w:id="2"/>
      <w:bookmarkEnd w:id="3"/>
      <w:r>
        <w:rPr>
          <w:rFonts w:hint="eastAsia" w:ascii="宋体" w:hAnsi="宋体"/>
          <w:b/>
          <w:bCs/>
          <w:sz w:val="24"/>
        </w:rPr>
        <w:t>招标文件</w:t>
      </w:r>
    </w:p>
    <w:p>
      <w:pPr>
        <w:adjustRightInd w:val="0"/>
        <w:snapToGrid w:val="0"/>
        <w:spacing w:line="360" w:lineRule="auto"/>
        <w:ind w:firstLine="480" w:firstLineChars="200"/>
        <w:rPr>
          <w:rFonts w:ascii="宋体" w:hAnsi="宋体"/>
          <w:sz w:val="24"/>
        </w:rPr>
      </w:pPr>
      <w:bookmarkStart w:id="4" w:name="_Toc16938526"/>
      <w:bookmarkStart w:id="5" w:name="_Toc20823282"/>
      <w:bookmarkStart w:id="6" w:name="_Toc513029210"/>
      <w:r>
        <w:rPr>
          <w:rFonts w:hint="eastAsia" w:ascii="宋体" w:hAnsi="宋体"/>
          <w:sz w:val="24"/>
        </w:rPr>
        <w:t>1、招标文件构成</w:t>
      </w:r>
      <w:bookmarkEnd w:id="4"/>
      <w:bookmarkEnd w:id="5"/>
      <w:bookmarkEnd w:id="6"/>
    </w:p>
    <w:p>
      <w:pPr>
        <w:adjustRightInd w:val="0"/>
        <w:snapToGrid w:val="0"/>
        <w:spacing w:line="360" w:lineRule="auto"/>
        <w:ind w:firstLine="480" w:firstLineChars="200"/>
        <w:rPr>
          <w:rFonts w:ascii="宋体" w:hAnsi="宋体"/>
          <w:sz w:val="24"/>
        </w:rPr>
      </w:pPr>
      <w:r>
        <w:rPr>
          <w:rFonts w:hint="eastAsia" w:ascii="宋体" w:hAnsi="宋体"/>
          <w:sz w:val="24"/>
        </w:rPr>
        <w:t>1.1 招标文件由以下部分组成：</w:t>
      </w:r>
    </w:p>
    <w:p>
      <w:pPr>
        <w:adjustRightInd w:val="0"/>
        <w:snapToGrid w:val="0"/>
        <w:spacing w:line="360" w:lineRule="auto"/>
        <w:ind w:firstLine="480" w:firstLineChars="200"/>
        <w:rPr>
          <w:rFonts w:ascii="宋体" w:hAnsi="宋体"/>
          <w:sz w:val="24"/>
        </w:rPr>
      </w:pPr>
      <w:r>
        <w:rPr>
          <w:rFonts w:hint="eastAsia" w:ascii="宋体" w:hAnsi="宋体"/>
          <w:sz w:val="24"/>
        </w:rPr>
        <w:t>（1）招标公告</w:t>
      </w:r>
    </w:p>
    <w:p>
      <w:pPr>
        <w:adjustRightInd w:val="0"/>
        <w:snapToGrid w:val="0"/>
        <w:spacing w:line="360" w:lineRule="auto"/>
        <w:ind w:firstLine="480" w:firstLineChars="200"/>
        <w:rPr>
          <w:rFonts w:ascii="宋体" w:hAnsi="宋体"/>
          <w:sz w:val="24"/>
        </w:rPr>
      </w:pPr>
      <w:r>
        <w:rPr>
          <w:rFonts w:hint="eastAsia" w:ascii="宋体" w:hAnsi="宋体"/>
          <w:sz w:val="24"/>
        </w:rPr>
        <w:t>（2）投标须知</w:t>
      </w:r>
    </w:p>
    <w:p>
      <w:pPr>
        <w:adjustRightInd w:val="0"/>
        <w:snapToGrid w:val="0"/>
        <w:spacing w:line="360" w:lineRule="auto"/>
        <w:ind w:firstLine="480" w:firstLineChars="200"/>
        <w:rPr>
          <w:rFonts w:ascii="宋体" w:hAnsi="宋体"/>
          <w:sz w:val="24"/>
        </w:rPr>
      </w:pPr>
      <w:r>
        <w:rPr>
          <w:rFonts w:hint="eastAsia" w:ascii="宋体" w:hAnsi="宋体"/>
          <w:sz w:val="24"/>
        </w:rPr>
        <w:t>（3）评标办法</w:t>
      </w:r>
    </w:p>
    <w:p>
      <w:pPr>
        <w:adjustRightInd w:val="0"/>
        <w:snapToGrid w:val="0"/>
        <w:spacing w:line="360" w:lineRule="auto"/>
        <w:ind w:firstLine="480" w:firstLineChars="200"/>
        <w:rPr>
          <w:rFonts w:ascii="宋体" w:hAnsi="宋体"/>
          <w:sz w:val="24"/>
        </w:rPr>
      </w:pPr>
      <w:r>
        <w:rPr>
          <w:rFonts w:hint="eastAsia" w:ascii="宋体" w:hAnsi="宋体"/>
          <w:sz w:val="24"/>
        </w:rPr>
        <w:t>（4）项目需求</w:t>
      </w:r>
    </w:p>
    <w:p>
      <w:pPr>
        <w:adjustRightInd w:val="0"/>
        <w:snapToGrid w:val="0"/>
        <w:spacing w:line="360" w:lineRule="auto"/>
        <w:ind w:firstLine="480" w:firstLineChars="200"/>
        <w:rPr>
          <w:rFonts w:ascii="宋体" w:hAnsi="宋体"/>
          <w:sz w:val="24"/>
        </w:rPr>
      </w:pPr>
      <w:r>
        <w:rPr>
          <w:rFonts w:hint="eastAsia" w:ascii="宋体" w:hAnsi="宋体"/>
          <w:sz w:val="24"/>
        </w:rPr>
        <w:t>（5）投标文件格式</w:t>
      </w:r>
    </w:p>
    <w:p>
      <w:pPr>
        <w:adjustRightInd w:val="0"/>
        <w:snapToGrid w:val="0"/>
        <w:spacing w:line="360" w:lineRule="auto"/>
        <w:ind w:firstLine="480" w:firstLineChars="200"/>
        <w:rPr>
          <w:rFonts w:ascii="宋体" w:hAnsi="宋体"/>
          <w:sz w:val="24"/>
        </w:rPr>
      </w:pPr>
      <w:r>
        <w:rPr>
          <w:rFonts w:hint="eastAsia" w:ascii="宋体" w:hAnsi="宋体"/>
          <w:sz w:val="24"/>
        </w:rPr>
        <w:t>请仔细检查招标文件是否齐全，如有缺漏请立即与招标人或代理机构联系解决。</w:t>
      </w:r>
    </w:p>
    <w:p>
      <w:pPr>
        <w:adjustRightInd w:val="0"/>
        <w:snapToGrid w:val="0"/>
        <w:spacing w:line="360" w:lineRule="auto"/>
        <w:ind w:firstLine="480" w:firstLineChars="200"/>
        <w:rPr>
          <w:rFonts w:ascii="宋体" w:hAnsi="宋体"/>
          <w:sz w:val="24"/>
        </w:rPr>
      </w:pPr>
      <w:r>
        <w:rPr>
          <w:rFonts w:hint="eastAsia" w:ascii="宋体" w:hAnsi="宋体"/>
          <w:sz w:val="24"/>
        </w:rPr>
        <w:t>1.2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adjustRightInd w:val="0"/>
        <w:snapToGrid w:val="0"/>
        <w:spacing w:line="360" w:lineRule="auto"/>
        <w:ind w:firstLine="480" w:firstLineChars="200"/>
        <w:rPr>
          <w:rFonts w:ascii="宋体" w:hAnsi="宋体"/>
          <w:sz w:val="24"/>
        </w:rPr>
      </w:pPr>
      <w:bookmarkStart w:id="7" w:name="_Toc16938527"/>
      <w:bookmarkStart w:id="8" w:name="_Toc513029211"/>
      <w:bookmarkStart w:id="9" w:name="_Toc462564070"/>
      <w:bookmarkStart w:id="10" w:name="_Toc20823283"/>
      <w:r>
        <w:rPr>
          <w:rFonts w:hint="eastAsia" w:ascii="宋体" w:hAnsi="宋体"/>
          <w:sz w:val="24"/>
        </w:rPr>
        <w:t>2、招标文件的澄清</w:t>
      </w:r>
      <w:bookmarkEnd w:id="7"/>
      <w:bookmarkEnd w:id="8"/>
      <w:bookmarkEnd w:id="9"/>
      <w:bookmarkEnd w:id="10"/>
    </w:p>
    <w:p>
      <w:pPr>
        <w:adjustRightInd w:val="0"/>
        <w:snapToGrid w:val="0"/>
        <w:spacing w:line="360" w:lineRule="auto"/>
        <w:ind w:firstLine="480" w:firstLineChars="200"/>
        <w:rPr>
          <w:rFonts w:ascii="宋体" w:hAnsi="宋体"/>
          <w:sz w:val="24"/>
        </w:rPr>
      </w:pPr>
      <w:r>
        <w:rPr>
          <w:rFonts w:hint="eastAsia" w:ascii="宋体" w:hAnsi="宋体"/>
          <w:sz w:val="24"/>
        </w:rPr>
        <w:t>2.1任何要求对招标文件进行澄清的投标人，应于202</w:t>
      </w:r>
      <w:r>
        <w:rPr>
          <w:rFonts w:ascii="宋体" w:hAnsi="宋体"/>
          <w:sz w:val="24"/>
        </w:rPr>
        <w:t>3</w:t>
      </w:r>
      <w:r>
        <w:rPr>
          <w:rFonts w:hint="eastAsia" w:ascii="宋体" w:hAnsi="宋体"/>
          <w:sz w:val="24"/>
        </w:rPr>
        <w:t>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8</w:t>
      </w:r>
      <w:r>
        <w:rPr>
          <w:rFonts w:hint="eastAsia" w:ascii="宋体" w:hAnsi="宋体"/>
          <w:sz w:val="24"/>
        </w:rPr>
        <w:t>日17:30之前以邮件形式发送至如下邮箱1010491310@qq.com。</w:t>
      </w:r>
    </w:p>
    <w:p>
      <w:pPr>
        <w:adjustRightInd w:val="0"/>
        <w:snapToGrid w:val="0"/>
        <w:spacing w:line="360" w:lineRule="auto"/>
        <w:ind w:firstLine="480" w:firstLineChars="200"/>
        <w:rPr>
          <w:rFonts w:ascii="宋体" w:hAnsi="宋体"/>
          <w:sz w:val="24"/>
        </w:rPr>
      </w:pPr>
      <w:bookmarkStart w:id="11" w:name="_Toc16938528"/>
      <w:bookmarkStart w:id="12" w:name="_Toc513029212"/>
      <w:bookmarkStart w:id="13" w:name="_Toc20823284"/>
      <w:bookmarkStart w:id="14" w:name="_Toc462564071"/>
      <w:r>
        <w:rPr>
          <w:rFonts w:hint="eastAsia" w:ascii="宋体" w:hAnsi="宋体"/>
          <w:sz w:val="24"/>
        </w:rPr>
        <w:t>3、招标文件的修改</w:t>
      </w:r>
      <w:bookmarkEnd w:id="11"/>
      <w:bookmarkEnd w:id="12"/>
      <w:bookmarkEnd w:id="13"/>
      <w:bookmarkEnd w:id="14"/>
    </w:p>
    <w:p>
      <w:pPr>
        <w:adjustRightInd w:val="0"/>
        <w:snapToGrid w:val="0"/>
        <w:spacing w:line="360" w:lineRule="auto"/>
        <w:ind w:firstLine="480" w:firstLineChars="200"/>
        <w:rPr>
          <w:rFonts w:ascii="宋体" w:hAnsi="宋体"/>
          <w:sz w:val="24"/>
        </w:rPr>
      </w:pPr>
      <w:r>
        <w:rPr>
          <w:rFonts w:hint="eastAsia" w:ascii="宋体" w:hAnsi="宋体"/>
          <w:sz w:val="24"/>
        </w:rPr>
        <w:t>3.1 在投标截止时间前，招标人可以对招标文件进行修改。</w:t>
      </w:r>
    </w:p>
    <w:p>
      <w:pPr>
        <w:adjustRightInd w:val="0"/>
        <w:snapToGrid w:val="0"/>
        <w:spacing w:line="360" w:lineRule="auto"/>
        <w:ind w:firstLine="480" w:firstLineChars="200"/>
        <w:rPr>
          <w:rFonts w:ascii="宋体" w:hAnsi="宋体"/>
          <w:sz w:val="24"/>
        </w:rPr>
      </w:pPr>
      <w:r>
        <w:rPr>
          <w:rFonts w:hint="eastAsia" w:ascii="宋体" w:hAnsi="宋体"/>
          <w:sz w:val="24"/>
        </w:rPr>
        <w:t>3.2 招标人有权按照法定的要求推迟投标截止日期和开标日期。</w:t>
      </w:r>
    </w:p>
    <w:p>
      <w:pPr>
        <w:adjustRightInd w:val="0"/>
        <w:snapToGrid w:val="0"/>
        <w:spacing w:line="360" w:lineRule="auto"/>
        <w:ind w:firstLine="480" w:firstLineChars="200"/>
        <w:rPr>
          <w:rFonts w:ascii="宋体" w:hAnsi="宋体"/>
          <w:sz w:val="24"/>
        </w:rPr>
      </w:pPr>
      <w:r>
        <w:rPr>
          <w:rFonts w:hint="eastAsia" w:ascii="宋体" w:hAnsi="宋体"/>
          <w:sz w:val="24"/>
        </w:rPr>
        <w:t>3.3 招标文件的修改将作为招标文件的组成部分，并对投标人具有约束力。</w:t>
      </w:r>
    </w:p>
    <w:p>
      <w:pPr>
        <w:adjustRightInd w:val="0"/>
        <w:snapToGrid w:val="0"/>
        <w:spacing w:line="360" w:lineRule="auto"/>
        <w:ind w:firstLine="482" w:firstLineChars="200"/>
        <w:rPr>
          <w:rFonts w:ascii="宋体" w:hAnsi="宋体"/>
          <w:b/>
          <w:bCs/>
          <w:sz w:val="24"/>
        </w:rPr>
      </w:pPr>
      <w:bookmarkStart w:id="15" w:name="_Toc16938529"/>
      <w:bookmarkStart w:id="16" w:name="_Toc120614216"/>
      <w:bookmarkStart w:id="17" w:name="_Toc462564072"/>
      <w:bookmarkStart w:id="18" w:name="_Toc20823285"/>
      <w:bookmarkStart w:id="19" w:name="_Toc513029213"/>
      <w:r>
        <w:rPr>
          <w:rFonts w:hint="eastAsia" w:ascii="宋体" w:hAnsi="宋体"/>
          <w:b/>
          <w:bCs/>
          <w:sz w:val="24"/>
        </w:rPr>
        <w:t>二、投标文件的编制</w:t>
      </w:r>
      <w:bookmarkEnd w:id="15"/>
      <w:bookmarkEnd w:id="16"/>
      <w:bookmarkEnd w:id="17"/>
      <w:bookmarkEnd w:id="18"/>
      <w:bookmarkEnd w:id="19"/>
    </w:p>
    <w:p>
      <w:pPr>
        <w:adjustRightInd w:val="0"/>
        <w:snapToGrid w:val="0"/>
        <w:spacing w:line="360" w:lineRule="auto"/>
        <w:ind w:firstLine="480" w:firstLineChars="200"/>
        <w:rPr>
          <w:rFonts w:ascii="宋体" w:hAnsi="宋体"/>
          <w:sz w:val="24"/>
        </w:rPr>
      </w:pPr>
      <w:bookmarkStart w:id="20" w:name="_Toc462564073"/>
      <w:bookmarkStart w:id="21" w:name="_Toc16938530"/>
      <w:bookmarkStart w:id="22" w:name="_Toc20823286"/>
      <w:bookmarkStart w:id="23" w:name="_Toc513029214"/>
      <w:r>
        <w:rPr>
          <w:rFonts w:hint="eastAsia" w:ascii="宋体" w:hAnsi="宋体"/>
          <w:sz w:val="24"/>
        </w:rPr>
        <w:t>1、投标文件的语言及度量衡单位</w:t>
      </w:r>
      <w:bookmarkEnd w:id="20"/>
      <w:bookmarkEnd w:id="21"/>
      <w:bookmarkEnd w:id="22"/>
      <w:bookmarkEnd w:id="23"/>
    </w:p>
    <w:p>
      <w:pPr>
        <w:adjustRightInd w:val="0"/>
        <w:snapToGrid w:val="0"/>
        <w:spacing w:line="360" w:lineRule="auto"/>
        <w:ind w:firstLine="480" w:firstLineChars="200"/>
        <w:rPr>
          <w:rFonts w:ascii="宋体" w:hAnsi="宋体"/>
          <w:sz w:val="24"/>
        </w:rPr>
      </w:pPr>
      <w:r>
        <w:rPr>
          <w:rFonts w:hint="eastAsia" w:ascii="宋体" w:hAnsi="宋体"/>
          <w:sz w:val="24"/>
        </w:rPr>
        <w:t>1.1 投标人提交的投标文件以及投标人与招标人就有关招标的所有来往通知、函件和文件均应使用简体中文。</w:t>
      </w:r>
    </w:p>
    <w:p>
      <w:pPr>
        <w:adjustRightInd w:val="0"/>
        <w:snapToGrid w:val="0"/>
        <w:spacing w:line="360" w:lineRule="auto"/>
        <w:ind w:firstLine="480" w:firstLineChars="200"/>
        <w:rPr>
          <w:rFonts w:ascii="宋体" w:hAnsi="宋体"/>
          <w:sz w:val="24"/>
        </w:rPr>
      </w:pPr>
      <w:r>
        <w:rPr>
          <w:rFonts w:hint="eastAsia" w:ascii="宋体" w:hAnsi="宋体"/>
          <w:sz w:val="24"/>
        </w:rPr>
        <w:t>1.2 除技术性能另有规定外，投标文件所使用的度量衡单位，均须采用国家法定计量单位。</w:t>
      </w:r>
    </w:p>
    <w:p>
      <w:pPr>
        <w:adjustRightInd w:val="0"/>
        <w:snapToGrid w:val="0"/>
        <w:spacing w:line="360" w:lineRule="auto"/>
        <w:ind w:firstLine="480" w:firstLineChars="200"/>
        <w:rPr>
          <w:rFonts w:ascii="宋体" w:hAnsi="宋体"/>
          <w:sz w:val="24"/>
        </w:rPr>
      </w:pPr>
      <w:bookmarkStart w:id="24" w:name="_Hlt26954838"/>
      <w:bookmarkEnd w:id="24"/>
      <w:bookmarkStart w:id="25" w:name="_Hlt26668975"/>
      <w:bookmarkEnd w:id="25"/>
      <w:bookmarkStart w:id="26" w:name="_Hlt26670360"/>
      <w:bookmarkEnd w:id="26"/>
      <w:bookmarkStart w:id="27" w:name="_Toc14577360"/>
      <w:bookmarkStart w:id="28" w:name="_Toc49090511"/>
      <w:r>
        <w:rPr>
          <w:rFonts w:hint="eastAsia" w:ascii="宋体" w:hAnsi="宋体"/>
          <w:sz w:val="24"/>
        </w:rPr>
        <w:t>2、投标文件要求</w:t>
      </w:r>
    </w:p>
    <w:p>
      <w:pPr>
        <w:pStyle w:val="9"/>
        <w:adjustRightInd w:val="0"/>
        <w:snapToGrid w:val="0"/>
        <w:ind w:firstLine="480" w:firstLineChars="200"/>
        <w:rPr>
          <w:rFonts w:hAnsi="宋体"/>
          <w:kern w:val="2"/>
          <w:szCs w:val="24"/>
        </w:rPr>
      </w:pPr>
      <w:r>
        <w:rPr>
          <w:rFonts w:hint="eastAsia" w:hAnsi="宋体"/>
          <w:kern w:val="2"/>
          <w:szCs w:val="24"/>
        </w:rPr>
        <w:t>2.1投标文件组成</w:t>
      </w:r>
    </w:p>
    <w:p>
      <w:pPr>
        <w:pStyle w:val="9"/>
        <w:adjustRightInd w:val="0"/>
        <w:snapToGrid w:val="0"/>
        <w:ind w:firstLine="480" w:firstLineChars="200"/>
        <w:rPr>
          <w:rFonts w:hAnsi="宋体"/>
          <w:kern w:val="2"/>
          <w:szCs w:val="24"/>
        </w:rPr>
      </w:pPr>
      <w:r>
        <w:rPr>
          <w:rFonts w:hint="eastAsia" w:hAnsi="宋体"/>
          <w:kern w:val="2"/>
          <w:szCs w:val="24"/>
        </w:rPr>
        <w:t>2.1.1资格审查部分</w:t>
      </w:r>
    </w:p>
    <w:p>
      <w:pPr>
        <w:pStyle w:val="9"/>
        <w:adjustRightInd w:val="0"/>
        <w:snapToGrid w:val="0"/>
        <w:ind w:firstLine="480" w:firstLineChars="200"/>
        <w:rPr>
          <w:rFonts w:hAnsi="宋体"/>
          <w:kern w:val="2"/>
          <w:szCs w:val="24"/>
        </w:rPr>
      </w:pPr>
      <w:r>
        <w:rPr>
          <w:rFonts w:hint="eastAsia" w:hAnsi="宋体"/>
          <w:kern w:val="2"/>
          <w:szCs w:val="24"/>
        </w:rPr>
        <w:t>（1）具有独立法人资格，应持有国家工商行政管理部门核发的企业法人营业执照，且年检合格、有效。（法人单位投标时，提供有效的企业法人营业执照副本复印件加盖法人单位公章；以设立在南通的分支机构投标时，提供有效的企业法人营业执照副本复印件加盖法人单位公章以及南通分支机构的营业执照副本复印件加盖单位公章）；</w:t>
      </w:r>
    </w:p>
    <w:p>
      <w:pPr>
        <w:pStyle w:val="9"/>
        <w:adjustRightInd w:val="0"/>
        <w:snapToGrid w:val="0"/>
        <w:ind w:firstLine="480" w:firstLineChars="200"/>
        <w:rPr>
          <w:rFonts w:hAnsi="宋体"/>
          <w:kern w:val="2"/>
          <w:szCs w:val="24"/>
        </w:rPr>
      </w:pPr>
      <w:r>
        <w:rPr>
          <w:rFonts w:hint="eastAsia" w:hAnsi="宋体"/>
          <w:kern w:val="2"/>
          <w:szCs w:val="24"/>
        </w:rPr>
        <w:t>（2）</w:t>
      </w:r>
      <w:r>
        <w:rPr>
          <w:rFonts w:hint="eastAsia" w:hAnsi="宋体"/>
          <w:bCs/>
          <w:color w:val="000000"/>
          <w:szCs w:val="21"/>
        </w:rPr>
        <w:t>若投标人为法人单位设立在南通的分支机构，必须经法人单位书面授权。提供授权原件。</w:t>
      </w:r>
    </w:p>
    <w:p>
      <w:pPr>
        <w:pStyle w:val="9"/>
        <w:adjustRightInd w:val="0"/>
        <w:snapToGrid w:val="0"/>
        <w:ind w:firstLine="480" w:firstLineChars="200"/>
        <w:rPr>
          <w:rFonts w:hAnsi="宋体"/>
          <w:kern w:val="2"/>
          <w:szCs w:val="24"/>
        </w:rPr>
      </w:pPr>
      <w:r>
        <w:rPr>
          <w:rFonts w:hint="eastAsia" w:hAnsi="宋体"/>
          <w:kern w:val="2"/>
          <w:szCs w:val="24"/>
        </w:rPr>
        <w:t>（3）投标人认为需要提供的其他材料。</w:t>
      </w:r>
    </w:p>
    <w:p>
      <w:pPr>
        <w:pStyle w:val="9"/>
        <w:adjustRightInd w:val="0"/>
        <w:snapToGrid w:val="0"/>
        <w:ind w:firstLine="480" w:firstLineChars="200"/>
        <w:rPr>
          <w:rFonts w:hAnsi="宋体"/>
          <w:kern w:val="2"/>
          <w:szCs w:val="24"/>
        </w:rPr>
      </w:pPr>
      <w:r>
        <w:rPr>
          <w:rFonts w:hint="eastAsia" w:hAnsi="宋体"/>
          <w:kern w:val="2"/>
          <w:szCs w:val="24"/>
        </w:rPr>
        <w:t>2.1.2技术标文件</w:t>
      </w:r>
    </w:p>
    <w:p>
      <w:pPr>
        <w:pStyle w:val="9"/>
        <w:adjustRightInd w:val="0"/>
        <w:snapToGrid w:val="0"/>
        <w:ind w:firstLine="480" w:firstLineChars="200"/>
        <w:rPr>
          <w:rFonts w:hAnsi="宋体"/>
          <w:kern w:val="2"/>
          <w:szCs w:val="24"/>
        </w:rPr>
      </w:pPr>
      <w:r>
        <w:rPr>
          <w:rFonts w:hint="eastAsia" w:hAnsi="宋体"/>
          <w:kern w:val="2"/>
          <w:szCs w:val="24"/>
        </w:rPr>
        <w:t>按照技术标评分细则提供。</w:t>
      </w:r>
    </w:p>
    <w:p>
      <w:pPr>
        <w:pStyle w:val="9"/>
        <w:adjustRightInd w:val="0"/>
        <w:snapToGrid w:val="0"/>
        <w:ind w:firstLine="480" w:firstLineChars="200"/>
        <w:rPr>
          <w:rFonts w:hAnsi="宋体"/>
          <w:kern w:val="2"/>
          <w:szCs w:val="24"/>
        </w:rPr>
      </w:pPr>
      <w:r>
        <w:rPr>
          <w:rFonts w:hint="eastAsia" w:hAnsi="宋体"/>
          <w:kern w:val="2"/>
          <w:szCs w:val="24"/>
        </w:rPr>
        <w:t>2.1.3商务标文件</w:t>
      </w:r>
    </w:p>
    <w:p>
      <w:pPr>
        <w:pStyle w:val="9"/>
        <w:numPr>
          <w:ilvl w:val="0"/>
          <w:numId w:val="1"/>
        </w:numPr>
        <w:adjustRightInd w:val="0"/>
        <w:snapToGrid w:val="0"/>
        <w:ind w:firstLine="480" w:firstLineChars="200"/>
        <w:rPr>
          <w:rFonts w:hAnsi="宋体"/>
          <w:kern w:val="2"/>
          <w:szCs w:val="24"/>
        </w:rPr>
      </w:pPr>
      <w:r>
        <w:rPr>
          <w:rFonts w:hint="eastAsia" w:hAnsi="宋体"/>
          <w:kern w:val="2"/>
          <w:szCs w:val="24"/>
        </w:rPr>
        <w:t>报价响应函</w:t>
      </w:r>
    </w:p>
    <w:p>
      <w:pPr>
        <w:pStyle w:val="9"/>
        <w:numPr>
          <w:ilvl w:val="0"/>
          <w:numId w:val="1"/>
        </w:numPr>
        <w:adjustRightInd w:val="0"/>
        <w:snapToGrid w:val="0"/>
        <w:ind w:firstLine="480" w:firstLineChars="200"/>
        <w:rPr>
          <w:rFonts w:hAnsi="宋体"/>
          <w:kern w:val="2"/>
          <w:szCs w:val="24"/>
        </w:rPr>
      </w:pPr>
      <w:r>
        <w:rPr>
          <w:rFonts w:hint="eastAsia" w:hAnsi="宋体"/>
          <w:kern w:val="2"/>
          <w:szCs w:val="24"/>
        </w:rPr>
        <w:t>报价表（详见第四章）</w:t>
      </w:r>
    </w:p>
    <w:p>
      <w:pPr>
        <w:pStyle w:val="9"/>
        <w:adjustRightInd w:val="0"/>
        <w:snapToGrid w:val="0"/>
        <w:ind w:firstLine="480" w:firstLineChars="200"/>
        <w:rPr>
          <w:rFonts w:hAnsi="宋体"/>
          <w:kern w:val="2"/>
          <w:szCs w:val="24"/>
        </w:rPr>
      </w:pPr>
      <w:r>
        <w:rPr>
          <w:rFonts w:hint="eastAsia" w:hAnsi="宋体"/>
          <w:kern w:val="2"/>
          <w:szCs w:val="24"/>
        </w:rPr>
        <w:t>（3）分项报价明细表（格式自拟）</w:t>
      </w:r>
    </w:p>
    <w:p>
      <w:pPr>
        <w:pStyle w:val="9"/>
        <w:adjustRightInd w:val="0"/>
        <w:snapToGrid w:val="0"/>
        <w:ind w:firstLine="480" w:firstLineChars="200"/>
        <w:rPr>
          <w:rFonts w:hAnsi="宋体"/>
          <w:kern w:val="2"/>
          <w:szCs w:val="24"/>
        </w:rPr>
      </w:pPr>
      <w:r>
        <w:rPr>
          <w:rFonts w:hint="eastAsia" w:hAnsi="宋体"/>
          <w:kern w:val="2"/>
          <w:szCs w:val="24"/>
        </w:rPr>
        <w:t>2.2投标文件装订及份数</w:t>
      </w:r>
    </w:p>
    <w:p>
      <w:pPr>
        <w:pStyle w:val="9"/>
        <w:adjustRightInd w:val="0"/>
        <w:snapToGrid w:val="0"/>
        <w:ind w:firstLine="480" w:firstLineChars="200"/>
        <w:rPr>
          <w:rFonts w:hAnsi="宋体"/>
          <w:kern w:val="2"/>
          <w:szCs w:val="24"/>
        </w:rPr>
      </w:pPr>
      <w:r>
        <w:rPr>
          <w:rFonts w:hint="eastAsia" w:hAnsi="宋体"/>
          <w:kern w:val="2"/>
          <w:szCs w:val="24"/>
        </w:rPr>
        <w:t>投标文件分册装订，第一册为“资格审查文件”、第二册为“技术标”、第三册为“商务标文件”。所有文件正本1份，副本4份。所有投标文件不予退还。正本与副本不一致的以正本为准。</w:t>
      </w:r>
    </w:p>
    <w:p>
      <w:pPr>
        <w:adjustRightInd w:val="0"/>
        <w:snapToGrid w:val="0"/>
        <w:spacing w:line="360" w:lineRule="auto"/>
        <w:ind w:firstLine="480" w:firstLineChars="200"/>
        <w:rPr>
          <w:rFonts w:ascii="宋体" w:hAnsi="宋体"/>
          <w:sz w:val="24"/>
        </w:rPr>
      </w:pPr>
      <w:r>
        <w:rPr>
          <w:rFonts w:hint="eastAsia" w:ascii="宋体" w:hAnsi="宋体"/>
          <w:sz w:val="24"/>
        </w:rPr>
        <w:t>3、投标有效期</w:t>
      </w:r>
      <w:bookmarkEnd w:id="27"/>
      <w:bookmarkEnd w:id="28"/>
    </w:p>
    <w:p>
      <w:pPr>
        <w:adjustRightInd w:val="0"/>
        <w:snapToGrid w:val="0"/>
        <w:spacing w:line="360" w:lineRule="auto"/>
        <w:ind w:firstLine="480" w:firstLineChars="200"/>
        <w:rPr>
          <w:rFonts w:ascii="宋体" w:hAnsi="宋体"/>
          <w:sz w:val="24"/>
        </w:rPr>
      </w:pPr>
      <w:r>
        <w:rPr>
          <w:rFonts w:hint="eastAsia" w:ascii="宋体" w:hAnsi="宋体"/>
          <w:sz w:val="24"/>
        </w:rPr>
        <w:t>3.1投标有效期为招标人规定的开标之日后60天。投标有效期比规定短的将被视为非响应性投标而予以拒绝。</w:t>
      </w:r>
    </w:p>
    <w:p>
      <w:pPr>
        <w:adjustRightInd w:val="0"/>
        <w:snapToGrid w:val="0"/>
        <w:spacing w:line="360" w:lineRule="auto"/>
        <w:ind w:firstLine="480" w:firstLineChars="200"/>
        <w:rPr>
          <w:rFonts w:ascii="宋体" w:hAnsi="宋体"/>
          <w:sz w:val="24"/>
        </w:rPr>
      </w:pPr>
      <w:r>
        <w:rPr>
          <w:rFonts w:hint="eastAsia" w:ascii="宋体" w:hAnsi="宋体"/>
          <w:sz w:val="24"/>
        </w:rPr>
        <w:t>4、投标有效期的延长</w:t>
      </w:r>
    </w:p>
    <w:p>
      <w:pPr>
        <w:adjustRightInd w:val="0"/>
        <w:snapToGrid w:val="0"/>
        <w:spacing w:line="360" w:lineRule="auto"/>
        <w:ind w:firstLine="480" w:firstLineChars="200"/>
        <w:rPr>
          <w:rFonts w:ascii="宋体" w:hAnsi="宋体"/>
          <w:sz w:val="24"/>
        </w:rPr>
      </w:pPr>
      <w:r>
        <w:rPr>
          <w:rFonts w:hint="eastAsia" w:ascii="宋体" w:hAnsi="宋体"/>
          <w:sz w:val="24"/>
        </w:rPr>
        <w:t>4.1在特殊情况下，招标人于原投标有效期满之前，可向投标人提出延长投标有效期的要求。这种要求与答复均应采用书面形式。投标人可以拒绝招标人的这一要求而放弃投标，同意延长投标有效期的投标人既不能要求也不允许修改其投标文件。受投标有效期约束的所有权利与义务均延长至新的有效期。</w:t>
      </w:r>
    </w:p>
    <w:p>
      <w:pPr>
        <w:adjustRightInd w:val="0"/>
        <w:snapToGrid w:val="0"/>
        <w:spacing w:line="360" w:lineRule="auto"/>
        <w:ind w:firstLine="482" w:firstLineChars="200"/>
        <w:rPr>
          <w:rFonts w:ascii="宋体" w:hAnsi="宋体"/>
          <w:b/>
          <w:bCs/>
          <w:sz w:val="24"/>
        </w:rPr>
      </w:pPr>
      <w:r>
        <w:rPr>
          <w:rFonts w:hint="eastAsia" w:ascii="宋体" w:hAnsi="宋体"/>
          <w:b/>
          <w:bCs/>
          <w:sz w:val="24"/>
        </w:rPr>
        <w:t>三、投标文件的递交</w:t>
      </w:r>
    </w:p>
    <w:p>
      <w:pPr>
        <w:pStyle w:val="9"/>
        <w:adjustRightInd w:val="0"/>
        <w:snapToGrid w:val="0"/>
        <w:ind w:firstLine="480" w:firstLineChars="200"/>
        <w:rPr>
          <w:rFonts w:hAnsi="宋体"/>
          <w:kern w:val="2"/>
          <w:szCs w:val="24"/>
        </w:rPr>
      </w:pPr>
      <w:r>
        <w:rPr>
          <w:rFonts w:hint="eastAsia" w:hAnsi="宋体"/>
          <w:kern w:val="2"/>
          <w:szCs w:val="24"/>
        </w:rPr>
        <w:t>1、文件递交方式：直接送达。</w:t>
      </w:r>
    </w:p>
    <w:p>
      <w:pPr>
        <w:pStyle w:val="9"/>
        <w:adjustRightInd w:val="0"/>
        <w:snapToGrid w:val="0"/>
        <w:ind w:firstLine="480" w:firstLineChars="200"/>
        <w:rPr>
          <w:rFonts w:hAnsi="宋体"/>
          <w:kern w:val="2"/>
          <w:szCs w:val="24"/>
        </w:rPr>
      </w:pPr>
      <w:r>
        <w:rPr>
          <w:rFonts w:hint="eastAsia" w:hAnsi="宋体"/>
          <w:kern w:val="2"/>
          <w:szCs w:val="24"/>
        </w:rPr>
        <w:t>2、投标文件递交截止时间及地点：</w:t>
      </w:r>
      <w:r>
        <w:rPr>
          <w:rFonts w:hint="eastAsia" w:hAnsi="宋体"/>
          <w:kern w:val="2"/>
          <w:szCs w:val="24"/>
          <w:lang w:eastAsia="zh-CN"/>
        </w:rPr>
        <w:t>2023年</w:t>
      </w:r>
      <w:r>
        <w:rPr>
          <w:rFonts w:hint="eastAsia" w:hAnsi="宋体"/>
          <w:kern w:val="2"/>
          <w:szCs w:val="24"/>
          <w:lang w:val="en-US" w:eastAsia="zh-CN"/>
        </w:rPr>
        <w:t>0</w:t>
      </w:r>
      <w:r>
        <w:rPr>
          <w:rFonts w:hint="eastAsia" w:hAnsi="宋体"/>
          <w:kern w:val="2"/>
          <w:szCs w:val="24"/>
          <w:lang w:eastAsia="zh-CN"/>
        </w:rPr>
        <w:t>9月25日</w:t>
      </w:r>
      <w:r>
        <w:rPr>
          <w:rFonts w:hint="eastAsia" w:hAnsi="宋体"/>
          <w:kern w:val="2"/>
          <w:szCs w:val="24"/>
          <w:lang w:val="en-US" w:eastAsia="zh-CN"/>
        </w:rPr>
        <w:t>09点30分</w:t>
      </w:r>
      <w:r>
        <w:rPr>
          <w:rFonts w:hint="eastAsia" w:hAnsi="宋体"/>
          <w:kern w:val="2"/>
          <w:szCs w:val="24"/>
        </w:rPr>
        <w:t>；</w:t>
      </w:r>
      <w:r>
        <w:rPr>
          <w:rFonts w:hint="eastAsia" w:hAnsi="宋体"/>
          <w:szCs w:val="24"/>
          <w:shd w:val="clear" w:color="auto" w:fill="FFFFFF"/>
        </w:rPr>
        <w:t>南通市崇川区石桥路3</w:t>
      </w:r>
      <w:r>
        <w:rPr>
          <w:rFonts w:hAnsi="宋体"/>
          <w:szCs w:val="24"/>
          <w:shd w:val="clear" w:color="auto" w:fill="FFFFFF"/>
        </w:rPr>
        <w:t>33</w:t>
      </w:r>
      <w:r>
        <w:rPr>
          <w:rFonts w:hint="eastAsia" w:hAnsi="宋体"/>
          <w:szCs w:val="24"/>
          <w:shd w:val="clear" w:color="auto" w:fill="FFFFFF"/>
        </w:rPr>
        <w:t>号南通市保安服务有限公司6楼会议室2。</w:t>
      </w:r>
    </w:p>
    <w:p>
      <w:pPr>
        <w:pStyle w:val="9"/>
        <w:adjustRightInd w:val="0"/>
        <w:snapToGrid w:val="0"/>
        <w:ind w:firstLine="480" w:firstLineChars="200"/>
        <w:rPr>
          <w:rFonts w:hAnsi="宋体"/>
          <w:kern w:val="2"/>
          <w:szCs w:val="24"/>
        </w:rPr>
      </w:pPr>
      <w:r>
        <w:rPr>
          <w:rFonts w:hint="eastAsia" w:hAnsi="宋体"/>
          <w:kern w:val="2"/>
          <w:szCs w:val="24"/>
        </w:rPr>
        <w:t>3、投标文件截止时间：投标文件必须在规定的接收截止时间前送至指定地点，招标人或代理机构将拒绝接收在截止时间后递交的文件。</w:t>
      </w:r>
    </w:p>
    <w:p>
      <w:pPr>
        <w:adjustRightInd w:val="0"/>
        <w:snapToGrid w:val="0"/>
        <w:spacing w:line="360" w:lineRule="auto"/>
        <w:ind w:firstLine="482" w:firstLineChars="200"/>
        <w:rPr>
          <w:rFonts w:ascii="宋体" w:hAnsi="宋体"/>
          <w:b/>
          <w:bCs/>
          <w:sz w:val="24"/>
        </w:rPr>
      </w:pPr>
      <w:r>
        <w:rPr>
          <w:rFonts w:hint="eastAsia" w:ascii="宋体" w:hAnsi="宋体"/>
          <w:b/>
          <w:bCs/>
          <w:sz w:val="24"/>
        </w:rPr>
        <w:t>四、评标及中标通知</w:t>
      </w:r>
    </w:p>
    <w:p>
      <w:pPr>
        <w:pStyle w:val="9"/>
        <w:adjustRightInd w:val="0"/>
        <w:snapToGrid w:val="0"/>
        <w:ind w:firstLine="480" w:firstLineChars="200"/>
        <w:rPr>
          <w:rFonts w:hAnsi="宋体"/>
          <w:kern w:val="2"/>
          <w:szCs w:val="24"/>
        </w:rPr>
      </w:pPr>
      <w:r>
        <w:rPr>
          <w:rFonts w:hint="eastAsia" w:hAnsi="宋体"/>
          <w:kern w:val="2"/>
          <w:szCs w:val="24"/>
        </w:rPr>
        <w:t>1、开标时间：</w:t>
      </w:r>
      <w:r>
        <w:rPr>
          <w:rFonts w:hint="eastAsia" w:hAnsi="宋体"/>
          <w:kern w:val="2"/>
          <w:szCs w:val="24"/>
          <w:lang w:eastAsia="zh-CN"/>
        </w:rPr>
        <w:t>2023年</w:t>
      </w:r>
      <w:r>
        <w:rPr>
          <w:rFonts w:hint="eastAsia" w:hAnsi="宋体"/>
          <w:kern w:val="2"/>
          <w:szCs w:val="24"/>
          <w:lang w:val="en-US" w:eastAsia="zh-CN"/>
        </w:rPr>
        <w:t>0</w:t>
      </w:r>
      <w:r>
        <w:rPr>
          <w:rFonts w:hint="eastAsia" w:hAnsi="宋体"/>
          <w:kern w:val="2"/>
          <w:szCs w:val="24"/>
          <w:lang w:eastAsia="zh-CN"/>
        </w:rPr>
        <w:t>9月25日</w:t>
      </w:r>
      <w:r>
        <w:rPr>
          <w:rFonts w:hint="eastAsia" w:hAnsi="宋体"/>
          <w:kern w:val="2"/>
          <w:szCs w:val="24"/>
          <w:lang w:val="en-US" w:eastAsia="zh-CN"/>
        </w:rPr>
        <w:t>09点30分</w:t>
      </w:r>
      <w:r>
        <w:rPr>
          <w:rFonts w:hint="eastAsia" w:hAnsi="宋体"/>
          <w:kern w:val="2"/>
          <w:szCs w:val="24"/>
        </w:rPr>
        <w:t>，如有变动，另行通知。</w:t>
      </w:r>
    </w:p>
    <w:p>
      <w:pPr>
        <w:pStyle w:val="9"/>
        <w:adjustRightInd w:val="0"/>
        <w:snapToGrid w:val="0"/>
        <w:ind w:firstLine="480" w:firstLineChars="200"/>
        <w:rPr>
          <w:rFonts w:hAnsi="宋体"/>
          <w:kern w:val="2"/>
          <w:szCs w:val="24"/>
        </w:rPr>
      </w:pPr>
      <w:r>
        <w:rPr>
          <w:rFonts w:hint="eastAsia" w:hAnsi="宋体"/>
          <w:kern w:val="2"/>
          <w:szCs w:val="24"/>
        </w:rPr>
        <w:t>2、开标地点：</w:t>
      </w:r>
      <w:r>
        <w:rPr>
          <w:rFonts w:hint="eastAsia" w:hAnsi="宋体"/>
          <w:b/>
          <w:bCs/>
          <w:szCs w:val="24"/>
          <w:u w:val="single"/>
          <w:shd w:val="clear" w:color="auto" w:fill="FFFFFF"/>
        </w:rPr>
        <w:t>南通市崇川区石桥路3</w:t>
      </w:r>
      <w:r>
        <w:rPr>
          <w:rFonts w:hAnsi="宋体"/>
          <w:b/>
          <w:bCs/>
          <w:szCs w:val="24"/>
          <w:u w:val="single"/>
          <w:shd w:val="clear" w:color="auto" w:fill="FFFFFF"/>
        </w:rPr>
        <w:t>33</w:t>
      </w:r>
      <w:r>
        <w:rPr>
          <w:rFonts w:hint="eastAsia" w:hAnsi="宋体"/>
          <w:b/>
          <w:bCs/>
          <w:szCs w:val="24"/>
          <w:u w:val="single"/>
          <w:shd w:val="clear" w:color="auto" w:fill="FFFFFF"/>
        </w:rPr>
        <w:t>号南通市保安服务有限公司6楼会议室2</w:t>
      </w:r>
      <w:r>
        <w:rPr>
          <w:rFonts w:hint="eastAsia" w:hAnsi="宋体"/>
          <w:kern w:val="2"/>
          <w:szCs w:val="24"/>
        </w:rPr>
        <w:t>。</w:t>
      </w:r>
    </w:p>
    <w:p>
      <w:pPr>
        <w:pStyle w:val="9"/>
        <w:adjustRightInd w:val="0"/>
        <w:snapToGrid w:val="0"/>
        <w:ind w:firstLine="480" w:firstLineChars="200"/>
        <w:rPr>
          <w:rFonts w:hAnsi="宋体"/>
          <w:kern w:val="2"/>
          <w:szCs w:val="24"/>
        </w:rPr>
      </w:pPr>
      <w:r>
        <w:rPr>
          <w:rFonts w:hint="eastAsia" w:hAnsi="宋体"/>
          <w:kern w:val="2"/>
          <w:szCs w:val="24"/>
        </w:rPr>
        <w:t>3、中标通知书一经发出，即具有法律效力。招标人、中标人依法承担法律责任。</w:t>
      </w:r>
    </w:p>
    <w:p>
      <w:pPr>
        <w:pStyle w:val="9"/>
        <w:adjustRightInd w:val="0"/>
        <w:snapToGrid w:val="0"/>
        <w:ind w:firstLine="480" w:firstLineChars="200"/>
        <w:rPr>
          <w:rFonts w:hAnsi="宋体"/>
          <w:kern w:val="2"/>
          <w:szCs w:val="24"/>
        </w:rPr>
      </w:pPr>
      <w:r>
        <w:rPr>
          <w:rFonts w:hint="eastAsia" w:hAnsi="宋体"/>
          <w:kern w:val="2"/>
          <w:szCs w:val="24"/>
        </w:rPr>
        <w:t>4、本项目解释权在招标人，招标人无需向落选投标人解释任何理由。</w:t>
      </w:r>
    </w:p>
    <w:p>
      <w:pPr>
        <w:pStyle w:val="10"/>
        <w:spacing w:line="360" w:lineRule="auto"/>
        <w:ind w:firstLine="482" w:firstLineChars="200"/>
        <w:rPr>
          <w:rFonts w:ascii="宋体" w:hAnsi="宋体"/>
          <w:b/>
          <w:bCs/>
          <w:sz w:val="24"/>
        </w:rPr>
      </w:pPr>
      <w:r>
        <w:rPr>
          <w:rFonts w:hint="eastAsia" w:ascii="宋体" w:hAnsi="宋体"/>
          <w:b/>
          <w:bCs/>
          <w:sz w:val="24"/>
        </w:rPr>
        <w:t>五、项目需求</w:t>
      </w:r>
    </w:p>
    <w:p>
      <w:pPr>
        <w:adjustRightInd w:val="0"/>
        <w:snapToGrid w:val="0"/>
        <w:spacing w:line="360" w:lineRule="auto"/>
        <w:ind w:firstLine="482" w:firstLineChars="200"/>
        <w:rPr>
          <w:rFonts w:ascii="宋体" w:hAnsi="宋体"/>
          <w:b/>
          <w:bCs/>
          <w:sz w:val="24"/>
          <w:lang w:val="zh-CN"/>
        </w:rPr>
      </w:pPr>
      <w:r>
        <w:rPr>
          <w:rFonts w:hint="eastAsia" w:ascii="宋体" w:hAnsi="宋体"/>
          <w:b/>
          <w:bCs/>
          <w:sz w:val="24"/>
          <w:lang w:val="zh-CN"/>
        </w:rPr>
        <w:t>（</w:t>
      </w:r>
      <w:r>
        <w:rPr>
          <w:rFonts w:hint="eastAsia" w:ascii="宋体" w:hAnsi="宋体"/>
          <w:b/>
          <w:bCs/>
          <w:sz w:val="24"/>
        </w:rPr>
        <w:t>一</w:t>
      </w:r>
      <w:r>
        <w:rPr>
          <w:rFonts w:hint="eastAsia" w:ascii="宋体" w:hAnsi="宋体"/>
          <w:b/>
          <w:bCs/>
          <w:sz w:val="24"/>
          <w:lang w:val="zh-CN"/>
        </w:rPr>
        <w:t>）项目需求</w:t>
      </w:r>
    </w:p>
    <w:p>
      <w:pPr>
        <w:spacing w:line="360" w:lineRule="auto"/>
        <w:ind w:firstLine="723" w:firstLineChars="300"/>
        <w:rPr>
          <w:rFonts w:ascii="宋体" w:hAnsi="宋体"/>
          <w:sz w:val="24"/>
          <w:lang w:val="zh-CN"/>
        </w:rPr>
      </w:pPr>
      <w:r>
        <w:rPr>
          <w:rFonts w:hint="eastAsia" w:ascii="宋体" w:hAnsi="宋体"/>
          <w:b/>
          <w:sz w:val="24"/>
          <w:lang w:val="zh-CN"/>
        </w:rPr>
        <w:t>1、项目名称：</w:t>
      </w:r>
      <w:r>
        <w:rPr>
          <w:rFonts w:hint="eastAsia" w:ascii="宋体" w:hAnsi="宋体"/>
          <w:sz w:val="24"/>
        </w:rPr>
        <w:t>南通市保安服务有限公司及下属子公司2023-2024年度车辆保险采购项目</w:t>
      </w:r>
      <w:r>
        <w:rPr>
          <w:rFonts w:hint="eastAsia" w:ascii="宋体" w:hAnsi="宋体"/>
          <w:sz w:val="24"/>
          <w:lang w:val="zh-CN"/>
        </w:rPr>
        <w:t>。</w:t>
      </w:r>
    </w:p>
    <w:p>
      <w:pPr>
        <w:spacing w:line="360" w:lineRule="auto"/>
        <w:ind w:firstLine="723" w:firstLineChars="300"/>
        <w:rPr>
          <w:b/>
        </w:rPr>
      </w:pPr>
      <w:r>
        <w:rPr>
          <w:rFonts w:hint="eastAsia" w:ascii="宋体" w:hAnsi="宋体"/>
          <w:b/>
          <w:sz w:val="24"/>
          <w:lang w:val="zh-CN"/>
        </w:rPr>
        <w:t>2、</w:t>
      </w:r>
      <w:r>
        <w:rPr>
          <w:b/>
          <w:color w:val="000000"/>
          <w:sz w:val="24"/>
        </w:rPr>
        <w:t>项目概况</w:t>
      </w:r>
      <w:r>
        <w:rPr>
          <w:rFonts w:hint="eastAsia" w:ascii="宋体" w:hAnsi="宋体"/>
          <w:b/>
          <w:sz w:val="24"/>
          <w:lang w:val="zh-CN"/>
        </w:rPr>
        <w:t>:</w:t>
      </w:r>
      <w:r>
        <w:rPr>
          <w:rFonts w:hint="eastAsia"/>
          <w:b/>
        </w:rPr>
        <w:t xml:space="preserve"> </w:t>
      </w:r>
    </w:p>
    <w:p>
      <w:pPr>
        <w:spacing w:line="360" w:lineRule="auto"/>
        <w:ind w:firstLine="480" w:firstLineChars="200"/>
        <w:rPr>
          <w:rFonts w:ascii="宋体" w:hAnsi="宋体"/>
          <w:sz w:val="24"/>
          <w:shd w:val="clear" w:color="auto" w:fill="FFFFFF"/>
        </w:rPr>
      </w:pPr>
      <w:r>
        <w:rPr>
          <w:rFonts w:hint="eastAsia" w:ascii="宋体" w:hAnsi="宋体"/>
          <w:sz w:val="24"/>
        </w:rPr>
        <w:t>（一）</w:t>
      </w:r>
      <w:r>
        <w:rPr>
          <w:rFonts w:hint="eastAsia" w:ascii="宋体" w:hAnsi="宋体"/>
          <w:b/>
          <w:bCs/>
          <w:sz w:val="24"/>
        </w:rPr>
        <w:t>采购人：</w:t>
      </w:r>
      <w:r>
        <w:rPr>
          <w:rFonts w:hint="eastAsia" w:ascii="宋体" w:hAnsi="宋体"/>
          <w:sz w:val="24"/>
          <w:shd w:val="clear" w:color="auto" w:fill="FFFFFF"/>
        </w:rPr>
        <w:t>南通市保安服务有限公司</w:t>
      </w:r>
    </w:p>
    <w:p>
      <w:pPr>
        <w:spacing w:line="360" w:lineRule="auto"/>
        <w:ind w:firstLine="480" w:firstLineChars="200"/>
        <w:rPr>
          <w:rFonts w:ascii="宋体" w:hAnsi="宋体"/>
          <w:sz w:val="24"/>
          <w:shd w:val="clear" w:color="auto" w:fill="FFFFFF"/>
        </w:rPr>
      </w:pPr>
      <w:r>
        <w:rPr>
          <w:rFonts w:hint="eastAsia" w:ascii="宋体" w:hAnsi="宋体"/>
          <w:sz w:val="24"/>
        </w:rPr>
        <w:t>（二）</w:t>
      </w:r>
      <w:r>
        <w:rPr>
          <w:rFonts w:hint="eastAsia" w:ascii="宋体" w:hAnsi="宋体"/>
          <w:b/>
          <w:bCs/>
          <w:sz w:val="24"/>
        </w:rPr>
        <w:t>项目名称：</w:t>
      </w:r>
      <w:r>
        <w:rPr>
          <w:rFonts w:hint="eastAsia" w:ascii="宋体" w:hAnsi="宋体"/>
          <w:sz w:val="24"/>
          <w:shd w:val="clear" w:color="auto" w:fill="FFFFFF"/>
        </w:rPr>
        <w:t>南通市保安服务有限公司及下属子公司2023-2024年度车辆保险采购项目</w:t>
      </w:r>
    </w:p>
    <w:p>
      <w:pPr>
        <w:spacing w:line="360" w:lineRule="auto"/>
        <w:ind w:firstLine="480" w:firstLineChars="200"/>
        <w:rPr>
          <w:rFonts w:ascii="宋体" w:hAnsi="宋体"/>
          <w:b/>
          <w:bCs/>
          <w:sz w:val="24"/>
          <w:shd w:val="clear" w:color="auto" w:fill="FFFFFF"/>
        </w:rPr>
      </w:pPr>
      <w:r>
        <w:rPr>
          <w:rFonts w:hint="eastAsia" w:ascii="宋体" w:hAnsi="宋体"/>
          <w:sz w:val="24"/>
        </w:rPr>
        <w:t>（三）</w:t>
      </w:r>
      <w:r>
        <w:rPr>
          <w:rFonts w:hint="eastAsia" w:ascii="宋体" w:hAnsi="宋体"/>
          <w:b/>
          <w:bCs/>
          <w:sz w:val="24"/>
        </w:rPr>
        <w:t>项目内容：</w:t>
      </w:r>
      <w:r>
        <w:rPr>
          <w:rFonts w:hint="eastAsia" w:ascii="宋体" w:hAnsi="宋体"/>
          <w:b/>
          <w:bCs/>
          <w:sz w:val="24"/>
          <w:shd w:val="clear" w:color="auto" w:fill="FFFFFF"/>
        </w:rPr>
        <w:t xml:space="preserve"> </w:t>
      </w:r>
    </w:p>
    <w:p>
      <w:pPr>
        <w:spacing w:line="360" w:lineRule="auto"/>
        <w:ind w:firstLine="482" w:firstLineChars="200"/>
        <w:rPr>
          <w:rFonts w:ascii="宋体" w:hAnsi="宋体"/>
          <w:b/>
          <w:bCs/>
          <w:sz w:val="24"/>
          <w:shd w:val="clear" w:color="auto" w:fill="FFFFFF"/>
        </w:rPr>
      </w:pPr>
      <w:r>
        <w:rPr>
          <w:rFonts w:hint="eastAsia" w:ascii="宋体" w:hAnsi="宋体"/>
          <w:b/>
          <w:bCs/>
          <w:sz w:val="24"/>
          <w:shd w:val="clear" w:color="auto" w:fill="FFFFFF"/>
        </w:rPr>
        <w:t xml:space="preserve">   3.1险种：</w:t>
      </w:r>
    </w:p>
    <w:p>
      <w:pPr>
        <w:spacing w:line="360" w:lineRule="auto"/>
        <w:ind w:firstLine="482" w:firstLineChars="200"/>
        <w:rPr>
          <w:rFonts w:ascii="宋体" w:hAnsi="宋体"/>
          <w:b/>
          <w:sz w:val="24"/>
          <w:highlight w:val="none"/>
          <w:shd w:val="clear" w:color="auto" w:fill="FFFFFF"/>
        </w:rPr>
      </w:pPr>
      <w:r>
        <w:rPr>
          <w:rFonts w:hint="eastAsia" w:ascii="宋体" w:hAnsi="宋体"/>
          <w:b/>
          <w:sz w:val="24"/>
          <w:highlight w:val="none"/>
          <w:shd w:val="clear" w:color="auto" w:fill="FFFFFF"/>
        </w:rPr>
        <w:t>（1）车辆损失险：根据各车折旧年限定；</w:t>
      </w:r>
    </w:p>
    <w:p>
      <w:pPr>
        <w:spacing w:line="360" w:lineRule="auto"/>
        <w:ind w:firstLine="482" w:firstLineChars="200"/>
        <w:rPr>
          <w:rFonts w:ascii="宋体" w:hAnsi="宋体"/>
          <w:b/>
          <w:sz w:val="24"/>
          <w:highlight w:val="none"/>
          <w:shd w:val="clear" w:color="auto" w:fill="FFFFFF"/>
        </w:rPr>
      </w:pPr>
      <w:r>
        <w:rPr>
          <w:rFonts w:hint="eastAsia" w:ascii="宋体" w:hAnsi="宋体"/>
          <w:b/>
          <w:sz w:val="24"/>
          <w:highlight w:val="none"/>
          <w:shd w:val="clear" w:color="auto" w:fill="FFFFFF"/>
        </w:rPr>
        <w:t>（2）第三者责任险:（押运车：保额为200万元、公务车和教练车:保额为300万元）。</w:t>
      </w:r>
      <w:r>
        <w:rPr>
          <w:rFonts w:hint="eastAsia" w:ascii="宋体" w:hAnsi="宋体"/>
          <w:sz w:val="24"/>
          <w:highlight w:val="none"/>
        </w:rPr>
        <w:t xml:space="preserve"> </w:t>
      </w:r>
      <w:r>
        <w:rPr>
          <w:rFonts w:hint="eastAsia" w:ascii="宋体" w:hAnsi="宋体"/>
          <w:b/>
          <w:sz w:val="24"/>
          <w:highlight w:val="none"/>
          <w:shd w:val="clear" w:color="auto" w:fill="FFFFFF"/>
        </w:rPr>
        <w:t xml:space="preserve">             </w:t>
      </w:r>
    </w:p>
    <w:p>
      <w:pPr>
        <w:spacing w:line="360" w:lineRule="auto"/>
        <w:ind w:firstLine="482" w:firstLineChars="200"/>
        <w:rPr>
          <w:rFonts w:hint="eastAsia" w:ascii="宋体" w:hAnsi="宋体"/>
          <w:b/>
          <w:sz w:val="24"/>
          <w:highlight w:val="none"/>
          <w:shd w:val="clear" w:color="auto" w:fill="FFFFFF"/>
        </w:rPr>
      </w:pPr>
      <w:r>
        <w:rPr>
          <w:rFonts w:hint="eastAsia" w:ascii="宋体" w:hAnsi="宋体"/>
          <w:b/>
          <w:sz w:val="24"/>
          <w:highlight w:val="none"/>
          <w:shd w:val="clear" w:color="auto" w:fill="FFFFFF"/>
        </w:rPr>
        <w:t>（3）交通强制险:根据各车出险情况</w:t>
      </w:r>
    </w:p>
    <w:p>
      <w:pPr>
        <w:spacing w:line="360" w:lineRule="auto"/>
        <w:ind w:firstLine="602" w:firstLineChars="250"/>
        <w:rPr>
          <w:rFonts w:hint="eastAsia" w:ascii="宋体" w:hAnsi="宋体"/>
          <w:b/>
          <w:sz w:val="24"/>
          <w:shd w:val="clear" w:color="auto" w:fill="FFFFFF"/>
        </w:rPr>
      </w:pPr>
      <w:r>
        <w:rPr>
          <w:rFonts w:hint="eastAsia" w:ascii="宋体" w:hAnsi="宋体"/>
          <w:b/>
          <w:sz w:val="24"/>
          <w:shd w:val="clear" w:color="auto" w:fill="FFFFFF"/>
        </w:rPr>
        <w:t xml:space="preserve">(4)  座位险：每车约200元 </w:t>
      </w:r>
    </w:p>
    <w:p>
      <w:pPr>
        <w:spacing w:line="360" w:lineRule="auto"/>
        <w:ind w:firstLine="602" w:firstLineChars="250"/>
        <w:rPr>
          <w:rFonts w:ascii="宋体" w:hAnsi="宋体"/>
          <w:b/>
          <w:sz w:val="24"/>
          <w:shd w:val="clear" w:color="auto" w:fill="FFFFFF"/>
        </w:rPr>
      </w:pPr>
      <w:r>
        <w:rPr>
          <w:rFonts w:hint="eastAsia" w:ascii="宋体" w:hAnsi="宋体"/>
          <w:b/>
          <w:sz w:val="24"/>
          <w:shd w:val="clear" w:color="auto" w:fill="FFFFFF"/>
        </w:rPr>
        <w:t xml:space="preserve">（5）车船税：根据车船税标准                                                                                                                                                                                                                                                                                                                                                                                                                                                                                                                                                                                                                                                                                   </w:t>
      </w:r>
    </w:p>
    <w:p>
      <w:pPr>
        <w:spacing w:line="360" w:lineRule="auto"/>
        <w:ind w:firstLine="482" w:firstLineChars="200"/>
        <w:rPr>
          <w:rFonts w:ascii="宋体" w:hAnsi="宋体"/>
          <w:b/>
          <w:bCs/>
          <w:sz w:val="24"/>
          <w:shd w:val="clear" w:color="auto" w:fill="FFFFFF"/>
        </w:rPr>
        <w:sectPr>
          <w:footerReference r:id="rId3" w:type="default"/>
          <w:pgSz w:w="11906" w:h="16838"/>
          <w:pgMar w:top="2098" w:right="1587" w:bottom="1984" w:left="1587" w:header="851" w:footer="992" w:gutter="0"/>
          <w:cols w:space="425" w:num="1"/>
          <w:docGrid w:type="lines" w:linePitch="312" w:charSpace="0"/>
        </w:sectPr>
      </w:pPr>
      <w:r>
        <w:rPr>
          <w:rFonts w:hint="eastAsia" w:ascii="宋体" w:hAnsi="宋体"/>
          <w:b/>
          <w:bCs/>
          <w:sz w:val="24"/>
          <w:shd w:val="clear" w:color="auto" w:fill="FFFFFF"/>
        </w:rPr>
        <w:t>3.2车辆明细</w:t>
      </w:r>
    </w:p>
    <w:tbl>
      <w:tblPr>
        <w:tblW w:w="14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55"/>
        <w:gridCol w:w="1890"/>
        <w:gridCol w:w="3240"/>
        <w:gridCol w:w="3165"/>
        <w:gridCol w:w="2565"/>
        <w:gridCol w:w="144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14235" w:type="dxa"/>
            <w:gridSpan w:val="7"/>
            <w:tcBorders>
              <w:top w:val="nil"/>
              <w:left w:val="nil"/>
              <w:bottom w:val="single" w:color="auto" w:sz="4" w:space="0"/>
              <w:right w:val="nil"/>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南通市保安服务有限公司及部分下属公司车辆保险服务采购清单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5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序号</w:t>
            </w:r>
          </w:p>
        </w:tc>
        <w:tc>
          <w:tcPr>
            <w:tcW w:w="189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车牌号</w:t>
            </w:r>
          </w:p>
        </w:tc>
        <w:tc>
          <w:tcPr>
            <w:tcW w:w="32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品牌型号</w:t>
            </w:r>
          </w:p>
        </w:tc>
        <w:tc>
          <w:tcPr>
            <w:tcW w:w="316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车辆识别代码</w:t>
            </w:r>
          </w:p>
        </w:tc>
        <w:tc>
          <w:tcPr>
            <w:tcW w:w="256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注册登记日期</w:t>
            </w:r>
          </w:p>
        </w:tc>
        <w:tc>
          <w:tcPr>
            <w:tcW w:w="144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发动机号</w:t>
            </w:r>
          </w:p>
        </w:tc>
        <w:tc>
          <w:tcPr>
            <w:tcW w:w="108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苏F1Q9X5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迪马DMT5047XYCAV6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LEFYACH28LT051144</w:t>
            </w:r>
          </w:p>
        </w:tc>
        <w:tc>
          <w:tcPr>
            <w:tcW w:w="256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2020.08.11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L5047301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苏F6F1W9</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宝龙牌</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TBL5048XYCFT3</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LEFYACH23KT101852</w:t>
            </w:r>
          </w:p>
        </w:tc>
        <w:tc>
          <w:tcPr>
            <w:tcW w:w="2565"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2020.07.06</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KA119304</w:t>
            </w:r>
          </w:p>
        </w:tc>
        <w:tc>
          <w:tcPr>
            <w:tcW w:w="0" w:type="auto"/>
            <w:tcBorders>
              <w:top w:val="single" w:color="auto"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苏F5A3E6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CSZ5041XYCB5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LEFYACH2XLT050383</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2020.07.21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L5042056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苏F9V6C6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宝龙牌</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TBL5048XYCFT3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LEFYACH22KT101860</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2020.07.06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KA119296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F2N7J5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DMT5047XYCAV6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LEFYACH21KT050111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2020.06.16/2019.06.25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K4049181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F7E9Y9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DMT5047XYCA6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LEFYACH22KT090729</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BA141172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苏F2382Q</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CSZ5041XYCFB2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LJXYACH20DT102007</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2014.07.31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DA153528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苏F7200Q</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DMT5047XYCA6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LJXYACH21ET052316</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2014.08.27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E5082935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苏F2576Q</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CSZ5041XYCFB2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LJXYACH22ET051210</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2014.07.31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E5079425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苏FB09A0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DMT5047XYCAV6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LEFYACH20HT071184</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2017.11.30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H7088647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苏FX06W2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DMT5047XYCAV6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LEFYACH29HT071183</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2017.11.30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H7088645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w:t>
            </w:r>
            <w:r>
              <w:rPr>
                <w:rStyle w:val="32"/>
                <w:rFonts w:hint="eastAsia" w:asciiTheme="minorEastAsia" w:hAnsiTheme="minorEastAsia" w:eastAsiaTheme="minorEastAsia" w:cstheme="minorEastAsia"/>
                <w:bdr w:val="none" w:color="auto" w:sz="0" w:space="0"/>
                <w:lang w:val="en-US" w:eastAsia="zh-CN" w:bidi="ar"/>
              </w:rPr>
              <w:t>F2E7U2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CSZ5041XYCB5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LEFYACH27KT020837</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2019.11.01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K2011017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苏F6W5X2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迪马DMT5047XYCAV6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LEFYACH23LT051147</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2020.08.11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L5045329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苏F5G7L9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迪马DMT5047XYCAV6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LEFYACH27LT050549</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2020.08.10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L5043364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苏F2553Q</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CSZ5041XYCFB2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LJXYACH22ET051191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2014.07.31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E5079451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苏F7662N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DMT5047XYCA6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LJXYACH21ET063347</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2014.08.21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E6102226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苏F7625N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DMT5047XYCA6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LJXYACH27ET063630</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2014.08.21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E6104069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苏F2508Q</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DMT5047XYCA6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LJXYACH24ET032870</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2014.07.31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E3042256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苏F2539Q</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DMT5047XYCA6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LJXYACH28ET032869</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2014.07.31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E3042267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苏F3T6G0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重庆迪马</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DMT5047XYCAV6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LEFYACH25KT090711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K9101510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苏F2U3G3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宝龙牌TBL5048XYCFT3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LEFYACH25KT103361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2020.05.13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KA123505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F2C7V8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DMT5047XYCAV6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LEFYACH27KT050078</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2020.06.16/2019.06.25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K4049450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苏F1X5L9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宝龙牌</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TBL5048XYCFT3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LEFYACH2XKT103369</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2020.05.13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KA124903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苏F3H8N9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宝龙牌</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TBL5048XYCFT3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LEFYACH21KT103373</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2020.05.13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KA124820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苏F165A5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DMT5047XYCA6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LJXYACH20FT052065</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2015.09.17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F5087609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苏F7502N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DMT5047XYCA6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LJXYACH29ET063631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2014.08.21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E7105320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苏F7632N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DMT5047XYCA6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LJXYACH23ET052317</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2014.08.21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E5082172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苏F7D6N5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CSZ5041XYCB5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LEFYACH26LT050381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2020.07.21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L5043557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苏F1762Q</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CSZ5041XYCFB2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LJXYACH21DT102002</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2014.07.21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DA152619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苏F7181Q</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DMT5047XYCA6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LJXYACH26ET052313</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2014.08.27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E5082421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w:t>
            </w:r>
            <w:r>
              <w:rPr>
                <w:rStyle w:val="32"/>
                <w:rFonts w:hint="eastAsia" w:asciiTheme="minorEastAsia" w:hAnsiTheme="minorEastAsia" w:eastAsiaTheme="minorEastAsia" w:cstheme="minorEastAsia"/>
                <w:bdr w:val="none" w:color="auto" w:sz="0" w:space="0"/>
                <w:lang w:val="en-US" w:eastAsia="zh-CN" w:bidi="ar"/>
              </w:rPr>
              <w:t>F7G6B2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CSZ5041XYCB5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LEFYACH24JT113037</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2019.10.30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JB154750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w:t>
            </w:r>
            <w:r>
              <w:rPr>
                <w:rStyle w:val="32"/>
                <w:rFonts w:hint="eastAsia" w:asciiTheme="minorEastAsia" w:hAnsiTheme="minorEastAsia" w:eastAsiaTheme="minorEastAsia" w:cstheme="minorEastAsia"/>
                <w:bdr w:val="none" w:color="auto" w:sz="0" w:space="0"/>
                <w:lang w:val="en-US" w:eastAsia="zh-CN" w:bidi="ar"/>
              </w:rPr>
              <w:t>F0T7N2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CSZ5041XYCB5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LEFYACH27JT120631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2019.10.30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JC169687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w:t>
            </w:r>
            <w:r>
              <w:rPr>
                <w:rStyle w:val="32"/>
                <w:rFonts w:hint="eastAsia" w:asciiTheme="minorEastAsia" w:hAnsiTheme="minorEastAsia" w:eastAsiaTheme="minorEastAsia" w:cstheme="minorEastAsia"/>
                <w:bdr w:val="none" w:color="auto" w:sz="0" w:space="0"/>
                <w:lang w:val="en-US" w:eastAsia="zh-CN" w:bidi="ar"/>
              </w:rPr>
              <w:t>F1M5P3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CSZ5041XYCB5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LEFYACH22JT120617</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2019.10.30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JC168728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苏F8N9A8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CSZ5041XYCB5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LEFYACH23LT050385</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2020.07.21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L5042691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苏F6J9D5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CSZ5041XYCB5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LEFYACH24LT050380</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2020.07.21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L5043374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苏F0V9T7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迪马DMT5047XYCAV6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LEFYACH25LT050548</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2020.08.10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L5043353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苏F2D5G5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重庆迪马</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DMT5047XYCAV6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LEFYACH22KT090732</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K9101495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苏F3X5X8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重庆迪马DMT5047XYCAV6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LEFYACH28KT090704</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K9100850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苏F9W0Y7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重庆迪马DMT5047XYCAV6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LEFYACH24KT090716</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K9100841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苏F2559Q</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CSZ5041XYCFB2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LJXYACH2XET021713</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2014.07.31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E2023828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苏F2556Q</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CSZ5041XYCFB2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LJXYACH27ET051204</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2014.07.31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E5079531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苏F1A9M2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华东CSZ5041XYCB5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LEFYACH28LT050382</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2020.07.21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L5044255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苏F6V9L2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CSZ5041XYCB5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LEFYACH21LT050384</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2020.07.21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L5042695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苏F7108Q</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DMT5047XYCA6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LJXYACH28ET052314</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2014.08.27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E5082457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苏F1761Q</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CSZ5041XYCFB2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LJXYACH23DT102373</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2014.07.21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DA152768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苏F2561Q</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CSZ5041XYCFB2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LJXYACH24ET051208</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2014.07.31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E5079541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苏F8E7A1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迪马DMT5047XYCAV6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LEFYACH23LT051150</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2020.08.10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L5046330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苏F7W6V7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迪马DMT5047XYCAV6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LEFYACH28JT104177</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2020.08.11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JA142515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苏F7H0S9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迪马DMT5047XYCAV6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LEFYACH23LT050547</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2020.08.10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L5044263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苏F1760K</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CSZ5041XYCF2L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LJXYACH29DT102362</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2014.01.16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DA153205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苏F7171Q</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DMT5047XYCA6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LJXYACH2XET052315</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2014.08.27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E5082446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苏F28997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CSZ5041XYCF2L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LJXYACH28DT091421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2013.11.07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D9132013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苏F2339K</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CSZ5041XYCF2L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LJXYACH27DT102361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2014.01.16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DA153209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苏F039A5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CSZ5041XYCFB2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LJXYACH29FT052646</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2015.09.17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F5090694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苏F1G62Z</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华东CSZ5041XYCB5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LEFYACH20LT123308</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2021.02.26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LC161401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苏F1M03A</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华东CSZ5041XYCB5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LEFYACH22LT123309</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2021.02.26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LC160934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苏F3A92M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华东CSZ5041XYCB5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LEFYACH29LT123307</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2021.02.26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LC161142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苏F1M92X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华东CSZ5041XYCB5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LEFYACH20LT123311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2021.02.26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LC160926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苏F0L81H</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华东CSZ5041XYCB5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LEFYAVH24LT123313</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2021.02.26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LC161227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苏F5H76M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华东CSZ5041XYCB5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LEFYACH29LT123310</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2021.02.26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LC160671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苏F8D15M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华东CSZ5041XYCB5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LEFYACH26LT123314</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2021.02.26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LC160929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苏F8M25T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华东CSZ5041XYCB5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LEFYACH22LT123312</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2021.02.26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LC161383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F2J91R</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LEFYACH25MT057789</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2021.10.28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M2023524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苏F1D16N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LEFYACH28MT057799</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2021.10.28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M2023534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F5D22M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LEFYACH22MT057801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2021.10.28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M2023536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F2F77T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LEFYACH24MT057802</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2021.10.28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M2023537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F9M97C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LEFYACH2XMT057786</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2021.10.28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M2023521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F6M19H</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LEFYAVH29MT057777</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2021.10.28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M2023512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F1L28M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LEFYACH29MT057780</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2021.10.28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M2023515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F8M78R</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LEFYACH22MT057782</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2021.10.28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M2023517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F9M17X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LEFYACH24MT057783</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2021.10.28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M2023518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F2D62J</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LEFYACH27MT057793</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2021.10.28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M2023528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苏F3V02M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宝龙牌TBL5048XYC-AM3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LEFYADH20MT112056</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2022.01.20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MB135414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苏F6P08E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宝龙牌TBL5048XYC-AM3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LEFYADH2XMT121783</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2022.01.20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MB142624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苏F6Z91K</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宝龙牌TBL5048XYC-AM3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LEFYADH21MT121784</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2022.01.20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MB138480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苏F9R95R</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宝龙牌TBL5048XYC-AM3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LEFYADH25MT121786</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2022.01.20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MB142865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苏FB92H6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宝龙牌TBL5048XYC-AM3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LEFYADH24MT112058</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2022.01.20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MB135586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苏F9T62E</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LEFYADH21MT122711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2022.03.21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MC146937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苏F7Z82C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LEFYADH29MT123637</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2022.03.21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MC147509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苏F5Z38G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LEFYADH23MT122922</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2022.03.21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MC147000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苏F5P58J</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LEFYADH26MT123238</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2022.03.21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MC147637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苏F3X29L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LEFYADH29MT123251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2022.03.21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MC147202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苏F3U02G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LEFYADH27MT123250</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2022.03.21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MC147315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苏F1U89S</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LEFYADH23MT123259</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2022.03.21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MC147383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苏FG77M0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LEFYADH24MT123237</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2022.03.21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MC147266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苏F9Z95X</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LEFYADH27MT123247</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2022.03.21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MB139064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苏F9X32C</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迪马DMT5047XYCL6-AM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LEFYADH24MT122699</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2022.03.21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MC147126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F68515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宝龙牌</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TBL5048XYC-AMT6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LEFCMDHC7NT103270</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2022.12.20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NA057727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苏F83395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宝龙牌</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TBL5048XYC-AMT6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LEFCMDHC9NT103271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2022.12.20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NA057087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F81776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宝龙牌</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TBL5048XYC-AMT6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LEFCMDHC0NT103272</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2022.12.20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NA057605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苏F68535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华东牌CSZ5040XYC-AMLB6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LEFCMDHC8NT120420</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2023.03.14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NB064047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苏F81786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华东牌CSZ5040XYC-AMLB6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LEFCMDHC0NT120749</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2023.03.14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NC064718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押运车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苏F3321学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宁通</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w:t>
            </w:r>
            <w:r>
              <w:rPr>
                <w:rStyle w:val="33"/>
                <w:rFonts w:hint="eastAsia" w:asciiTheme="minorEastAsia" w:hAnsiTheme="minorEastAsia" w:eastAsiaTheme="minorEastAsia" w:cstheme="minorEastAsia"/>
                <w:bdr w:val="none" w:color="auto" w:sz="0" w:space="0"/>
                <w:lang w:val="en-US" w:eastAsia="zh-CN" w:bidi="ar"/>
              </w:rPr>
              <w:t>ZYTCGD61D1028826</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016.3.28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52238171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苏FE900学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东风牌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w:t>
            </w:r>
            <w:r>
              <w:rPr>
                <w:rStyle w:val="33"/>
                <w:rFonts w:hint="eastAsia" w:asciiTheme="minorEastAsia" w:hAnsiTheme="minorEastAsia" w:eastAsiaTheme="minorEastAsia" w:cstheme="minorEastAsia"/>
                <w:bdr w:val="none" w:color="auto" w:sz="0" w:space="0"/>
                <w:lang w:val="en-US" w:eastAsia="zh-CN" w:bidi="ar"/>
              </w:rPr>
              <w:t>GAW29134HC023645</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018.6.22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F</w:t>
            </w:r>
            <w:r>
              <w:rPr>
                <w:rStyle w:val="33"/>
                <w:rFonts w:hint="eastAsia" w:asciiTheme="minorEastAsia" w:hAnsiTheme="minorEastAsia" w:eastAsiaTheme="minorEastAsia" w:cstheme="minorEastAsia"/>
                <w:bdr w:val="none" w:color="auto" w:sz="0" w:space="0"/>
                <w:lang w:val="en-US" w:eastAsia="zh-CN" w:bidi="ar"/>
              </w:rPr>
              <w:t>GGS7H00655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苏F1932学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大众牌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LFV2A1BS2E4670930</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016.3.04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K71417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苏F1940学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大众牌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LFV2A1BS5F4502796</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016.3.29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K</w:t>
            </w:r>
            <w:r>
              <w:rPr>
                <w:rStyle w:val="33"/>
                <w:rFonts w:hint="eastAsia" w:asciiTheme="minorEastAsia" w:hAnsiTheme="minorEastAsia" w:eastAsiaTheme="minorEastAsia" w:cstheme="minorEastAsia"/>
                <w:bdr w:val="none" w:color="auto" w:sz="0" w:space="0"/>
                <w:lang w:val="en-US" w:eastAsia="zh-CN" w:bidi="ar"/>
              </w:rPr>
              <w:t>88948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苏F7092学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大众牌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LFV2A1BS7F4565611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016.3.4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w:t>
            </w:r>
            <w:r>
              <w:rPr>
                <w:rStyle w:val="33"/>
                <w:rFonts w:hint="eastAsia" w:asciiTheme="minorEastAsia" w:hAnsiTheme="minorEastAsia" w:eastAsiaTheme="minorEastAsia" w:cstheme="minorEastAsia"/>
                <w:bdr w:val="none" w:color="auto" w:sz="0" w:space="0"/>
                <w:lang w:val="en-US" w:eastAsia="zh-CN" w:bidi="ar"/>
              </w:rPr>
              <w:t>74703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苏F7093学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大众牌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LFV2A1BS7F4565785</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016.3.4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w:t>
            </w:r>
            <w:r>
              <w:rPr>
                <w:rStyle w:val="33"/>
                <w:rFonts w:hint="eastAsia" w:asciiTheme="minorEastAsia" w:hAnsiTheme="minorEastAsia" w:eastAsiaTheme="minorEastAsia" w:cstheme="minorEastAsia"/>
                <w:bdr w:val="none" w:color="auto" w:sz="0" w:space="0"/>
                <w:lang w:val="en-US" w:eastAsia="zh-CN" w:bidi="ar"/>
              </w:rPr>
              <w:t>75935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苏F1931学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大众牌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LFV2A1BS4E4670928</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016.3.25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K</w:t>
            </w:r>
            <w:r>
              <w:rPr>
                <w:rStyle w:val="33"/>
                <w:rFonts w:hint="eastAsia" w:asciiTheme="minorEastAsia" w:hAnsiTheme="minorEastAsia" w:eastAsiaTheme="minorEastAsia" w:cstheme="minorEastAsia"/>
                <w:bdr w:val="none" w:color="auto" w:sz="0" w:space="0"/>
                <w:lang w:val="en-US" w:eastAsia="zh-CN" w:bidi="ar"/>
              </w:rPr>
              <w:t>71335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苏F1933学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大众牌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LFV2A1BS3E4682035</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016.3.25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K</w:t>
            </w:r>
            <w:r>
              <w:rPr>
                <w:rStyle w:val="33"/>
                <w:rFonts w:hint="eastAsia" w:asciiTheme="minorEastAsia" w:hAnsiTheme="minorEastAsia" w:eastAsiaTheme="minorEastAsia" w:cstheme="minorEastAsia"/>
                <w:bdr w:val="none" w:color="auto" w:sz="0" w:space="0"/>
                <w:lang w:val="en-US" w:eastAsia="zh-CN" w:bidi="ar"/>
              </w:rPr>
              <w:t>80796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苏F1937学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大众牌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LFV2A1BS7E4681468</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016.3.25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K</w:t>
            </w:r>
            <w:r>
              <w:rPr>
                <w:rStyle w:val="33"/>
                <w:rFonts w:hint="eastAsia" w:asciiTheme="minorEastAsia" w:hAnsiTheme="minorEastAsia" w:eastAsiaTheme="minorEastAsia" w:cstheme="minorEastAsia"/>
                <w:bdr w:val="none" w:color="auto" w:sz="0" w:space="0"/>
                <w:lang w:val="en-US" w:eastAsia="zh-CN" w:bidi="ar"/>
              </w:rPr>
              <w:t>78840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苏F1939学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大众牌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LFV2A1BS9E4681942</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016.5.05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K</w:t>
            </w:r>
            <w:r>
              <w:rPr>
                <w:rStyle w:val="33"/>
                <w:rFonts w:hint="eastAsia" w:asciiTheme="minorEastAsia" w:hAnsiTheme="minorEastAsia" w:eastAsiaTheme="minorEastAsia" w:cstheme="minorEastAsia"/>
                <w:bdr w:val="none" w:color="auto" w:sz="0" w:space="0"/>
                <w:lang w:val="en-US" w:eastAsia="zh-CN" w:bidi="ar"/>
              </w:rPr>
              <w:t>80648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苏F1941学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大众牌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LFV2A1BS9E4682024</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016.5.20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K</w:t>
            </w:r>
            <w:r>
              <w:rPr>
                <w:rStyle w:val="33"/>
                <w:rFonts w:hint="eastAsia" w:asciiTheme="minorEastAsia" w:hAnsiTheme="minorEastAsia" w:eastAsiaTheme="minorEastAsia" w:cstheme="minorEastAsia"/>
                <w:bdr w:val="none" w:color="auto" w:sz="0" w:space="0"/>
                <w:lang w:val="en-US" w:eastAsia="zh-CN" w:bidi="ar"/>
              </w:rPr>
              <w:t>80828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苏F7020学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大众牌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LFV2A1BS9F4041845</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016.3.25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w:t>
            </w:r>
            <w:r>
              <w:rPr>
                <w:rStyle w:val="33"/>
                <w:rFonts w:hint="eastAsia" w:asciiTheme="minorEastAsia" w:hAnsiTheme="minorEastAsia" w:eastAsiaTheme="minorEastAsia" w:cstheme="minorEastAsia"/>
                <w:bdr w:val="none" w:color="auto" w:sz="0" w:space="0"/>
                <w:lang w:val="en-US" w:eastAsia="zh-CN" w:bidi="ar"/>
              </w:rPr>
              <w:t>75989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苏F7028学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大众牌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LFV2A1BS3F4562561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016.3.28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w:t>
            </w:r>
            <w:r>
              <w:rPr>
                <w:rStyle w:val="33"/>
                <w:rFonts w:hint="eastAsia" w:asciiTheme="minorEastAsia" w:hAnsiTheme="minorEastAsia" w:eastAsiaTheme="minorEastAsia" w:cstheme="minorEastAsia"/>
                <w:bdr w:val="none" w:color="auto" w:sz="0" w:space="0"/>
                <w:lang w:val="en-US" w:eastAsia="zh-CN" w:bidi="ar"/>
              </w:rPr>
              <w:t>67526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苏F3786学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大众牌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LFV2A1BS3D4512286</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016.5.20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G</w:t>
            </w:r>
            <w:r>
              <w:rPr>
                <w:rStyle w:val="33"/>
                <w:rFonts w:hint="eastAsia" w:asciiTheme="minorEastAsia" w:hAnsiTheme="minorEastAsia" w:eastAsiaTheme="minorEastAsia" w:cstheme="minorEastAsia"/>
                <w:bdr w:val="none" w:color="auto" w:sz="0" w:space="0"/>
                <w:lang w:val="en-US" w:eastAsia="zh-CN" w:bidi="ar"/>
              </w:rPr>
              <w:t>36472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苏F3789学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大众牌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LFV2A1BS8D4512235</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016.4.13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G</w:t>
            </w:r>
            <w:r>
              <w:rPr>
                <w:rStyle w:val="33"/>
                <w:rFonts w:hint="eastAsia" w:asciiTheme="minorEastAsia" w:hAnsiTheme="minorEastAsia" w:eastAsiaTheme="minorEastAsia" w:cstheme="minorEastAsia"/>
                <w:bdr w:val="none" w:color="auto" w:sz="0" w:space="0"/>
                <w:lang w:val="en-US" w:eastAsia="zh-CN" w:bidi="ar"/>
              </w:rPr>
              <w:t>36591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苏F1930学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大众牌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LFV2A1BS0E4681456</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016.3.25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K</w:t>
            </w:r>
            <w:r>
              <w:rPr>
                <w:rStyle w:val="33"/>
                <w:rFonts w:hint="eastAsia" w:asciiTheme="minorEastAsia" w:hAnsiTheme="minorEastAsia" w:eastAsiaTheme="minorEastAsia" w:cstheme="minorEastAsia"/>
                <w:bdr w:val="none" w:color="auto" w:sz="0" w:space="0"/>
                <w:lang w:val="en-US" w:eastAsia="zh-CN" w:bidi="ar"/>
              </w:rPr>
              <w:t>78919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苏F1935学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大众牌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LFV2A1BS1E4670918</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016.3.25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K</w:t>
            </w:r>
            <w:r>
              <w:rPr>
                <w:rStyle w:val="33"/>
                <w:rFonts w:hint="eastAsia" w:asciiTheme="minorEastAsia" w:hAnsiTheme="minorEastAsia" w:eastAsiaTheme="minorEastAsia" w:cstheme="minorEastAsia"/>
                <w:bdr w:val="none" w:color="auto" w:sz="0" w:space="0"/>
                <w:lang w:val="en-US" w:eastAsia="zh-CN" w:bidi="ar"/>
              </w:rPr>
              <w:t>71427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苏F3501学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大众牌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LFV2A1BS5D4512242</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016.3.4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G</w:t>
            </w:r>
            <w:r>
              <w:rPr>
                <w:rStyle w:val="33"/>
                <w:rFonts w:hint="eastAsia" w:asciiTheme="minorEastAsia" w:hAnsiTheme="minorEastAsia" w:eastAsiaTheme="minorEastAsia" w:cstheme="minorEastAsia"/>
                <w:bdr w:val="none" w:color="auto" w:sz="0" w:space="0"/>
                <w:lang w:val="en-US" w:eastAsia="zh-CN" w:bidi="ar"/>
              </w:rPr>
              <w:t>36589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苏F7038学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大众牌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LFV2A1BS4F4041848</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016.04.1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w:t>
            </w:r>
            <w:r>
              <w:rPr>
                <w:rStyle w:val="33"/>
                <w:rFonts w:hint="eastAsia" w:asciiTheme="minorEastAsia" w:hAnsiTheme="minorEastAsia" w:eastAsiaTheme="minorEastAsia" w:cstheme="minorEastAsia"/>
                <w:bdr w:val="none" w:color="auto" w:sz="0" w:space="0"/>
                <w:lang w:val="en-US" w:eastAsia="zh-CN" w:bidi="ar"/>
              </w:rPr>
              <w:t>75919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苏F1936学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大众牌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LFV2A1BS1E4670921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016.3.25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K</w:t>
            </w:r>
            <w:r>
              <w:rPr>
                <w:rStyle w:val="33"/>
                <w:rFonts w:hint="eastAsia" w:asciiTheme="minorEastAsia" w:hAnsiTheme="minorEastAsia" w:eastAsiaTheme="minorEastAsia" w:cstheme="minorEastAsia"/>
                <w:bdr w:val="none" w:color="auto" w:sz="0" w:space="0"/>
                <w:lang w:val="en-US" w:eastAsia="zh-CN" w:bidi="ar"/>
              </w:rPr>
              <w:t>71418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苏FE935学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捷达牌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LFV2A20M1M4820891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021.9.22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G</w:t>
            </w:r>
            <w:r>
              <w:rPr>
                <w:rStyle w:val="33"/>
                <w:rFonts w:hint="eastAsia" w:asciiTheme="minorEastAsia" w:hAnsiTheme="minorEastAsia" w:eastAsiaTheme="minorEastAsia" w:cstheme="minorEastAsia"/>
                <w:bdr w:val="none" w:color="auto" w:sz="0" w:space="0"/>
                <w:lang w:val="en-US" w:eastAsia="zh-CN" w:bidi="ar"/>
              </w:rPr>
              <w:t>84422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教练车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苏F585Z3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none" w:color="auto" w:sz="0" w:space="0"/>
                <w:lang w:val="en-US" w:eastAsia="zh-CN" w:bidi="ar"/>
              </w:rPr>
              <w:t>大众轿车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w:t>
            </w:r>
            <w:r>
              <w:rPr>
                <w:rStyle w:val="33"/>
                <w:rFonts w:hint="eastAsia" w:asciiTheme="minorEastAsia" w:hAnsiTheme="minorEastAsia" w:eastAsiaTheme="minorEastAsia" w:cstheme="minorEastAsia"/>
                <w:bdr w:val="none" w:color="auto" w:sz="0" w:space="0"/>
                <w:lang w:val="en-US" w:eastAsia="zh-CN" w:bidi="ar"/>
              </w:rPr>
              <w:t>SVCH2A40CN204286</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w:t>
            </w:r>
            <w:r>
              <w:rPr>
                <w:rStyle w:val="33"/>
                <w:rFonts w:hint="eastAsia" w:asciiTheme="minorEastAsia" w:hAnsiTheme="minorEastAsia" w:eastAsiaTheme="minorEastAsia" w:cstheme="minorEastAsia"/>
                <w:bdr w:val="none" w:color="auto" w:sz="0" w:space="0"/>
                <w:lang w:val="en-US" w:eastAsia="zh-CN" w:bidi="ar"/>
              </w:rPr>
              <w:t>017.6.28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T</w:t>
            </w:r>
            <w:r>
              <w:rPr>
                <w:rStyle w:val="33"/>
                <w:rFonts w:hint="eastAsia" w:asciiTheme="minorEastAsia" w:hAnsiTheme="minorEastAsia" w:eastAsiaTheme="minorEastAsia" w:cstheme="minorEastAsia"/>
                <w:bdr w:val="none" w:color="auto" w:sz="0" w:space="0"/>
                <w:lang w:val="en-US" w:eastAsia="zh-CN" w:bidi="ar"/>
              </w:rPr>
              <w:t>43228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公务车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Style w:val="33"/>
                <w:rFonts w:hint="eastAsia" w:asciiTheme="minorEastAsia" w:hAnsiTheme="minorEastAsia" w:eastAsiaTheme="minorEastAsia" w:cstheme="minorEastAsia"/>
                <w:bdr w:val="none" w:color="auto" w:sz="0" w:space="0"/>
                <w:lang w:val="en-US" w:eastAsia="zh-CN" w:bidi="ar"/>
              </w:rPr>
              <w:t>F68829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本田思域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LVHFA1510A5027873</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2010.4.29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5027880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公务车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Style w:val="33"/>
                <w:rFonts w:hint="eastAsia" w:asciiTheme="minorEastAsia" w:hAnsiTheme="minorEastAsia" w:eastAsiaTheme="minorEastAsia" w:cstheme="minorEastAsia"/>
                <w:bdr w:val="none" w:color="auto" w:sz="0" w:space="0"/>
                <w:lang w:val="en-US" w:eastAsia="zh-CN" w:bidi="ar"/>
              </w:rPr>
              <w:t>F77556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东南三菱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LDNHBAPK1A0004086</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2011.3.11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SHL9074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公务车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Style w:val="33"/>
                <w:rFonts w:hint="eastAsia" w:asciiTheme="minorEastAsia" w:hAnsiTheme="minorEastAsia" w:eastAsiaTheme="minorEastAsia" w:cstheme="minorEastAsia"/>
                <w:bdr w:val="none" w:color="auto" w:sz="0" w:space="0"/>
                <w:lang w:val="en-US" w:eastAsia="zh-CN" w:bidi="ar"/>
              </w:rPr>
              <w:t>F7895P</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全顺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LJXCMCCB2ET052401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2014.6.30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E5082666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公务车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Style w:val="33"/>
                <w:rFonts w:hint="eastAsia" w:asciiTheme="minorEastAsia" w:hAnsiTheme="minorEastAsia" w:eastAsiaTheme="minorEastAsia" w:cstheme="minorEastAsia"/>
                <w:bdr w:val="none" w:color="auto" w:sz="0" w:space="0"/>
                <w:lang w:val="en-US" w:eastAsia="zh-CN" w:bidi="ar"/>
              </w:rPr>
              <w:t>F7893P</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全顺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LJXCMCCB4ET052397</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2014.6.30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E5082898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公务车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Style w:val="33"/>
                <w:rFonts w:hint="eastAsia" w:asciiTheme="minorEastAsia" w:hAnsiTheme="minorEastAsia" w:eastAsiaTheme="minorEastAsia" w:cstheme="minorEastAsia"/>
                <w:bdr w:val="none" w:color="auto" w:sz="0" w:space="0"/>
                <w:lang w:val="en-US" w:eastAsia="zh-CN" w:bidi="ar"/>
              </w:rPr>
              <w:t>F83715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丰田凯美瑞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LVGBH42K4BG523536</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2011.12.23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F816034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公务车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Style w:val="33"/>
                <w:rFonts w:hint="eastAsia" w:asciiTheme="minorEastAsia" w:hAnsiTheme="minorEastAsia" w:eastAsiaTheme="minorEastAsia" w:cstheme="minorEastAsia"/>
                <w:bdr w:val="none" w:color="auto" w:sz="0" w:space="0"/>
                <w:lang w:val="en-US" w:eastAsia="zh-CN" w:bidi="ar"/>
              </w:rPr>
              <w:t>F83375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丰田凯美瑞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LVGBH42K4BG505134</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2011.12.23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F777158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公务车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F81198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丰田凯美瑞</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LVGBH42K6BG516278</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2011.12.28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F804425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公务车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F7965N</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别克商务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LSGUA83B5DE061545</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2014.8.25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132470141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公务车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苏</w:t>
            </w:r>
            <w:r>
              <w:rPr>
                <w:rStyle w:val="33"/>
                <w:rFonts w:hint="eastAsia" w:asciiTheme="minorEastAsia" w:hAnsiTheme="minorEastAsia" w:eastAsiaTheme="minorEastAsia" w:cstheme="minorEastAsia"/>
                <w:bdr w:val="none" w:color="auto" w:sz="0" w:space="0"/>
                <w:lang w:val="en-US" w:eastAsia="zh-CN" w:bidi="ar"/>
              </w:rPr>
              <w:t>F68828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本田思域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LVHFA151XA5039061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2010.4.28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bdr w:val="none" w:color="auto" w:sz="0" w:space="0"/>
                <w:lang w:val="en-US" w:eastAsia="zh-CN" w:bidi="ar"/>
              </w:rPr>
              <w:t>5039063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bdr w:val="none" w:color="auto" w:sz="0" w:space="0"/>
                <w:lang w:val="en-US" w:eastAsia="zh-CN" w:bidi="ar"/>
              </w:rPr>
              <w:t>公务车</w:t>
            </w:r>
          </w:p>
        </w:tc>
      </w:tr>
    </w:tbl>
    <w:p>
      <w:pPr>
        <w:spacing w:line="500" w:lineRule="exact"/>
        <w:rPr>
          <w:rFonts w:ascii="宋体" w:hAnsi="宋体" w:cs="仿宋_GB2312"/>
          <w:b/>
          <w:highlight w:val="none"/>
        </w:rPr>
      </w:pPr>
      <w:r>
        <w:rPr>
          <w:rFonts w:hint="eastAsia" w:ascii="宋体" w:hAnsi="宋体" w:cs="仿宋_GB2312"/>
          <w:highlight w:val="none"/>
        </w:rPr>
        <w:t>注：</w:t>
      </w:r>
      <w:r>
        <w:rPr>
          <w:rFonts w:hint="eastAsia" w:ascii="宋体" w:hAnsi="宋体" w:cs="仿宋_GB2312"/>
          <w:b/>
          <w:highlight w:val="none"/>
        </w:rPr>
        <w:t>若项目在服务期间车辆发生增减则应按照实际数量进行保险服务，最终结算金额按照实际发生的保费结算。</w:t>
      </w:r>
    </w:p>
    <w:p>
      <w:pPr>
        <w:pStyle w:val="2"/>
        <w:sectPr>
          <w:pgSz w:w="16838" w:h="11906" w:orient="landscape"/>
          <w:pgMar w:top="1587" w:right="2098" w:bottom="1587" w:left="1984" w:header="851" w:footer="992" w:gutter="0"/>
          <w:cols w:space="0" w:num="1"/>
          <w:docGrid w:type="lines" w:linePitch="323" w:charSpace="0"/>
        </w:sectPr>
      </w:pPr>
    </w:p>
    <w:p/>
    <w:p>
      <w:pPr>
        <w:spacing w:line="360" w:lineRule="auto"/>
        <w:ind w:firstLine="482" w:firstLineChars="200"/>
        <w:rPr>
          <w:rFonts w:ascii="宋体" w:hAnsi="宋体"/>
          <w:b/>
          <w:sz w:val="24"/>
          <w:shd w:val="clear" w:color="auto" w:fill="FFFFFF"/>
        </w:rPr>
      </w:pPr>
      <w:r>
        <w:rPr>
          <w:rFonts w:hint="eastAsia" w:ascii="宋体" w:hAnsi="宋体"/>
          <w:b/>
          <w:bCs/>
          <w:sz w:val="24"/>
          <w:shd w:val="clear" w:color="auto" w:fill="FFFFFF"/>
        </w:rPr>
        <w:t>3.3保险金额和赔偿限额：</w:t>
      </w:r>
      <w:r>
        <w:rPr>
          <w:rFonts w:hint="eastAsia" w:ascii="宋体" w:hAnsi="宋体"/>
          <w:sz w:val="24"/>
          <w:shd w:val="clear" w:color="auto" w:fill="FFFFFF"/>
        </w:rPr>
        <w:t>车辆损失险的保险金额严格按车辆实际价值确定。新车购置价以江苏省机动车辆保险价格库（以下简称车价库）中显示的不含购置税的“新车价”为标准，不得下浮。承保车辆型号必须与车价库中查询的车辆型号保持一致(进口车除外)。年度中新增车辆的车辆损失险的保险金额按新车购置价确定（不含车辆购置附加费）。</w:t>
      </w:r>
    </w:p>
    <w:p>
      <w:pPr>
        <w:spacing w:line="360" w:lineRule="auto"/>
        <w:ind w:firstLine="482" w:firstLineChars="200"/>
        <w:rPr>
          <w:rFonts w:ascii="宋体" w:hAnsi="宋体"/>
          <w:sz w:val="24"/>
        </w:rPr>
      </w:pPr>
      <w:r>
        <w:rPr>
          <w:rFonts w:hint="eastAsia" w:ascii="宋体" w:hAnsi="宋体"/>
          <w:b/>
          <w:bCs/>
          <w:sz w:val="24"/>
          <w:shd w:val="clear" w:color="auto" w:fill="FFFFFF"/>
        </w:rPr>
        <w:t>（四）保险期限：</w:t>
      </w:r>
      <w:r>
        <w:rPr>
          <w:rFonts w:hint="eastAsia" w:ascii="宋体" w:hAnsi="宋体"/>
          <w:sz w:val="24"/>
        </w:rPr>
        <w:t>一年，具体以招标人要求为准。</w:t>
      </w:r>
    </w:p>
    <w:p>
      <w:pPr>
        <w:adjustRightInd w:val="0"/>
        <w:snapToGrid w:val="0"/>
        <w:spacing w:line="360" w:lineRule="auto"/>
        <w:ind w:firstLine="482" w:firstLineChars="200"/>
        <w:rPr>
          <w:rFonts w:ascii="宋体" w:hAnsi="宋体"/>
          <w:b/>
          <w:sz w:val="24"/>
        </w:rPr>
      </w:pPr>
      <w:r>
        <w:rPr>
          <w:rFonts w:hint="eastAsia" w:ascii="宋体" w:hAnsi="宋体"/>
          <w:b/>
          <w:sz w:val="24"/>
        </w:rPr>
        <w:t>（五）服务要求：</w:t>
      </w:r>
    </w:p>
    <w:p>
      <w:pPr>
        <w:spacing w:line="360" w:lineRule="auto"/>
        <w:ind w:firstLine="482" w:firstLineChars="200"/>
        <w:rPr>
          <w:rFonts w:ascii="宋体" w:hAnsi="宋体"/>
          <w:b/>
          <w:sz w:val="24"/>
        </w:rPr>
      </w:pPr>
      <w:r>
        <w:rPr>
          <w:rFonts w:hint="eastAsia" w:ascii="宋体" w:hAnsi="宋体"/>
          <w:b/>
          <w:sz w:val="24"/>
        </w:rPr>
        <w:t>1、承保服务</w:t>
      </w:r>
    </w:p>
    <w:p>
      <w:pPr>
        <w:spacing w:line="360" w:lineRule="auto"/>
        <w:ind w:firstLine="482" w:firstLineChars="200"/>
        <w:rPr>
          <w:rFonts w:ascii="宋体" w:hAnsi="宋体"/>
          <w:b/>
          <w:sz w:val="24"/>
        </w:rPr>
      </w:pPr>
      <w:r>
        <w:rPr>
          <w:rFonts w:hint="eastAsia" w:ascii="宋体" w:hAnsi="宋体"/>
          <w:b/>
          <w:sz w:val="24"/>
        </w:rPr>
        <w:t>1.1、承保服务工作计划；</w:t>
      </w:r>
    </w:p>
    <w:p>
      <w:pPr>
        <w:spacing w:line="360" w:lineRule="auto"/>
        <w:ind w:firstLine="482" w:firstLineChars="200"/>
        <w:rPr>
          <w:rFonts w:ascii="宋体" w:hAnsi="宋体"/>
          <w:sz w:val="24"/>
        </w:rPr>
      </w:pPr>
      <w:r>
        <w:rPr>
          <w:rFonts w:hint="eastAsia" w:ascii="宋体" w:hAnsi="宋体"/>
          <w:b/>
          <w:sz w:val="24"/>
        </w:rPr>
        <w:t>1.2</w:t>
      </w:r>
      <w:r>
        <w:rPr>
          <w:rFonts w:hint="eastAsia" w:ascii="宋体" w:hAnsi="宋体"/>
          <w:sz w:val="24"/>
        </w:rPr>
        <w:t>、针对本项目成立健全的专门服务小组，分管领导亲自负责，分工明确（应有具体成员名单，包括姓名、所在公司、职务、职称、工作职责、联系方式等）；</w:t>
      </w:r>
    </w:p>
    <w:p>
      <w:pPr>
        <w:spacing w:line="360" w:lineRule="auto"/>
        <w:ind w:firstLine="480" w:firstLineChars="200"/>
        <w:rPr>
          <w:rFonts w:ascii="宋体" w:hAnsi="宋体"/>
          <w:sz w:val="24"/>
        </w:rPr>
      </w:pPr>
      <w:r>
        <w:rPr>
          <w:rFonts w:hint="eastAsia" w:ascii="宋体" w:hAnsi="宋体"/>
          <w:sz w:val="24"/>
        </w:rPr>
        <w:t>1.3、服务小组工作成员能保证随叫随到、主动上门办理投保、承保手续，保证被保险单位获得优先服务的权利；</w:t>
      </w:r>
    </w:p>
    <w:p>
      <w:pPr>
        <w:spacing w:line="360" w:lineRule="auto"/>
        <w:ind w:firstLine="480" w:firstLineChars="200"/>
        <w:rPr>
          <w:rFonts w:ascii="宋体" w:hAnsi="宋体"/>
          <w:sz w:val="24"/>
        </w:rPr>
      </w:pPr>
      <w:r>
        <w:rPr>
          <w:rFonts w:hint="eastAsia" w:ascii="宋体" w:hAnsi="宋体"/>
          <w:sz w:val="24"/>
        </w:rPr>
        <w:t>1.4、承诺在24小时内出立正式保险单、提供保险卡；</w:t>
      </w:r>
    </w:p>
    <w:p>
      <w:pPr>
        <w:spacing w:line="360" w:lineRule="auto"/>
        <w:ind w:firstLine="480" w:firstLineChars="200"/>
        <w:rPr>
          <w:rFonts w:ascii="宋体" w:hAnsi="宋体"/>
          <w:sz w:val="24"/>
        </w:rPr>
      </w:pPr>
      <w:r>
        <w:rPr>
          <w:rFonts w:hint="eastAsia" w:ascii="宋体" w:hAnsi="宋体"/>
          <w:sz w:val="24"/>
        </w:rPr>
        <w:t>1.5、有客户回访安排；</w:t>
      </w:r>
    </w:p>
    <w:p>
      <w:pPr>
        <w:spacing w:line="360" w:lineRule="auto"/>
        <w:ind w:firstLine="480" w:firstLineChars="200"/>
        <w:rPr>
          <w:rFonts w:ascii="宋体" w:hAnsi="宋体"/>
          <w:sz w:val="24"/>
        </w:rPr>
      </w:pPr>
      <w:r>
        <w:rPr>
          <w:rFonts w:hint="eastAsia" w:ascii="宋体" w:hAnsi="宋体"/>
          <w:sz w:val="24"/>
        </w:rPr>
        <w:t>1.6、设有24小时热线客户咨询服务、投诉举报电话，有专人接听记录、受理；</w:t>
      </w:r>
    </w:p>
    <w:p>
      <w:pPr>
        <w:spacing w:line="360" w:lineRule="auto"/>
        <w:ind w:firstLine="480" w:firstLineChars="200"/>
        <w:rPr>
          <w:rFonts w:ascii="宋体" w:hAnsi="宋体"/>
          <w:sz w:val="24"/>
        </w:rPr>
      </w:pPr>
      <w:r>
        <w:rPr>
          <w:rFonts w:hint="eastAsia" w:ascii="宋体" w:hAnsi="宋体"/>
          <w:sz w:val="24"/>
        </w:rPr>
        <w:t>1.7、有服务保障措施，如对服务态度、服务质量较差的业务人员有具体处罚办法。</w:t>
      </w:r>
    </w:p>
    <w:p>
      <w:pPr>
        <w:spacing w:line="360" w:lineRule="auto"/>
        <w:ind w:firstLine="482" w:firstLineChars="200"/>
        <w:rPr>
          <w:rFonts w:ascii="宋体" w:hAnsi="宋体"/>
          <w:b/>
          <w:sz w:val="24"/>
        </w:rPr>
      </w:pPr>
      <w:r>
        <w:rPr>
          <w:rFonts w:hint="eastAsia" w:ascii="宋体" w:hAnsi="宋体"/>
          <w:b/>
          <w:sz w:val="24"/>
        </w:rPr>
        <w:t>2、理赔服务</w:t>
      </w:r>
    </w:p>
    <w:p>
      <w:pPr>
        <w:spacing w:line="360" w:lineRule="auto"/>
        <w:ind w:firstLine="480" w:firstLineChars="200"/>
        <w:rPr>
          <w:rFonts w:ascii="宋体" w:hAnsi="宋体"/>
          <w:sz w:val="24"/>
        </w:rPr>
      </w:pPr>
      <w:r>
        <w:rPr>
          <w:rFonts w:hint="eastAsia" w:ascii="宋体" w:hAnsi="宋体"/>
          <w:sz w:val="24"/>
        </w:rPr>
        <w:t>2.1、针对本项目理赔服务成立专门的服务小组，分管领导亲自负责（应有具体成员名单，包括姓名、所在公司、职务、职称、工作职责、联系方式等）；</w:t>
      </w:r>
    </w:p>
    <w:p>
      <w:pPr>
        <w:spacing w:line="360" w:lineRule="auto"/>
        <w:ind w:firstLine="480" w:firstLineChars="200"/>
        <w:rPr>
          <w:rFonts w:ascii="宋体" w:hAnsi="宋体"/>
          <w:sz w:val="24"/>
        </w:rPr>
      </w:pPr>
      <w:r>
        <w:rPr>
          <w:rFonts w:hint="eastAsia" w:ascii="宋体" w:hAnsi="宋体"/>
          <w:sz w:val="24"/>
        </w:rPr>
        <w:t>2.2、设有24小时报案、理赔服务电话，并保证随时有专人接听，受理索赔接报案；</w:t>
      </w:r>
    </w:p>
    <w:p>
      <w:pPr>
        <w:spacing w:line="360" w:lineRule="auto"/>
        <w:ind w:firstLine="480" w:firstLineChars="200"/>
        <w:rPr>
          <w:rFonts w:ascii="宋体" w:hAnsi="宋体"/>
          <w:sz w:val="24"/>
        </w:rPr>
      </w:pPr>
      <w:r>
        <w:rPr>
          <w:rFonts w:hint="eastAsia" w:ascii="宋体" w:hAnsi="宋体"/>
          <w:sz w:val="24"/>
        </w:rPr>
        <w:t>2.3、在接到被保险单位的出险报案后，南通市内理赔人员应于2小时内赶到报案现场、江苏省内其他市县应于24小时内赶到报案现场；被保险车辆在省外发生保险事故后，能通过当地本系统保险机构提供异地代查勘、代理赔服务，快速处理、赔付结案；</w:t>
      </w:r>
    </w:p>
    <w:p>
      <w:pPr>
        <w:spacing w:line="360" w:lineRule="auto"/>
        <w:ind w:firstLine="480" w:firstLineChars="200"/>
        <w:rPr>
          <w:rFonts w:ascii="宋体" w:hAnsi="宋体"/>
          <w:sz w:val="24"/>
        </w:rPr>
      </w:pPr>
      <w:r>
        <w:rPr>
          <w:rFonts w:hint="eastAsia" w:ascii="宋体" w:hAnsi="宋体"/>
          <w:sz w:val="24"/>
        </w:rPr>
        <w:t>2.4、有专人指导被保险单位全程办理相关的索赔手续；</w:t>
      </w:r>
    </w:p>
    <w:p>
      <w:pPr>
        <w:spacing w:line="360" w:lineRule="auto"/>
        <w:ind w:firstLine="480" w:firstLineChars="200"/>
        <w:rPr>
          <w:rFonts w:ascii="宋体" w:hAnsi="宋体"/>
          <w:sz w:val="24"/>
        </w:rPr>
      </w:pPr>
      <w:r>
        <w:rPr>
          <w:rFonts w:hint="eastAsia" w:ascii="宋体" w:hAnsi="宋体"/>
          <w:sz w:val="24"/>
        </w:rPr>
        <w:t>2.5、南通市内出险的受损车辆的修理，在双方共同认可的资质合格的修理厂或专修厂修理；</w:t>
      </w:r>
    </w:p>
    <w:p>
      <w:pPr>
        <w:spacing w:line="360" w:lineRule="auto"/>
        <w:ind w:firstLine="480" w:firstLineChars="200"/>
        <w:rPr>
          <w:rFonts w:ascii="宋体" w:hAnsi="宋体"/>
          <w:sz w:val="24"/>
        </w:rPr>
      </w:pPr>
      <w:r>
        <w:rPr>
          <w:rFonts w:hint="eastAsia" w:ascii="宋体" w:hAnsi="宋体"/>
          <w:sz w:val="24"/>
        </w:rPr>
        <w:t>2.6、在出险车辆进行定损、修理时，承诺对配件价格实行现场报价，并保证配件为正厂配件，且在对个别配件报价金额上若三方（指被保险单位、保险公司、汽车修理厂家）有分歧的，承诺以当地市场价格为准或由保险公司在三个工作日内提供正厂配件；修理工时费用以市场价格、物价部门、交通部门的价格为依据；</w:t>
      </w:r>
    </w:p>
    <w:p>
      <w:pPr>
        <w:spacing w:line="360" w:lineRule="auto"/>
        <w:ind w:firstLine="480" w:firstLineChars="200"/>
        <w:rPr>
          <w:rFonts w:ascii="宋体" w:hAnsi="宋体"/>
          <w:sz w:val="24"/>
        </w:rPr>
      </w:pPr>
      <w:r>
        <w:rPr>
          <w:rFonts w:hint="eastAsia" w:ascii="宋体" w:hAnsi="宋体"/>
          <w:sz w:val="24"/>
        </w:rPr>
        <w:t>2.7、订有“机动车辆简易赔案现场赔付处理办法”；</w:t>
      </w:r>
    </w:p>
    <w:p>
      <w:pPr>
        <w:spacing w:line="360" w:lineRule="auto"/>
        <w:ind w:firstLine="480" w:firstLineChars="200"/>
        <w:rPr>
          <w:rFonts w:ascii="宋体" w:hAnsi="宋体"/>
          <w:sz w:val="24"/>
        </w:rPr>
      </w:pPr>
      <w:r>
        <w:rPr>
          <w:rFonts w:hint="eastAsia" w:ascii="宋体" w:hAnsi="宋体"/>
          <w:sz w:val="24"/>
        </w:rPr>
        <w:t>2.8、对于重大事故或因特殊原因不能按期结案的，经车属单位申请，保险责任相对明确，保险公司应能提供初步能确定的损失金额的50％预付赔款。</w:t>
      </w:r>
    </w:p>
    <w:p>
      <w:pPr>
        <w:spacing w:line="360" w:lineRule="auto"/>
        <w:ind w:firstLine="482" w:firstLineChars="200"/>
        <w:rPr>
          <w:rFonts w:ascii="宋体" w:hAnsi="宋体"/>
          <w:b/>
          <w:sz w:val="24"/>
        </w:rPr>
      </w:pPr>
      <w:r>
        <w:rPr>
          <w:rFonts w:hint="eastAsia" w:ascii="宋体" w:hAnsi="宋体"/>
          <w:b/>
          <w:sz w:val="24"/>
        </w:rPr>
        <w:t>3、培训和防灾防损服务</w:t>
      </w:r>
    </w:p>
    <w:p>
      <w:pPr>
        <w:spacing w:line="360" w:lineRule="auto"/>
        <w:ind w:firstLine="480" w:firstLineChars="200"/>
        <w:rPr>
          <w:rFonts w:ascii="宋体" w:hAnsi="宋体"/>
          <w:sz w:val="24"/>
        </w:rPr>
      </w:pPr>
      <w:r>
        <w:rPr>
          <w:rFonts w:hint="eastAsia" w:ascii="宋体" w:hAnsi="宋体"/>
          <w:sz w:val="24"/>
        </w:rPr>
        <w:t>3.1、承诺配合集中采购机构于合同期限内统一对被保险人进行1-2次培训，培训发生的所有费用自行承担。</w:t>
      </w:r>
    </w:p>
    <w:p>
      <w:pPr>
        <w:spacing w:line="360" w:lineRule="auto"/>
        <w:ind w:firstLine="480" w:firstLineChars="200"/>
        <w:rPr>
          <w:rFonts w:ascii="宋体" w:hAnsi="宋体"/>
          <w:sz w:val="24"/>
        </w:rPr>
      </w:pPr>
      <w:r>
        <w:rPr>
          <w:rFonts w:hint="eastAsia" w:ascii="宋体" w:hAnsi="宋体"/>
          <w:sz w:val="24"/>
        </w:rPr>
        <w:t>3.2、培训内容、日程计划安排（每年至少对在本公司投保的所有单位进行集中培训2次。）</w:t>
      </w:r>
    </w:p>
    <w:p>
      <w:pPr>
        <w:spacing w:line="360" w:lineRule="auto"/>
        <w:ind w:firstLine="480" w:firstLineChars="200"/>
        <w:rPr>
          <w:rFonts w:ascii="宋体" w:hAnsi="宋体"/>
          <w:sz w:val="24"/>
        </w:rPr>
      </w:pPr>
      <w:r>
        <w:rPr>
          <w:rFonts w:hint="eastAsia" w:ascii="宋体" w:hAnsi="宋体"/>
          <w:sz w:val="24"/>
        </w:rPr>
        <w:t>3.3、承诺与被保险单位共同开展防灾防损活动，配合被保险单位举办驾驶人员安全教育及表彰活动，合理支付防灾安全宣传费用。</w:t>
      </w:r>
    </w:p>
    <w:p>
      <w:pPr>
        <w:spacing w:line="360" w:lineRule="auto"/>
        <w:ind w:firstLine="482" w:firstLineChars="200"/>
        <w:rPr>
          <w:rFonts w:ascii="宋体" w:hAnsi="宋体"/>
          <w:b/>
          <w:sz w:val="24"/>
        </w:rPr>
      </w:pPr>
      <w:r>
        <w:rPr>
          <w:rFonts w:hint="eastAsia" w:ascii="宋体" w:hAnsi="宋体"/>
          <w:b/>
          <w:sz w:val="24"/>
        </w:rPr>
        <w:t>4、业务管理</w:t>
      </w:r>
    </w:p>
    <w:p>
      <w:pPr>
        <w:spacing w:line="360" w:lineRule="auto"/>
        <w:ind w:firstLine="480" w:firstLineChars="200"/>
        <w:rPr>
          <w:rFonts w:ascii="宋体" w:hAnsi="宋体"/>
          <w:sz w:val="24"/>
        </w:rPr>
      </w:pPr>
      <w:r>
        <w:rPr>
          <w:rFonts w:hint="eastAsia" w:ascii="宋体" w:hAnsi="宋体"/>
          <w:sz w:val="24"/>
        </w:rPr>
        <w:t>4.1、根据要求及时报送《公务车保险承保明细（情况）汇总表》；《公务车保险赔款情况汇总表》，承诺统计填报的承保情况数据资料准确、完整，无隐瞒；</w:t>
      </w:r>
    </w:p>
    <w:p>
      <w:pPr>
        <w:spacing w:line="360" w:lineRule="auto"/>
        <w:ind w:firstLine="480" w:firstLineChars="200"/>
        <w:rPr>
          <w:rFonts w:ascii="宋体" w:hAnsi="宋体"/>
          <w:sz w:val="24"/>
        </w:rPr>
      </w:pPr>
      <w:r>
        <w:rPr>
          <w:rFonts w:hint="eastAsia" w:ascii="宋体" w:hAnsi="宋体"/>
          <w:sz w:val="24"/>
        </w:rPr>
        <w:t>4.2、承诺对承保的车辆建立专门的车险档案，实行专户管理，开展跟踪服务；</w:t>
      </w:r>
    </w:p>
    <w:p>
      <w:pPr>
        <w:spacing w:line="360" w:lineRule="auto"/>
        <w:ind w:firstLine="480" w:firstLineChars="200"/>
        <w:rPr>
          <w:rFonts w:ascii="宋体" w:hAnsi="宋体"/>
          <w:sz w:val="24"/>
        </w:rPr>
      </w:pPr>
      <w:r>
        <w:rPr>
          <w:rFonts w:hint="eastAsia" w:ascii="宋体" w:hAnsi="宋体"/>
          <w:sz w:val="24"/>
        </w:rPr>
        <w:t>4.3、实现机动车辆保险业务全国各地联网，实现案件全国通赔或者异地理赔服务；</w:t>
      </w:r>
    </w:p>
    <w:p>
      <w:pPr>
        <w:spacing w:line="400" w:lineRule="exact"/>
        <w:ind w:firstLine="480" w:firstLineChars="200"/>
        <w:rPr>
          <w:rFonts w:ascii="宋体" w:hAnsi="宋体"/>
          <w:sz w:val="24"/>
        </w:rPr>
      </w:pPr>
      <w:r>
        <w:rPr>
          <w:rFonts w:hint="eastAsia" w:ascii="宋体" w:hAnsi="宋体"/>
          <w:sz w:val="24"/>
        </w:rPr>
        <w:t>4.4、承诺对于承保的机动车辆，在保单正副本上和录入机动车辆保险微机处理系统时，加注特别代码，以与其承保的其他车辆相区别，便于对有关数据的调阅。</w:t>
      </w:r>
    </w:p>
    <w:p>
      <w:pPr>
        <w:spacing w:line="400" w:lineRule="exact"/>
        <w:ind w:firstLine="482" w:firstLineChars="200"/>
        <w:rPr>
          <w:rFonts w:ascii="宋体" w:hAnsi="宋体"/>
          <w:sz w:val="24"/>
        </w:rPr>
      </w:pPr>
      <w:r>
        <w:rPr>
          <w:rFonts w:hint="eastAsia" w:ascii="宋体" w:hAnsi="宋体"/>
          <w:b/>
          <w:sz w:val="24"/>
        </w:rPr>
        <w:t>5、保险条款及费率、费率浮动因素及优惠比例</w:t>
      </w:r>
    </w:p>
    <w:p>
      <w:pPr>
        <w:spacing w:line="400" w:lineRule="exact"/>
        <w:ind w:firstLine="480" w:firstLineChars="200"/>
        <w:rPr>
          <w:rFonts w:ascii="宋体" w:hAnsi="宋体"/>
          <w:sz w:val="24"/>
        </w:rPr>
      </w:pPr>
      <w:r>
        <w:rPr>
          <w:rFonts w:hint="eastAsia" w:ascii="宋体" w:hAnsi="宋体"/>
          <w:sz w:val="24"/>
        </w:rPr>
        <w:t>5.1、应遵照中国保险监督管理委员会批准执行的条款和费率提供服务和计收保险费用。</w:t>
      </w:r>
    </w:p>
    <w:p>
      <w:pPr>
        <w:spacing w:line="400" w:lineRule="exact"/>
        <w:ind w:firstLine="480" w:firstLineChars="200"/>
        <w:rPr>
          <w:rFonts w:ascii="宋体" w:hAnsi="宋体"/>
          <w:sz w:val="24"/>
        </w:rPr>
      </w:pPr>
      <w:r>
        <w:rPr>
          <w:rFonts w:hint="eastAsia" w:ascii="宋体" w:hAnsi="宋体"/>
          <w:sz w:val="24"/>
        </w:rPr>
        <w:t>5.2、费率浮动因素由供应商按条款、费率依各被保险单位投保车辆情况等确定相应的保费浮动比例，适用于相应的险种，并计算各险种的标准保费。</w:t>
      </w:r>
    </w:p>
    <w:p>
      <w:pPr>
        <w:spacing w:line="400" w:lineRule="exact"/>
        <w:ind w:firstLine="482" w:firstLineChars="200"/>
        <w:rPr>
          <w:rFonts w:ascii="宋体" w:hAnsi="宋体"/>
          <w:b/>
          <w:sz w:val="24"/>
        </w:rPr>
      </w:pPr>
      <w:r>
        <w:rPr>
          <w:rFonts w:hint="eastAsia" w:ascii="宋体" w:hAnsi="宋体"/>
          <w:b/>
          <w:sz w:val="24"/>
        </w:rPr>
        <w:t>（六）</w:t>
      </w:r>
      <w:r>
        <w:rPr>
          <w:rFonts w:hint="eastAsia" w:ascii="宋体" w:hAnsi="宋体"/>
          <w:b/>
          <w:bCs/>
          <w:sz w:val="24"/>
        </w:rPr>
        <w:t>报价要求</w:t>
      </w:r>
    </w:p>
    <w:p>
      <w:pPr>
        <w:spacing w:line="400" w:lineRule="exact"/>
        <w:ind w:firstLine="480" w:firstLineChars="200"/>
        <w:rPr>
          <w:rFonts w:ascii="宋体" w:hAnsi="宋体"/>
          <w:sz w:val="24"/>
        </w:rPr>
      </w:pPr>
      <w:r>
        <w:rPr>
          <w:rFonts w:hint="eastAsia" w:ascii="宋体" w:hAnsi="宋体"/>
          <w:sz w:val="24"/>
        </w:rPr>
        <w:t xml:space="preserve">1.1、每辆车的保险费计算应按照保监会制定的费率规章中的保险费计算得出。   </w:t>
      </w:r>
    </w:p>
    <w:p>
      <w:pPr>
        <w:spacing w:line="360" w:lineRule="auto"/>
        <w:ind w:firstLine="480" w:firstLineChars="200"/>
        <w:rPr>
          <w:rFonts w:ascii="宋体" w:hAnsi="宋体"/>
          <w:color w:val="FF0000"/>
          <w:sz w:val="24"/>
        </w:rPr>
      </w:pPr>
      <w:r>
        <w:rPr>
          <w:rFonts w:hint="eastAsia" w:ascii="宋体" w:hAnsi="宋体"/>
          <w:sz w:val="24"/>
        </w:rPr>
        <w:t>1.2、对每种车型的保险费计算必须准确无误，任何计算错误都将可能影响供应商的成交机会，其后果自负。</w:t>
      </w:r>
    </w:p>
    <w:p>
      <w:pPr>
        <w:widowControl/>
        <w:spacing w:line="520" w:lineRule="exact"/>
        <w:ind w:firstLine="482"/>
        <w:contextualSpacing/>
        <w:jc w:val="left"/>
        <w:rPr>
          <w:rFonts w:ascii="宋体" w:hAnsi="宋体"/>
          <w:sz w:val="24"/>
        </w:rPr>
      </w:pPr>
    </w:p>
    <w:p>
      <w:pPr>
        <w:adjustRightInd w:val="0"/>
        <w:snapToGrid w:val="0"/>
        <w:spacing w:beforeLines="50" w:afterLines="50" w:line="360" w:lineRule="auto"/>
        <w:ind w:firstLine="2249" w:firstLineChars="700"/>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adjustRightInd w:val="0"/>
        <w:snapToGrid w:val="0"/>
        <w:spacing w:beforeLines="50" w:afterLines="50" w:line="360" w:lineRule="auto"/>
        <w:ind w:firstLine="2249" w:firstLineChars="700"/>
        <w:rPr>
          <w:rFonts w:ascii="宋体" w:hAnsi="宋体"/>
          <w:b/>
          <w:bCs/>
          <w:sz w:val="32"/>
          <w:szCs w:val="32"/>
        </w:rPr>
      </w:pPr>
      <w:r>
        <w:rPr>
          <w:rFonts w:hint="eastAsia" w:ascii="宋体" w:hAnsi="宋体"/>
          <w:b/>
          <w:bCs/>
          <w:sz w:val="32"/>
          <w:szCs w:val="32"/>
        </w:rPr>
        <w:t>第三章  评标办法（综合评分法）</w:t>
      </w:r>
    </w:p>
    <w:p>
      <w:pPr>
        <w:adjustRightInd w:val="0"/>
        <w:snapToGrid w:val="0"/>
        <w:spacing w:line="360" w:lineRule="auto"/>
        <w:ind w:firstLine="482" w:firstLineChars="200"/>
        <w:rPr>
          <w:rFonts w:ascii="宋体" w:hAnsi="宋体"/>
          <w:b/>
          <w:bCs/>
          <w:sz w:val="24"/>
        </w:rPr>
      </w:pPr>
      <w:r>
        <w:rPr>
          <w:rFonts w:hint="eastAsia" w:ascii="宋体" w:hAnsi="宋体"/>
          <w:b/>
          <w:bCs/>
          <w:sz w:val="24"/>
        </w:rPr>
        <w:t>第一条  评标原则</w:t>
      </w:r>
    </w:p>
    <w:p>
      <w:pPr>
        <w:pStyle w:val="9"/>
        <w:adjustRightInd w:val="0"/>
        <w:snapToGrid w:val="0"/>
        <w:ind w:firstLine="480" w:firstLineChars="200"/>
        <w:rPr>
          <w:rFonts w:hAnsi="宋体"/>
          <w:kern w:val="2"/>
          <w:szCs w:val="24"/>
        </w:rPr>
      </w:pPr>
      <w:r>
        <w:rPr>
          <w:rFonts w:hint="eastAsia" w:hAnsi="宋体"/>
          <w:kern w:val="2"/>
          <w:szCs w:val="24"/>
        </w:rPr>
        <w:t>1、符合资格的投标人数量不少于三个时，进入评选程序，不足三家的本项目流选。</w:t>
      </w:r>
    </w:p>
    <w:p>
      <w:pPr>
        <w:pStyle w:val="9"/>
        <w:adjustRightInd w:val="0"/>
        <w:snapToGrid w:val="0"/>
        <w:ind w:firstLine="480" w:firstLineChars="200"/>
        <w:rPr>
          <w:rFonts w:hAnsi="宋体"/>
          <w:kern w:val="2"/>
          <w:szCs w:val="24"/>
        </w:rPr>
      </w:pPr>
      <w:r>
        <w:rPr>
          <w:rFonts w:hint="eastAsia" w:hAnsi="宋体"/>
          <w:kern w:val="2"/>
          <w:szCs w:val="24"/>
        </w:rPr>
        <w:t>2、投标人资格同时审查，资格审查未通过的，不再对其后续文件进行评审。</w:t>
      </w:r>
    </w:p>
    <w:p>
      <w:pPr>
        <w:pStyle w:val="9"/>
        <w:adjustRightInd w:val="0"/>
        <w:snapToGrid w:val="0"/>
        <w:ind w:firstLine="480" w:firstLineChars="200"/>
        <w:rPr>
          <w:rFonts w:hAnsi="宋体"/>
          <w:kern w:val="2"/>
          <w:szCs w:val="24"/>
        </w:rPr>
      </w:pPr>
      <w:r>
        <w:rPr>
          <w:rFonts w:hint="eastAsia" w:hAnsi="宋体"/>
          <w:kern w:val="2"/>
          <w:szCs w:val="24"/>
        </w:rPr>
        <w:t>3、本项目投标报价以一次性报价为准。</w:t>
      </w:r>
    </w:p>
    <w:p>
      <w:pPr>
        <w:pStyle w:val="9"/>
        <w:adjustRightInd w:val="0"/>
        <w:snapToGrid w:val="0"/>
        <w:ind w:firstLine="480" w:firstLineChars="200"/>
        <w:rPr>
          <w:rFonts w:hAnsi="宋体"/>
          <w:kern w:val="2"/>
          <w:szCs w:val="24"/>
        </w:rPr>
      </w:pPr>
      <w:r>
        <w:rPr>
          <w:rFonts w:hint="eastAsia" w:hAnsi="宋体"/>
          <w:kern w:val="2"/>
          <w:szCs w:val="24"/>
        </w:rPr>
        <w:t>4、投标人提供的资料必须真实有效，评委在评审中如发现有弄虚作假行为，按无效投标文件处理，骗取中标的，将取消其中标资格。</w:t>
      </w:r>
    </w:p>
    <w:p>
      <w:pPr>
        <w:pStyle w:val="9"/>
        <w:adjustRightInd w:val="0"/>
        <w:snapToGrid w:val="0"/>
        <w:ind w:firstLine="480" w:firstLineChars="200"/>
        <w:rPr>
          <w:rFonts w:hAnsi="宋体"/>
          <w:kern w:val="2"/>
          <w:szCs w:val="24"/>
        </w:rPr>
      </w:pPr>
      <w:r>
        <w:rPr>
          <w:rFonts w:hint="eastAsia" w:hAnsi="宋体"/>
          <w:kern w:val="2"/>
          <w:szCs w:val="24"/>
        </w:rPr>
        <w:t>5、如第一中标候选人放弃中标资格的或者被取消中标资格的，则确定综合得分第二名的投标人为中标候选人，以此类推。</w:t>
      </w:r>
    </w:p>
    <w:p>
      <w:pPr>
        <w:adjustRightInd w:val="0"/>
        <w:snapToGrid w:val="0"/>
        <w:spacing w:line="360" w:lineRule="auto"/>
        <w:ind w:firstLine="482" w:firstLineChars="200"/>
        <w:rPr>
          <w:rFonts w:ascii="宋体" w:hAnsi="宋体"/>
          <w:b/>
          <w:bCs/>
          <w:sz w:val="24"/>
        </w:rPr>
      </w:pPr>
      <w:r>
        <w:rPr>
          <w:rFonts w:hint="eastAsia" w:ascii="宋体" w:hAnsi="宋体"/>
          <w:b/>
          <w:bCs/>
          <w:sz w:val="24"/>
        </w:rPr>
        <w:t>第二条  评审细则</w:t>
      </w:r>
    </w:p>
    <w:p>
      <w:pPr>
        <w:adjustRightInd w:val="0"/>
        <w:snapToGrid w:val="0"/>
        <w:spacing w:line="360" w:lineRule="auto"/>
        <w:ind w:firstLine="480" w:firstLineChars="200"/>
        <w:rPr>
          <w:rFonts w:ascii="宋体" w:hAnsi="宋体"/>
          <w:sz w:val="24"/>
        </w:rPr>
      </w:pPr>
      <w:r>
        <w:rPr>
          <w:rFonts w:hint="eastAsia" w:ascii="宋体" w:hAnsi="宋体"/>
          <w:sz w:val="24"/>
        </w:rPr>
        <w:t>本项目采用综合评分法。分资格审查、技术标、商务标三部分评审，总分值为100分。</w:t>
      </w:r>
    </w:p>
    <w:p>
      <w:pPr>
        <w:adjustRightInd w:val="0"/>
        <w:snapToGrid w:val="0"/>
        <w:spacing w:line="360" w:lineRule="auto"/>
        <w:ind w:firstLine="480" w:firstLineChars="200"/>
        <w:rPr>
          <w:rFonts w:ascii="宋体" w:hAnsi="宋体"/>
          <w:sz w:val="24"/>
        </w:rPr>
      </w:pPr>
      <w:r>
        <w:rPr>
          <w:rFonts w:hint="eastAsia" w:ascii="宋体" w:hAnsi="宋体"/>
          <w:sz w:val="24"/>
        </w:rPr>
        <w:t>1、资格审查（符合性评审）</w:t>
      </w:r>
    </w:p>
    <w:p>
      <w:pPr>
        <w:adjustRightInd w:val="0"/>
        <w:snapToGrid w:val="0"/>
        <w:spacing w:line="360" w:lineRule="auto"/>
        <w:ind w:firstLine="480" w:firstLineChars="200"/>
        <w:rPr>
          <w:rFonts w:ascii="宋体" w:hAnsi="宋体"/>
          <w:sz w:val="24"/>
        </w:rPr>
      </w:pPr>
      <w:r>
        <w:rPr>
          <w:rFonts w:hint="eastAsia" w:ascii="宋体" w:hAnsi="宋体"/>
          <w:sz w:val="24"/>
        </w:rPr>
        <w:t>本项目评选小组根据参加资格审查的投标人递交的资格证明文件，按照本项目招标文件要求对投标人的资格进行审查。</w:t>
      </w:r>
    </w:p>
    <w:tbl>
      <w:tblPr>
        <w:tblStyle w:val="17"/>
        <w:tblpPr w:leftFromText="180" w:rightFromText="180" w:vertAnchor="text" w:horzAnchor="page" w:tblpX="1320" w:tblpY="446"/>
        <w:tblOverlap w:val="never"/>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553"/>
        <w:gridCol w:w="5577"/>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blHeader/>
        </w:trPr>
        <w:tc>
          <w:tcPr>
            <w:tcW w:w="657" w:type="dxa"/>
            <w:vAlign w:val="center"/>
          </w:tcPr>
          <w:p>
            <w:pPr>
              <w:ind w:left="-105" w:leftChars="-50" w:right="-105" w:rightChars="-50"/>
              <w:jc w:val="center"/>
              <w:rPr>
                <w:b/>
                <w:bCs/>
                <w:color w:val="000000"/>
                <w:szCs w:val="21"/>
              </w:rPr>
            </w:pPr>
            <w:r>
              <w:rPr>
                <w:b/>
                <w:color w:val="000000"/>
                <w:szCs w:val="21"/>
              </w:rPr>
              <w:t>序号</w:t>
            </w:r>
          </w:p>
        </w:tc>
        <w:tc>
          <w:tcPr>
            <w:tcW w:w="1553" w:type="dxa"/>
            <w:vAlign w:val="center"/>
          </w:tcPr>
          <w:p>
            <w:pPr>
              <w:jc w:val="center"/>
              <w:rPr>
                <w:b/>
                <w:color w:val="000000"/>
                <w:szCs w:val="21"/>
              </w:rPr>
            </w:pPr>
            <w:r>
              <w:rPr>
                <w:rFonts w:hint="eastAsia"/>
                <w:b/>
                <w:color w:val="000000"/>
                <w:szCs w:val="21"/>
              </w:rPr>
              <w:t>评审内容</w:t>
            </w:r>
          </w:p>
        </w:tc>
        <w:tc>
          <w:tcPr>
            <w:tcW w:w="5577" w:type="dxa"/>
            <w:vAlign w:val="center"/>
          </w:tcPr>
          <w:p>
            <w:pPr>
              <w:jc w:val="center"/>
              <w:rPr>
                <w:b/>
                <w:color w:val="000000"/>
                <w:szCs w:val="21"/>
              </w:rPr>
            </w:pPr>
            <w:r>
              <w:rPr>
                <w:rFonts w:hint="eastAsia"/>
                <w:b/>
                <w:color w:val="000000"/>
                <w:szCs w:val="21"/>
              </w:rPr>
              <w:t>评审</w:t>
            </w:r>
            <w:r>
              <w:rPr>
                <w:b/>
                <w:color w:val="000000"/>
                <w:szCs w:val="21"/>
              </w:rPr>
              <w:t>标准</w:t>
            </w:r>
          </w:p>
        </w:tc>
        <w:tc>
          <w:tcPr>
            <w:tcW w:w="1680" w:type="dxa"/>
            <w:vAlign w:val="center"/>
          </w:tcPr>
          <w:p>
            <w:pPr>
              <w:ind w:left="-105" w:leftChars="-50" w:right="-105" w:rightChars="-50"/>
              <w:jc w:val="center"/>
              <w:rPr>
                <w:b/>
                <w:bCs/>
                <w:color w:val="000000"/>
                <w:szCs w:val="21"/>
              </w:rPr>
            </w:pPr>
            <w:r>
              <w:rPr>
                <w:b/>
                <w:color w:val="000000"/>
                <w:szCs w:val="21"/>
              </w:rPr>
              <w:t>评</w:t>
            </w:r>
            <w:r>
              <w:rPr>
                <w:rFonts w:hint="eastAsia"/>
                <w:b/>
                <w:color w:val="000000"/>
                <w:szCs w:val="21"/>
              </w:rPr>
              <w:t>审</w:t>
            </w:r>
            <w:r>
              <w:rPr>
                <w:b/>
                <w:color w:val="000000"/>
                <w:szCs w:val="21"/>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3" w:hRule="atLeast"/>
        </w:trPr>
        <w:tc>
          <w:tcPr>
            <w:tcW w:w="657" w:type="dxa"/>
            <w:vAlign w:val="center"/>
          </w:tcPr>
          <w:p>
            <w:pPr>
              <w:ind w:left="-105" w:leftChars="-50" w:right="-105" w:rightChars="-50"/>
              <w:jc w:val="center"/>
              <w:rPr>
                <w:bCs/>
                <w:color w:val="000000"/>
                <w:szCs w:val="21"/>
              </w:rPr>
            </w:pPr>
            <w:r>
              <w:rPr>
                <w:bCs/>
                <w:color w:val="000000"/>
                <w:szCs w:val="21"/>
              </w:rPr>
              <w:t>1</w:t>
            </w:r>
          </w:p>
        </w:tc>
        <w:tc>
          <w:tcPr>
            <w:tcW w:w="1553" w:type="dxa"/>
            <w:vAlign w:val="center"/>
          </w:tcPr>
          <w:p>
            <w:pPr>
              <w:jc w:val="center"/>
              <w:rPr>
                <w:b/>
                <w:bCs/>
                <w:color w:val="000000"/>
                <w:szCs w:val="21"/>
              </w:rPr>
            </w:pPr>
            <w:r>
              <w:rPr>
                <w:rFonts w:hint="eastAsia"/>
                <w:b/>
                <w:bCs/>
                <w:color w:val="000000"/>
                <w:szCs w:val="21"/>
              </w:rPr>
              <w:t>资质条件</w:t>
            </w:r>
          </w:p>
        </w:tc>
        <w:tc>
          <w:tcPr>
            <w:tcW w:w="5577" w:type="dxa"/>
            <w:vAlign w:val="center"/>
          </w:tcPr>
          <w:p>
            <w:pPr>
              <w:numPr>
                <w:ilvl w:val="0"/>
                <w:numId w:val="2"/>
              </w:numPr>
              <w:rPr>
                <w:rFonts w:ascii="宋体" w:hAnsi="宋体"/>
                <w:bCs/>
                <w:color w:val="000000"/>
                <w:szCs w:val="21"/>
              </w:rPr>
            </w:pPr>
            <w:r>
              <w:rPr>
                <w:rFonts w:hint="eastAsia" w:ascii="宋体" w:hAnsi="宋体"/>
                <w:bCs/>
                <w:color w:val="000000"/>
                <w:szCs w:val="21"/>
              </w:rPr>
              <w:t>具有独立法人资格，应持有国家工商行政管理部门核发的企业法人营业执照，且年检合格、有效。（法人单位投标时，提供有效的企业法人营业执照副本复印件加盖法人单位公章；以设立在南通的分支机构投标时，提供有效的企业法人营业执照副本复印件加盖法人单位公章以及南通分支机构的营业执照副本复印件加盖单位公章）</w:t>
            </w:r>
          </w:p>
          <w:p>
            <w:pPr>
              <w:numPr>
                <w:ilvl w:val="0"/>
                <w:numId w:val="2"/>
              </w:numPr>
              <w:rPr>
                <w:rFonts w:ascii="宋体" w:hAnsi="宋体"/>
                <w:bCs/>
                <w:color w:val="000000"/>
                <w:szCs w:val="21"/>
              </w:rPr>
            </w:pPr>
            <w:r>
              <w:rPr>
                <w:rFonts w:hint="eastAsia" w:ascii="宋体" w:hAnsi="宋体"/>
                <w:bCs/>
                <w:color w:val="000000"/>
                <w:szCs w:val="21"/>
              </w:rPr>
              <w:t>若投标人为法人单位设立在南通的分支机构，必须经法人单位书面授权。提供授权原件。</w:t>
            </w:r>
          </w:p>
        </w:tc>
        <w:tc>
          <w:tcPr>
            <w:tcW w:w="1680" w:type="dxa"/>
            <w:vAlign w:val="center"/>
          </w:tcPr>
          <w:p>
            <w:pPr>
              <w:ind w:left="-105" w:leftChars="-50" w:right="-105" w:rightChars="-50"/>
              <w:jc w:val="center"/>
              <w:rPr>
                <w:bCs/>
                <w:color w:val="000000"/>
                <w:szCs w:val="21"/>
              </w:rPr>
            </w:pPr>
          </w:p>
        </w:tc>
      </w:tr>
    </w:tbl>
    <w:p>
      <w:pPr>
        <w:adjustRightInd w:val="0"/>
        <w:snapToGrid w:val="0"/>
        <w:spacing w:before="100" w:beforeAutospacing="1" w:line="360" w:lineRule="auto"/>
        <w:rPr>
          <w:rFonts w:ascii="宋体" w:hAnsi="宋体"/>
          <w:sz w:val="24"/>
        </w:rPr>
      </w:pPr>
      <w:r>
        <w:rPr>
          <w:rFonts w:hint="eastAsia" w:ascii="宋体" w:hAnsi="宋体"/>
          <w:sz w:val="24"/>
        </w:rPr>
        <w:t>本次资格审查采用合格制，各投标人只有满足资格审查必要合格条件后，方可参与后续评审。</w:t>
      </w:r>
    </w:p>
    <w:p>
      <w:pPr>
        <w:numPr>
          <w:ilvl w:val="0"/>
          <w:numId w:val="3"/>
        </w:numPr>
        <w:adjustRightInd w:val="0"/>
        <w:snapToGrid w:val="0"/>
        <w:spacing w:line="360" w:lineRule="auto"/>
        <w:ind w:firstLine="480" w:firstLineChars="200"/>
        <w:rPr>
          <w:rFonts w:ascii="宋体" w:hAnsi="宋体"/>
          <w:sz w:val="24"/>
        </w:rPr>
      </w:pPr>
      <w:r>
        <w:rPr>
          <w:rFonts w:hint="eastAsia" w:ascii="宋体" w:hAnsi="宋体"/>
          <w:sz w:val="24"/>
        </w:rPr>
        <w:t>技术标部分评审（80分）</w:t>
      </w:r>
    </w:p>
    <w:tbl>
      <w:tblPr>
        <w:tblStyle w:val="17"/>
        <w:tblW w:w="9170" w:type="dxa"/>
        <w:jc w:val="center"/>
        <w:tblLayout w:type="fixed"/>
        <w:tblCellMar>
          <w:top w:w="0" w:type="dxa"/>
          <w:left w:w="108" w:type="dxa"/>
          <w:bottom w:w="0" w:type="dxa"/>
          <w:right w:w="108" w:type="dxa"/>
        </w:tblCellMar>
      </w:tblPr>
      <w:tblGrid>
        <w:gridCol w:w="524"/>
        <w:gridCol w:w="1598"/>
        <w:gridCol w:w="761"/>
        <w:gridCol w:w="940"/>
        <w:gridCol w:w="5347"/>
      </w:tblGrid>
      <w:tr>
        <w:tblPrEx>
          <w:tblCellMar>
            <w:top w:w="0" w:type="dxa"/>
            <w:left w:w="108" w:type="dxa"/>
            <w:bottom w:w="0" w:type="dxa"/>
            <w:right w:w="108" w:type="dxa"/>
          </w:tblCellMar>
        </w:tblPrEx>
        <w:trPr>
          <w:trHeight w:val="644"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rPr>
                <w:rFonts w:cs="仿宋"/>
                <w:szCs w:val="21"/>
              </w:rPr>
            </w:pPr>
            <w:r>
              <w:rPr>
                <w:rFonts w:hint="eastAsia" w:hAnsi="宋体"/>
                <w:szCs w:val="21"/>
              </w:rPr>
              <w:t>序号</w:t>
            </w:r>
          </w:p>
        </w:tc>
        <w:tc>
          <w:tcPr>
            <w:tcW w:w="1598" w:type="dxa"/>
            <w:tcBorders>
              <w:top w:val="single" w:color="auto" w:sz="4" w:space="0"/>
              <w:left w:val="nil"/>
              <w:bottom w:val="single" w:color="auto" w:sz="4" w:space="0"/>
              <w:right w:val="single" w:color="auto" w:sz="4" w:space="0"/>
            </w:tcBorders>
            <w:vAlign w:val="center"/>
          </w:tcPr>
          <w:p>
            <w:pPr>
              <w:jc w:val="center"/>
            </w:pPr>
            <w:r>
              <w:rPr>
                <w:rFonts w:hint="eastAsia" w:hAnsi="宋体"/>
              </w:rPr>
              <w:t>评审项目</w:t>
            </w:r>
          </w:p>
        </w:tc>
        <w:tc>
          <w:tcPr>
            <w:tcW w:w="761" w:type="dxa"/>
            <w:tcBorders>
              <w:top w:val="single" w:color="auto" w:sz="4" w:space="0"/>
              <w:left w:val="nil"/>
              <w:bottom w:val="single" w:color="auto" w:sz="4" w:space="0"/>
              <w:right w:val="single" w:color="auto" w:sz="4" w:space="0"/>
            </w:tcBorders>
            <w:vAlign w:val="center"/>
          </w:tcPr>
          <w:p>
            <w:pPr>
              <w:jc w:val="center"/>
            </w:pPr>
            <w:r>
              <w:rPr>
                <w:rFonts w:hint="eastAsia" w:hAnsi="宋体"/>
              </w:rPr>
              <w:t>分值</w:t>
            </w:r>
          </w:p>
        </w:tc>
        <w:tc>
          <w:tcPr>
            <w:tcW w:w="6287" w:type="dxa"/>
            <w:gridSpan w:val="2"/>
            <w:tcBorders>
              <w:top w:val="single" w:color="auto" w:sz="4" w:space="0"/>
              <w:left w:val="nil"/>
              <w:bottom w:val="single" w:color="auto" w:sz="4" w:space="0"/>
              <w:right w:val="single" w:color="auto" w:sz="4" w:space="0"/>
            </w:tcBorders>
            <w:vAlign w:val="center"/>
          </w:tcPr>
          <w:p>
            <w:pPr>
              <w:jc w:val="center"/>
            </w:pPr>
            <w:r>
              <w:rPr>
                <w:rFonts w:hint="eastAsia" w:hAnsi="宋体"/>
              </w:rPr>
              <w:t>评分标准</w:t>
            </w:r>
          </w:p>
        </w:tc>
      </w:tr>
      <w:tr>
        <w:tblPrEx>
          <w:tblCellMar>
            <w:top w:w="0" w:type="dxa"/>
            <w:left w:w="108" w:type="dxa"/>
            <w:bottom w:w="0" w:type="dxa"/>
            <w:right w:w="108" w:type="dxa"/>
          </w:tblCellMar>
        </w:tblPrEx>
        <w:trPr>
          <w:trHeight w:val="216"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cs="仿宋"/>
                <w:szCs w:val="21"/>
              </w:rPr>
            </w:pPr>
            <w:r>
              <w:rPr>
                <w:rFonts w:hint="eastAsia" w:cs="仿宋"/>
                <w:szCs w:val="21"/>
              </w:rPr>
              <w:t>1</w:t>
            </w:r>
          </w:p>
        </w:tc>
        <w:tc>
          <w:tcPr>
            <w:tcW w:w="1598" w:type="dxa"/>
            <w:tcBorders>
              <w:top w:val="single" w:color="auto" w:sz="4" w:space="0"/>
              <w:left w:val="nil"/>
              <w:bottom w:val="single" w:color="auto" w:sz="4" w:space="0"/>
              <w:right w:val="single" w:color="auto" w:sz="4" w:space="0"/>
            </w:tcBorders>
            <w:vAlign w:val="center"/>
          </w:tcPr>
          <w:p>
            <w:r>
              <w:rPr>
                <w:rFonts w:hint="eastAsia" w:hAnsi="宋体"/>
              </w:rPr>
              <w:t>综合偿付能力充足率</w:t>
            </w:r>
          </w:p>
        </w:tc>
        <w:tc>
          <w:tcPr>
            <w:tcW w:w="761" w:type="dxa"/>
            <w:tcBorders>
              <w:top w:val="single" w:color="auto" w:sz="4" w:space="0"/>
              <w:left w:val="nil"/>
              <w:bottom w:val="single" w:color="auto" w:sz="4" w:space="0"/>
              <w:right w:val="single" w:color="auto" w:sz="4" w:space="0"/>
            </w:tcBorders>
            <w:vAlign w:val="center"/>
          </w:tcPr>
          <w:p>
            <w:r>
              <w:rPr>
                <w:rFonts w:hint="eastAsia"/>
              </w:rPr>
              <w:t>1</w:t>
            </w:r>
            <w:r>
              <w:t>0</w:t>
            </w:r>
            <w:r>
              <w:rPr>
                <w:rFonts w:hint="eastAsia" w:hAnsi="宋体"/>
              </w:rPr>
              <w:t>分</w:t>
            </w:r>
          </w:p>
        </w:tc>
        <w:tc>
          <w:tcPr>
            <w:tcW w:w="6287" w:type="dxa"/>
            <w:gridSpan w:val="2"/>
            <w:tcBorders>
              <w:top w:val="single" w:color="auto" w:sz="4" w:space="0"/>
              <w:left w:val="nil"/>
              <w:bottom w:val="single" w:color="auto" w:sz="4" w:space="0"/>
              <w:right w:val="single" w:color="auto" w:sz="4" w:space="0"/>
            </w:tcBorders>
            <w:vAlign w:val="center"/>
          </w:tcPr>
          <w:p>
            <w:pPr>
              <w:spacing w:line="360" w:lineRule="auto"/>
              <w:textAlignment w:val="baseline"/>
              <w:rPr>
                <w:highlight w:val="none"/>
              </w:rPr>
            </w:pPr>
            <w:r>
              <w:rPr>
                <w:rFonts w:hint="eastAsia" w:hAnsi="宋体"/>
                <w:highlight w:val="none"/>
              </w:rPr>
              <w:t>根据投标人总公司2</w:t>
            </w:r>
            <w:r>
              <w:rPr>
                <w:rFonts w:hAnsi="宋体"/>
                <w:highlight w:val="none"/>
              </w:rPr>
              <w:t>023</w:t>
            </w:r>
            <w:r>
              <w:rPr>
                <w:rFonts w:hint="eastAsia" w:hAnsi="宋体"/>
                <w:highlight w:val="none"/>
              </w:rPr>
              <w:t>年一季度综合偿付能力充足率进行评分：</w:t>
            </w:r>
          </w:p>
          <w:p>
            <w:pPr>
              <w:spacing w:line="360" w:lineRule="auto"/>
              <w:textAlignment w:val="baseline"/>
              <w:rPr>
                <w:rFonts w:hAnsi="宋体"/>
                <w:highlight w:val="none"/>
              </w:rPr>
            </w:pPr>
            <w:r>
              <w:rPr>
                <w:rFonts w:hint="eastAsia"/>
                <w:highlight w:val="none"/>
              </w:rPr>
              <w:t>1.</w:t>
            </w:r>
            <w:r>
              <w:rPr>
                <w:rFonts w:hint="eastAsia" w:hAnsi="宋体"/>
                <w:highlight w:val="none"/>
              </w:rPr>
              <w:t>总公司综合偿付能力充足率</w:t>
            </w:r>
            <w:r>
              <w:rPr>
                <w:highlight w:val="none"/>
              </w:rPr>
              <w:t>240</w:t>
            </w:r>
            <w:r>
              <w:rPr>
                <w:rFonts w:hint="eastAsia"/>
                <w:highlight w:val="none"/>
              </w:rPr>
              <w:t>%</w:t>
            </w:r>
            <w:r>
              <w:rPr>
                <w:rFonts w:hint="eastAsia" w:hAnsi="宋体"/>
                <w:highlight w:val="none"/>
              </w:rPr>
              <w:t>（含）以上，得</w:t>
            </w:r>
            <w:r>
              <w:rPr>
                <w:rFonts w:hint="eastAsia"/>
                <w:highlight w:val="none"/>
              </w:rPr>
              <w:t>1</w:t>
            </w:r>
            <w:r>
              <w:rPr>
                <w:highlight w:val="none"/>
              </w:rPr>
              <w:t>0</w:t>
            </w:r>
            <w:r>
              <w:rPr>
                <w:rFonts w:hint="eastAsia" w:hAnsi="宋体"/>
                <w:highlight w:val="none"/>
              </w:rPr>
              <w:t>分；</w:t>
            </w:r>
          </w:p>
          <w:p>
            <w:pPr>
              <w:spacing w:line="360" w:lineRule="auto"/>
              <w:textAlignment w:val="baseline"/>
              <w:rPr>
                <w:rFonts w:hAnsi="宋体"/>
                <w:highlight w:val="none"/>
              </w:rPr>
            </w:pPr>
            <w:r>
              <w:rPr>
                <w:rFonts w:hint="eastAsia"/>
                <w:highlight w:val="none"/>
              </w:rPr>
              <w:t>2.</w:t>
            </w:r>
            <w:r>
              <w:rPr>
                <w:rFonts w:hint="eastAsia" w:hAnsi="宋体"/>
                <w:highlight w:val="none"/>
              </w:rPr>
              <w:t>总公司综合偿付能力充足率</w:t>
            </w:r>
            <w:r>
              <w:rPr>
                <w:highlight w:val="none"/>
              </w:rPr>
              <w:t>240</w:t>
            </w:r>
            <w:r>
              <w:rPr>
                <w:rFonts w:hint="eastAsia"/>
                <w:highlight w:val="none"/>
              </w:rPr>
              <w:t>%-</w:t>
            </w:r>
            <w:r>
              <w:rPr>
                <w:highlight w:val="none"/>
              </w:rPr>
              <w:t>220</w:t>
            </w:r>
            <w:r>
              <w:rPr>
                <w:rFonts w:hint="eastAsia"/>
                <w:highlight w:val="none"/>
              </w:rPr>
              <w:t>%</w:t>
            </w:r>
            <w:r>
              <w:rPr>
                <w:rFonts w:hint="eastAsia" w:hAnsi="宋体"/>
                <w:highlight w:val="none"/>
              </w:rPr>
              <w:t>（含），得</w:t>
            </w:r>
            <w:r>
              <w:rPr>
                <w:highlight w:val="none"/>
              </w:rPr>
              <w:t>8</w:t>
            </w:r>
            <w:r>
              <w:rPr>
                <w:rFonts w:hint="eastAsia" w:hAnsi="宋体"/>
                <w:highlight w:val="none"/>
              </w:rPr>
              <w:t>分；</w:t>
            </w:r>
          </w:p>
          <w:p>
            <w:pPr>
              <w:spacing w:line="360" w:lineRule="auto"/>
              <w:textAlignment w:val="baseline"/>
              <w:rPr>
                <w:rFonts w:hAnsi="宋体"/>
                <w:highlight w:val="none"/>
              </w:rPr>
            </w:pPr>
            <w:r>
              <w:rPr>
                <w:highlight w:val="none"/>
              </w:rPr>
              <w:t>3</w:t>
            </w:r>
            <w:r>
              <w:rPr>
                <w:rFonts w:hint="eastAsia"/>
                <w:highlight w:val="none"/>
              </w:rPr>
              <w:t>.</w:t>
            </w:r>
            <w:r>
              <w:rPr>
                <w:rFonts w:hint="eastAsia" w:hAnsi="宋体"/>
                <w:highlight w:val="none"/>
              </w:rPr>
              <w:t>总公司综合偿付能力充足率</w:t>
            </w:r>
            <w:r>
              <w:rPr>
                <w:highlight w:val="none"/>
              </w:rPr>
              <w:t>220</w:t>
            </w:r>
            <w:r>
              <w:rPr>
                <w:rFonts w:hint="eastAsia"/>
                <w:highlight w:val="none"/>
              </w:rPr>
              <w:t>%-</w:t>
            </w:r>
            <w:r>
              <w:rPr>
                <w:highlight w:val="none"/>
              </w:rPr>
              <w:t>200</w:t>
            </w:r>
            <w:r>
              <w:rPr>
                <w:rFonts w:hint="eastAsia"/>
                <w:highlight w:val="none"/>
              </w:rPr>
              <w:t>%</w:t>
            </w:r>
            <w:r>
              <w:rPr>
                <w:rFonts w:hint="eastAsia" w:hAnsi="宋体"/>
                <w:highlight w:val="none"/>
              </w:rPr>
              <w:t>（含），得</w:t>
            </w:r>
            <w:r>
              <w:rPr>
                <w:highlight w:val="none"/>
              </w:rPr>
              <w:t>5</w:t>
            </w:r>
            <w:r>
              <w:rPr>
                <w:rFonts w:hint="eastAsia" w:hAnsi="宋体"/>
                <w:highlight w:val="none"/>
              </w:rPr>
              <w:t>分；</w:t>
            </w:r>
          </w:p>
          <w:p>
            <w:pPr>
              <w:spacing w:line="360" w:lineRule="auto"/>
              <w:textAlignment w:val="baseline"/>
              <w:rPr>
                <w:rFonts w:hAnsi="宋体"/>
                <w:highlight w:val="none"/>
              </w:rPr>
            </w:pPr>
            <w:r>
              <w:rPr>
                <w:highlight w:val="none"/>
              </w:rPr>
              <w:t>4</w:t>
            </w:r>
            <w:r>
              <w:rPr>
                <w:rFonts w:hint="eastAsia"/>
                <w:highlight w:val="none"/>
              </w:rPr>
              <w:t>.</w:t>
            </w:r>
            <w:r>
              <w:rPr>
                <w:rFonts w:hint="eastAsia" w:hAnsi="宋体"/>
                <w:highlight w:val="none"/>
              </w:rPr>
              <w:t>总公司无综合偿付能力报告或综合偿付能力充足率低于</w:t>
            </w:r>
            <w:r>
              <w:rPr>
                <w:highlight w:val="none"/>
              </w:rPr>
              <w:t>19</w:t>
            </w:r>
            <w:r>
              <w:rPr>
                <w:rFonts w:hint="eastAsia"/>
                <w:highlight w:val="none"/>
              </w:rPr>
              <w:t>0%</w:t>
            </w:r>
            <w:r>
              <w:rPr>
                <w:rFonts w:hint="eastAsia" w:hAnsi="宋体"/>
                <w:highlight w:val="none"/>
              </w:rPr>
              <w:t>，不得分。</w:t>
            </w:r>
          </w:p>
          <w:p>
            <w:pPr>
              <w:spacing w:line="360" w:lineRule="auto"/>
              <w:textAlignment w:val="baseline"/>
              <w:rPr>
                <w:highlight w:val="none"/>
              </w:rPr>
            </w:pPr>
            <w:r>
              <w:rPr>
                <w:rFonts w:hint="eastAsia" w:hAnsi="宋体"/>
                <w:highlight w:val="none"/>
              </w:rPr>
              <w:t>以中国保险行业协会官方公布结果为准，投标人须提供中国保险行业协会官方查询结果。</w:t>
            </w:r>
          </w:p>
        </w:tc>
      </w:tr>
      <w:tr>
        <w:tblPrEx>
          <w:tblCellMar>
            <w:top w:w="0" w:type="dxa"/>
            <w:left w:w="108" w:type="dxa"/>
            <w:bottom w:w="0" w:type="dxa"/>
            <w:right w:w="108" w:type="dxa"/>
          </w:tblCellMar>
        </w:tblPrEx>
        <w:trPr>
          <w:trHeight w:val="933"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cs="仿宋"/>
                <w:szCs w:val="21"/>
              </w:rPr>
            </w:pPr>
            <w:r>
              <w:rPr>
                <w:rFonts w:hint="eastAsia" w:cs="仿宋"/>
                <w:szCs w:val="21"/>
              </w:rPr>
              <w:t>2</w:t>
            </w:r>
          </w:p>
        </w:tc>
        <w:tc>
          <w:tcPr>
            <w:tcW w:w="1598" w:type="dxa"/>
            <w:tcBorders>
              <w:top w:val="single" w:color="auto" w:sz="4" w:space="0"/>
              <w:left w:val="nil"/>
              <w:bottom w:val="single" w:color="auto" w:sz="4" w:space="0"/>
              <w:right w:val="single" w:color="auto" w:sz="4" w:space="0"/>
            </w:tcBorders>
            <w:vAlign w:val="center"/>
          </w:tcPr>
          <w:p>
            <w:r>
              <w:rPr>
                <w:rFonts w:hint="eastAsia" w:hAnsi="宋体"/>
                <w:szCs w:val="21"/>
              </w:rPr>
              <w:t>风险综合评级</w:t>
            </w:r>
          </w:p>
        </w:tc>
        <w:tc>
          <w:tcPr>
            <w:tcW w:w="761" w:type="dxa"/>
            <w:tcBorders>
              <w:top w:val="single" w:color="auto" w:sz="4" w:space="0"/>
              <w:left w:val="nil"/>
              <w:bottom w:val="single" w:color="auto" w:sz="4" w:space="0"/>
              <w:right w:val="single" w:color="auto" w:sz="4" w:space="0"/>
            </w:tcBorders>
            <w:vAlign w:val="center"/>
          </w:tcPr>
          <w:p>
            <w:r>
              <w:t>10</w:t>
            </w:r>
            <w:r>
              <w:rPr>
                <w:rFonts w:hint="eastAsia" w:hAnsi="宋体"/>
              </w:rPr>
              <w:t>分</w:t>
            </w:r>
          </w:p>
        </w:tc>
        <w:tc>
          <w:tcPr>
            <w:tcW w:w="6287" w:type="dxa"/>
            <w:gridSpan w:val="2"/>
            <w:tcBorders>
              <w:top w:val="single" w:color="auto" w:sz="4" w:space="0"/>
              <w:left w:val="nil"/>
              <w:bottom w:val="single" w:color="auto" w:sz="4" w:space="0"/>
              <w:right w:val="single" w:color="auto" w:sz="4" w:space="0"/>
            </w:tcBorders>
            <w:vAlign w:val="center"/>
          </w:tcPr>
          <w:p>
            <w:pPr>
              <w:spacing w:line="360" w:lineRule="auto"/>
              <w:textAlignment w:val="baseline"/>
              <w:rPr>
                <w:highlight w:val="none"/>
              </w:rPr>
            </w:pPr>
            <w:r>
              <w:rPr>
                <w:rFonts w:hint="eastAsia" w:hAnsi="宋体"/>
                <w:highlight w:val="none"/>
              </w:rPr>
              <w:t>根据投标人总公司2022年四季度风险综合评级结果进行评分：</w:t>
            </w:r>
          </w:p>
          <w:p>
            <w:pPr>
              <w:spacing w:line="360" w:lineRule="auto"/>
              <w:textAlignment w:val="baseline"/>
              <w:rPr>
                <w:rFonts w:hAnsi="宋体"/>
                <w:highlight w:val="none"/>
              </w:rPr>
            </w:pPr>
            <w:r>
              <w:rPr>
                <w:rFonts w:hAnsi="宋体"/>
                <w:highlight w:val="none"/>
              </w:rPr>
              <w:t>1.</w:t>
            </w:r>
            <w:r>
              <w:rPr>
                <w:rFonts w:hint="eastAsia" w:hAnsi="宋体"/>
                <w:highlight w:val="none"/>
              </w:rPr>
              <w:t>A</w:t>
            </w:r>
            <w:r>
              <w:rPr>
                <w:rFonts w:hAnsi="宋体"/>
                <w:highlight w:val="none"/>
              </w:rPr>
              <w:t>A</w:t>
            </w:r>
            <w:r>
              <w:rPr>
                <w:rFonts w:hint="eastAsia" w:hAnsi="宋体"/>
                <w:highlight w:val="none"/>
              </w:rPr>
              <w:t>及以上得1</w:t>
            </w:r>
            <w:r>
              <w:rPr>
                <w:rFonts w:hAnsi="宋体"/>
                <w:highlight w:val="none"/>
              </w:rPr>
              <w:t>0</w:t>
            </w:r>
            <w:r>
              <w:rPr>
                <w:rFonts w:hint="eastAsia" w:hAnsi="宋体"/>
                <w:highlight w:val="none"/>
              </w:rPr>
              <w:t>分；</w:t>
            </w:r>
          </w:p>
          <w:p>
            <w:pPr>
              <w:spacing w:line="360" w:lineRule="auto"/>
              <w:textAlignment w:val="baseline"/>
              <w:rPr>
                <w:rFonts w:hAnsi="宋体"/>
                <w:highlight w:val="none"/>
              </w:rPr>
            </w:pPr>
            <w:r>
              <w:rPr>
                <w:rFonts w:hAnsi="宋体"/>
                <w:highlight w:val="none"/>
              </w:rPr>
              <w:t>2.</w:t>
            </w:r>
            <w:r>
              <w:rPr>
                <w:rFonts w:hint="eastAsia" w:hAnsi="宋体"/>
                <w:highlight w:val="none"/>
              </w:rPr>
              <w:t>A及以上得</w:t>
            </w:r>
            <w:r>
              <w:rPr>
                <w:rFonts w:hAnsi="宋体"/>
                <w:highlight w:val="none"/>
              </w:rPr>
              <w:t>5</w:t>
            </w:r>
            <w:r>
              <w:rPr>
                <w:rFonts w:hint="eastAsia" w:hAnsi="宋体"/>
                <w:highlight w:val="none"/>
              </w:rPr>
              <w:t>分；</w:t>
            </w:r>
          </w:p>
          <w:p>
            <w:pPr>
              <w:spacing w:line="360" w:lineRule="auto"/>
              <w:textAlignment w:val="baseline"/>
              <w:rPr>
                <w:rFonts w:hAnsi="宋体"/>
                <w:highlight w:val="none"/>
              </w:rPr>
            </w:pPr>
            <w:r>
              <w:rPr>
                <w:rFonts w:hAnsi="宋体"/>
                <w:highlight w:val="none"/>
              </w:rPr>
              <w:t>3.</w:t>
            </w:r>
            <w:r>
              <w:rPr>
                <w:rFonts w:hint="eastAsia" w:hAnsi="宋体"/>
                <w:highlight w:val="none"/>
              </w:rPr>
              <w:t>BBB及以上得</w:t>
            </w:r>
            <w:r>
              <w:rPr>
                <w:rFonts w:hAnsi="宋体"/>
                <w:highlight w:val="none"/>
              </w:rPr>
              <w:t>3</w:t>
            </w:r>
            <w:r>
              <w:rPr>
                <w:rFonts w:hint="eastAsia" w:hAnsi="宋体"/>
                <w:highlight w:val="none"/>
              </w:rPr>
              <w:t>分；</w:t>
            </w:r>
          </w:p>
          <w:p>
            <w:pPr>
              <w:spacing w:line="360" w:lineRule="auto"/>
              <w:textAlignment w:val="baseline"/>
              <w:rPr>
                <w:rFonts w:hAnsi="宋体"/>
                <w:highlight w:val="none"/>
              </w:rPr>
            </w:pPr>
            <w:r>
              <w:rPr>
                <w:rFonts w:hint="eastAsia" w:hAnsi="宋体"/>
                <w:highlight w:val="none"/>
              </w:rPr>
              <w:t>4</w:t>
            </w:r>
            <w:r>
              <w:rPr>
                <w:rFonts w:hAnsi="宋体"/>
                <w:highlight w:val="none"/>
              </w:rPr>
              <w:t>.</w:t>
            </w:r>
            <w:r>
              <w:rPr>
                <w:rFonts w:hint="eastAsia" w:hAnsi="宋体"/>
                <w:highlight w:val="none"/>
              </w:rPr>
              <w:t>低于BBB不得分。</w:t>
            </w:r>
          </w:p>
          <w:p>
            <w:pPr>
              <w:spacing w:line="360" w:lineRule="auto"/>
              <w:textAlignment w:val="baseline"/>
              <w:rPr>
                <w:rFonts w:cs="仿宋"/>
                <w:szCs w:val="21"/>
                <w:highlight w:val="none"/>
              </w:rPr>
            </w:pPr>
            <w:r>
              <w:rPr>
                <w:rFonts w:hint="eastAsia" w:hAnsi="宋体"/>
                <w:highlight w:val="none"/>
              </w:rPr>
              <w:t>以中国保险行业协会官方公布结果为准，投标人须提供中国保险行业协会官方查询结果。</w:t>
            </w:r>
          </w:p>
        </w:tc>
      </w:tr>
      <w:tr>
        <w:tblPrEx>
          <w:tblCellMar>
            <w:top w:w="0" w:type="dxa"/>
            <w:left w:w="108" w:type="dxa"/>
            <w:bottom w:w="0" w:type="dxa"/>
            <w:right w:w="108" w:type="dxa"/>
          </w:tblCellMar>
        </w:tblPrEx>
        <w:trPr>
          <w:trHeight w:val="1735"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cs="仿宋"/>
                <w:szCs w:val="21"/>
              </w:rPr>
            </w:pPr>
            <w:r>
              <w:rPr>
                <w:rFonts w:hint="eastAsia" w:cs="仿宋"/>
                <w:szCs w:val="21"/>
              </w:rPr>
              <w:t>3</w:t>
            </w:r>
          </w:p>
        </w:tc>
        <w:tc>
          <w:tcPr>
            <w:tcW w:w="1598" w:type="dxa"/>
            <w:tcBorders>
              <w:top w:val="single" w:color="auto" w:sz="4" w:space="0"/>
              <w:left w:val="nil"/>
              <w:bottom w:val="single" w:color="auto" w:sz="4" w:space="0"/>
              <w:right w:val="single" w:color="auto" w:sz="4" w:space="0"/>
            </w:tcBorders>
            <w:vAlign w:val="center"/>
          </w:tcPr>
          <w:p>
            <w:pPr>
              <w:rPr>
                <w:rFonts w:hAnsi="宋体"/>
              </w:rPr>
            </w:pPr>
            <w:r>
              <w:rPr>
                <w:rFonts w:hint="eastAsia" w:hAnsi="宋体"/>
              </w:rPr>
              <w:t>万张保单投诉量</w:t>
            </w:r>
          </w:p>
        </w:tc>
        <w:tc>
          <w:tcPr>
            <w:tcW w:w="761" w:type="dxa"/>
            <w:tcBorders>
              <w:top w:val="single" w:color="auto" w:sz="4" w:space="0"/>
              <w:left w:val="nil"/>
              <w:bottom w:val="single" w:color="auto" w:sz="4" w:space="0"/>
              <w:right w:val="single" w:color="auto" w:sz="4" w:space="0"/>
            </w:tcBorders>
            <w:vAlign w:val="center"/>
          </w:tcPr>
          <w:p>
            <w:r>
              <w:rPr>
                <w:rFonts w:hint="eastAsia"/>
              </w:rPr>
              <w:t>1</w:t>
            </w:r>
            <w:r>
              <w:t>0</w:t>
            </w:r>
            <w:r>
              <w:rPr>
                <w:rFonts w:hint="eastAsia" w:hAnsi="宋体"/>
              </w:rPr>
              <w:t>分</w:t>
            </w:r>
          </w:p>
        </w:tc>
        <w:tc>
          <w:tcPr>
            <w:tcW w:w="6287" w:type="dxa"/>
            <w:gridSpan w:val="2"/>
            <w:tcBorders>
              <w:top w:val="single" w:color="auto" w:sz="4" w:space="0"/>
              <w:left w:val="nil"/>
              <w:bottom w:val="single" w:color="auto" w:sz="4" w:space="0"/>
              <w:right w:val="single" w:color="auto" w:sz="4" w:space="0"/>
            </w:tcBorders>
            <w:vAlign w:val="center"/>
          </w:tcPr>
          <w:p>
            <w:pPr>
              <w:spacing w:line="360" w:lineRule="auto"/>
              <w:textAlignment w:val="baseline"/>
              <w:rPr>
                <w:highlight w:val="none"/>
              </w:rPr>
            </w:pPr>
            <w:r>
              <w:rPr>
                <w:rFonts w:hint="eastAsia" w:hAnsi="宋体"/>
                <w:highlight w:val="none"/>
              </w:rPr>
              <w:t>根据投标人总公司2022年四季度万张保单投诉量排名进行评分投标人</w:t>
            </w:r>
            <w:r>
              <w:rPr>
                <w:rFonts w:hint="eastAsia"/>
                <w:highlight w:val="none"/>
              </w:rPr>
              <w:t>中排名最后的得1</w:t>
            </w:r>
            <w:r>
              <w:rPr>
                <w:highlight w:val="none"/>
              </w:rPr>
              <w:t>0</w:t>
            </w:r>
            <w:r>
              <w:rPr>
                <w:rFonts w:hint="eastAsia"/>
                <w:highlight w:val="none"/>
              </w:rPr>
              <w:t>分，倒数第二名得</w:t>
            </w:r>
            <w:r>
              <w:rPr>
                <w:highlight w:val="none"/>
              </w:rPr>
              <w:t>5</w:t>
            </w:r>
            <w:r>
              <w:rPr>
                <w:rFonts w:hint="eastAsia"/>
                <w:highlight w:val="none"/>
              </w:rPr>
              <w:t>分，倒数第三名得</w:t>
            </w:r>
            <w:r>
              <w:rPr>
                <w:highlight w:val="none"/>
              </w:rPr>
              <w:t>3</w:t>
            </w:r>
            <w:r>
              <w:rPr>
                <w:rFonts w:hint="eastAsia"/>
                <w:highlight w:val="none"/>
              </w:rPr>
              <w:t>分，倒数第四名及以后不得分。</w:t>
            </w:r>
          </w:p>
          <w:p>
            <w:pPr>
              <w:spacing w:line="360" w:lineRule="auto"/>
              <w:textAlignment w:val="baseline"/>
              <w:rPr>
                <w:highlight w:val="none"/>
              </w:rPr>
            </w:pPr>
            <w:r>
              <w:rPr>
                <w:rFonts w:hint="eastAsia" w:hAnsi="宋体"/>
                <w:highlight w:val="none"/>
              </w:rPr>
              <w:t>投标人须提供总公司</w:t>
            </w:r>
            <w:r>
              <w:rPr>
                <w:rFonts w:hint="eastAsia"/>
                <w:highlight w:val="none"/>
              </w:rPr>
              <w:t>2022年四季度万张保单投诉量</w:t>
            </w:r>
            <w:r>
              <w:rPr>
                <w:rFonts w:hint="eastAsia" w:hAnsi="宋体"/>
                <w:highlight w:val="none"/>
              </w:rPr>
              <w:t>数据，并提供</w:t>
            </w:r>
            <w:r>
              <w:rPr>
                <w:rFonts w:hint="eastAsia"/>
                <w:highlight w:val="none"/>
              </w:rPr>
              <w:t>中国银行保险监督管理委员会</w:t>
            </w:r>
            <w:r>
              <w:rPr>
                <w:rFonts w:hint="eastAsia" w:hAnsi="宋体"/>
                <w:highlight w:val="none"/>
              </w:rPr>
              <w:t>官方查询结果。</w:t>
            </w:r>
          </w:p>
        </w:tc>
      </w:tr>
      <w:tr>
        <w:tblPrEx>
          <w:tblCellMar>
            <w:top w:w="0" w:type="dxa"/>
            <w:left w:w="108" w:type="dxa"/>
            <w:bottom w:w="0" w:type="dxa"/>
            <w:right w:w="108" w:type="dxa"/>
          </w:tblCellMar>
        </w:tblPrEx>
        <w:trPr>
          <w:trHeight w:val="1852" w:hRule="atLeast"/>
          <w:jc w:val="center"/>
        </w:trPr>
        <w:tc>
          <w:tcPr>
            <w:tcW w:w="524" w:type="dxa"/>
            <w:vMerge w:val="restart"/>
            <w:tcBorders>
              <w:top w:val="single" w:color="auto" w:sz="4" w:space="0"/>
              <w:left w:val="single" w:color="auto" w:sz="4" w:space="0"/>
              <w:right w:val="single" w:color="auto" w:sz="4" w:space="0"/>
            </w:tcBorders>
            <w:vAlign w:val="center"/>
          </w:tcPr>
          <w:p>
            <w:pPr>
              <w:spacing w:line="360" w:lineRule="auto"/>
              <w:jc w:val="center"/>
              <w:textAlignment w:val="baseline"/>
              <w:rPr>
                <w:rFonts w:cs="仿宋"/>
                <w:szCs w:val="21"/>
              </w:rPr>
            </w:pPr>
            <w:r>
              <w:rPr>
                <w:rFonts w:cs="仿宋"/>
                <w:szCs w:val="21"/>
              </w:rPr>
              <w:t>4</w:t>
            </w:r>
          </w:p>
        </w:tc>
        <w:tc>
          <w:tcPr>
            <w:tcW w:w="1598" w:type="dxa"/>
            <w:vMerge w:val="restart"/>
            <w:tcBorders>
              <w:top w:val="single" w:color="auto" w:sz="4" w:space="0"/>
              <w:left w:val="nil"/>
              <w:right w:val="single" w:color="auto" w:sz="4" w:space="0"/>
            </w:tcBorders>
            <w:vAlign w:val="center"/>
          </w:tcPr>
          <w:p>
            <w:pPr>
              <w:jc w:val="center"/>
            </w:pPr>
            <w:r>
              <w:rPr>
                <w:rFonts w:hint="eastAsia" w:hAnsi="宋体"/>
              </w:rPr>
              <w:t>市场份额</w:t>
            </w:r>
          </w:p>
        </w:tc>
        <w:tc>
          <w:tcPr>
            <w:tcW w:w="761" w:type="dxa"/>
            <w:vMerge w:val="restart"/>
            <w:tcBorders>
              <w:top w:val="single" w:color="auto" w:sz="4" w:space="0"/>
              <w:left w:val="nil"/>
              <w:right w:val="single" w:color="auto" w:sz="4" w:space="0"/>
            </w:tcBorders>
            <w:vAlign w:val="center"/>
          </w:tcPr>
          <w:p>
            <w:r>
              <w:rPr>
                <w:rFonts w:hint="eastAsia" w:hAnsi="宋体"/>
              </w:rPr>
              <w:t>1</w:t>
            </w:r>
            <w:r>
              <w:rPr>
                <w:rFonts w:hAnsi="宋体"/>
              </w:rPr>
              <w:t>5</w:t>
            </w:r>
            <w:r>
              <w:rPr>
                <w:rFonts w:hint="eastAsia" w:hAnsi="宋体"/>
              </w:rPr>
              <w:t>分</w:t>
            </w:r>
          </w:p>
        </w:tc>
        <w:tc>
          <w:tcPr>
            <w:tcW w:w="940"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pPr>
            <w:r>
              <w:rPr>
                <w:rFonts w:hint="eastAsia"/>
              </w:rPr>
              <w:t>1</w:t>
            </w:r>
            <w:r>
              <w:t>0</w:t>
            </w:r>
            <w:r>
              <w:rPr>
                <w:rFonts w:hint="eastAsia" w:hAnsi="宋体"/>
              </w:rPr>
              <w:t>分</w:t>
            </w:r>
          </w:p>
        </w:tc>
        <w:tc>
          <w:tcPr>
            <w:tcW w:w="5347" w:type="dxa"/>
            <w:tcBorders>
              <w:top w:val="single" w:color="auto" w:sz="4" w:space="0"/>
              <w:left w:val="nil"/>
              <w:bottom w:val="single" w:color="auto" w:sz="4" w:space="0"/>
              <w:right w:val="single" w:color="auto" w:sz="4" w:space="0"/>
            </w:tcBorders>
            <w:vAlign w:val="center"/>
          </w:tcPr>
          <w:p>
            <w:pPr>
              <w:spacing w:line="360" w:lineRule="auto"/>
              <w:textAlignment w:val="baseline"/>
            </w:pPr>
            <w:r>
              <w:rPr>
                <w:rFonts w:hint="eastAsia"/>
              </w:rPr>
              <w:t>投标人南通大市（含区、县）202</w:t>
            </w:r>
            <w:r>
              <w:t>2</w:t>
            </w:r>
            <w:r>
              <w:rPr>
                <w:rFonts w:hint="eastAsia"/>
              </w:rPr>
              <w:t>年度全险种保险费总额市场份额占比；</w:t>
            </w:r>
          </w:p>
          <w:p>
            <w:pPr>
              <w:spacing w:line="360" w:lineRule="auto"/>
              <w:textAlignment w:val="baseline"/>
            </w:pPr>
            <w:r>
              <w:rPr>
                <w:rFonts w:hint="eastAsia"/>
              </w:rPr>
              <w:t>1</w:t>
            </w:r>
            <w:r>
              <w:t>.</w:t>
            </w:r>
            <w:r>
              <w:rPr>
                <w:rFonts w:hint="eastAsia"/>
              </w:rPr>
              <w:t>市场份额第1</w:t>
            </w:r>
            <w:r>
              <w:t>-3</w:t>
            </w:r>
            <w:r>
              <w:rPr>
                <w:rFonts w:hint="eastAsia"/>
              </w:rPr>
              <w:t>名得</w:t>
            </w:r>
            <w:r>
              <w:t>10</w:t>
            </w:r>
            <w:r>
              <w:rPr>
                <w:rFonts w:hint="eastAsia"/>
              </w:rPr>
              <w:t>分；</w:t>
            </w:r>
          </w:p>
          <w:p>
            <w:pPr>
              <w:spacing w:line="360" w:lineRule="auto"/>
              <w:textAlignment w:val="baseline"/>
            </w:pPr>
            <w:r>
              <w:rPr>
                <w:rFonts w:hint="eastAsia"/>
              </w:rPr>
              <w:t>2</w:t>
            </w:r>
            <w:r>
              <w:t>.</w:t>
            </w:r>
            <w:r>
              <w:rPr>
                <w:rFonts w:hint="eastAsia"/>
              </w:rPr>
              <w:t>市场份额第4</w:t>
            </w:r>
            <w:r>
              <w:t>-6</w:t>
            </w:r>
            <w:r>
              <w:rPr>
                <w:rFonts w:hint="eastAsia"/>
              </w:rPr>
              <w:t>得</w:t>
            </w:r>
            <w:r>
              <w:t>8</w:t>
            </w:r>
            <w:r>
              <w:rPr>
                <w:rFonts w:hint="eastAsia"/>
              </w:rPr>
              <w:t>分；</w:t>
            </w:r>
          </w:p>
          <w:p>
            <w:pPr>
              <w:spacing w:line="360" w:lineRule="auto"/>
              <w:textAlignment w:val="baseline"/>
            </w:pPr>
            <w:r>
              <w:rPr>
                <w:rFonts w:hint="eastAsia"/>
              </w:rPr>
              <w:t>3</w:t>
            </w:r>
            <w:r>
              <w:t>.</w:t>
            </w:r>
            <w:r>
              <w:rPr>
                <w:rFonts w:hint="eastAsia"/>
              </w:rPr>
              <w:t>市场份额第7</w:t>
            </w:r>
            <w:r>
              <w:t>-9</w:t>
            </w:r>
            <w:r>
              <w:rPr>
                <w:rFonts w:hint="eastAsia"/>
              </w:rPr>
              <w:t>名得</w:t>
            </w:r>
            <w:r>
              <w:t>5</w:t>
            </w:r>
            <w:r>
              <w:rPr>
                <w:rFonts w:hint="eastAsia"/>
              </w:rPr>
              <w:t>分；</w:t>
            </w:r>
          </w:p>
          <w:p>
            <w:pPr>
              <w:pStyle w:val="2"/>
            </w:pPr>
            <w:r>
              <w:rPr>
                <w:rFonts w:hint="eastAsia"/>
              </w:rPr>
              <w:t>4</w:t>
            </w:r>
            <w:r>
              <w:t>.</w:t>
            </w:r>
            <w:r>
              <w:rPr>
                <w:rFonts w:hint="eastAsia"/>
                <w:sz w:val="21"/>
                <w:szCs w:val="24"/>
              </w:rPr>
              <w:t>市场份额第</w:t>
            </w:r>
            <w:r>
              <w:rPr>
                <w:sz w:val="21"/>
                <w:szCs w:val="24"/>
              </w:rPr>
              <w:t>10</w:t>
            </w:r>
            <w:r>
              <w:rPr>
                <w:rFonts w:hint="eastAsia"/>
                <w:sz w:val="21"/>
                <w:szCs w:val="24"/>
              </w:rPr>
              <w:t>名及以后不得分。</w:t>
            </w:r>
          </w:p>
          <w:p>
            <w:pPr>
              <w:spacing w:line="360" w:lineRule="auto"/>
              <w:textAlignment w:val="baseline"/>
            </w:pPr>
            <w:r>
              <w:rPr>
                <w:rFonts w:hint="eastAsia"/>
              </w:rPr>
              <w:t>投标人须提供2022年度南通市保险行业协会报表数据（南通行业协会盖章和投标人盖章），原件备查。</w:t>
            </w:r>
          </w:p>
        </w:tc>
      </w:tr>
      <w:tr>
        <w:tblPrEx>
          <w:tblCellMar>
            <w:top w:w="0" w:type="dxa"/>
            <w:left w:w="108" w:type="dxa"/>
            <w:bottom w:w="0" w:type="dxa"/>
            <w:right w:w="108" w:type="dxa"/>
          </w:tblCellMar>
        </w:tblPrEx>
        <w:trPr>
          <w:trHeight w:val="870" w:hRule="atLeast"/>
          <w:jc w:val="center"/>
        </w:trPr>
        <w:tc>
          <w:tcPr>
            <w:tcW w:w="524" w:type="dxa"/>
            <w:vMerge w:val="continue"/>
            <w:tcBorders>
              <w:left w:val="single" w:color="auto" w:sz="4" w:space="0"/>
              <w:bottom w:val="single" w:color="auto" w:sz="4" w:space="0"/>
              <w:right w:val="single" w:color="auto" w:sz="4" w:space="0"/>
            </w:tcBorders>
            <w:vAlign w:val="center"/>
          </w:tcPr>
          <w:p>
            <w:pPr>
              <w:spacing w:line="360" w:lineRule="auto"/>
              <w:jc w:val="center"/>
              <w:textAlignment w:val="baseline"/>
              <w:rPr>
                <w:rFonts w:cs="仿宋"/>
                <w:szCs w:val="21"/>
              </w:rPr>
            </w:pPr>
          </w:p>
        </w:tc>
        <w:tc>
          <w:tcPr>
            <w:tcW w:w="1598" w:type="dxa"/>
            <w:vMerge w:val="continue"/>
            <w:tcBorders>
              <w:left w:val="nil"/>
              <w:bottom w:val="single" w:color="auto" w:sz="4" w:space="0"/>
              <w:right w:val="single" w:color="auto" w:sz="4" w:space="0"/>
            </w:tcBorders>
            <w:vAlign w:val="center"/>
          </w:tcPr>
          <w:p>
            <w:pPr>
              <w:jc w:val="center"/>
              <w:rPr>
                <w:rFonts w:hAnsi="宋体"/>
              </w:rPr>
            </w:pPr>
          </w:p>
        </w:tc>
        <w:tc>
          <w:tcPr>
            <w:tcW w:w="761" w:type="dxa"/>
            <w:vMerge w:val="continue"/>
            <w:tcBorders>
              <w:left w:val="nil"/>
              <w:bottom w:val="single" w:color="auto" w:sz="4" w:space="0"/>
              <w:right w:val="single" w:color="auto" w:sz="4" w:space="0"/>
            </w:tcBorders>
            <w:vAlign w:val="center"/>
          </w:tcPr>
          <w:p/>
        </w:tc>
        <w:tc>
          <w:tcPr>
            <w:tcW w:w="940" w:type="dxa"/>
            <w:tcBorders>
              <w:top w:val="single" w:color="auto" w:sz="4" w:space="0"/>
              <w:left w:val="nil"/>
              <w:bottom w:val="single" w:color="auto" w:sz="4" w:space="0"/>
              <w:right w:val="single" w:color="auto" w:sz="4" w:space="0"/>
            </w:tcBorders>
            <w:vAlign w:val="center"/>
          </w:tcPr>
          <w:p>
            <w:pPr>
              <w:spacing w:line="360" w:lineRule="auto"/>
              <w:jc w:val="center"/>
              <w:textAlignment w:val="baseline"/>
            </w:pPr>
            <w:r>
              <w:rPr>
                <w:rFonts w:hint="eastAsia"/>
              </w:rPr>
              <w:t>5</w:t>
            </w:r>
            <w:r>
              <w:rPr>
                <w:rFonts w:hint="eastAsia" w:hAnsi="宋体"/>
              </w:rPr>
              <w:t>分</w:t>
            </w:r>
          </w:p>
        </w:tc>
        <w:tc>
          <w:tcPr>
            <w:tcW w:w="5347" w:type="dxa"/>
            <w:tcBorders>
              <w:top w:val="single" w:color="auto" w:sz="4" w:space="0"/>
              <w:left w:val="nil"/>
              <w:bottom w:val="single" w:color="auto" w:sz="4" w:space="0"/>
              <w:right w:val="single" w:color="auto" w:sz="4" w:space="0"/>
            </w:tcBorders>
            <w:vAlign w:val="center"/>
          </w:tcPr>
          <w:p>
            <w:pPr>
              <w:spacing w:line="360" w:lineRule="auto"/>
              <w:textAlignment w:val="baseline"/>
            </w:pPr>
            <w:r>
              <w:rPr>
                <w:rFonts w:hint="eastAsia"/>
              </w:rPr>
              <w:t>投标人南通大市（含区、县）202</w:t>
            </w:r>
            <w:r>
              <w:t>2</w:t>
            </w:r>
            <w:r>
              <w:rPr>
                <w:rFonts w:hint="eastAsia"/>
              </w:rPr>
              <w:t>年度车险保险费总额市场份额占比；</w:t>
            </w:r>
          </w:p>
          <w:p>
            <w:pPr>
              <w:spacing w:line="360" w:lineRule="auto"/>
              <w:textAlignment w:val="baseline"/>
            </w:pPr>
            <w:r>
              <w:rPr>
                <w:rFonts w:hint="eastAsia"/>
              </w:rPr>
              <w:t>1</w:t>
            </w:r>
            <w:r>
              <w:t>.</w:t>
            </w:r>
            <w:r>
              <w:rPr>
                <w:rFonts w:hint="eastAsia"/>
              </w:rPr>
              <w:t>市场份额第1</w:t>
            </w:r>
            <w:r>
              <w:t>-3</w:t>
            </w:r>
            <w:r>
              <w:rPr>
                <w:rFonts w:hint="eastAsia"/>
              </w:rPr>
              <w:t>名得</w:t>
            </w:r>
            <w:r>
              <w:t>5</w:t>
            </w:r>
            <w:r>
              <w:rPr>
                <w:rFonts w:hint="eastAsia"/>
              </w:rPr>
              <w:t>分；</w:t>
            </w:r>
          </w:p>
          <w:p>
            <w:pPr>
              <w:spacing w:line="360" w:lineRule="auto"/>
              <w:textAlignment w:val="baseline"/>
            </w:pPr>
            <w:r>
              <w:rPr>
                <w:rFonts w:hint="eastAsia"/>
              </w:rPr>
              <w:t>2</w:t>
            </w:r>
            <w:r>
              <w:t>.</w:t>
            </w:r>
            <w:r>
              <w:rPr>
                <w:rFonts w:hint="eastAsia"/>
              </w:rPr>
              <w:t>市场份额第4</w:t>
            </w:r>
            <w:r>
              <w:t>-6</w:t>
            </w:r>
            <w:r>
              <w:rPr>
                <w:rFonts w:hint="eastAsia"/>
              </w:rPr>
              <w:t>得</w:t>
            </w:r>
            <w:r>
              <w:t>3</w:t>
            </w:r>
            <w:r>
              <w:rPr>
                <w:rFonts w:hint="eastAsia"/>
              </w:rPr>
              <w:t>分；</w:t>
            </w:r>
          </w:p>
          <w:p>
            <w:pPr>
              <w:spacing w:line="360" w:lineRule="auto"/>
              <w:textAlignment w:val="baseline"/>
            </w:pPr>
            <w:r>
              <w:rPr>
                <w:rFonts w:hint="eastAsia"/>
              </w:rPr>
              <w:t>3</w:t>
            </w:r>
            <w:r>
              <w:t>.</w:t>
            </w:r>
            <w:r>
              <w:rPr>
                <w:rFonts w:hint="eastAsia"/>
              </w:rPr>
              <w:t>市场份额第7</w:t>
            </w:r>
            <w:r>
              <w:t>-9</w:t>
            </w:r>
            <w:r>
              <w:rPr>
                <w:rFonts w:hint="eastAsia"/>
              </w:rPr>
              <w:t>名得</w:t>
            </w:r>
            <w:r>
              <w:t>1</w:t>
            </w:r>
            <w:r>
              <w:rPr>
                <w:rFonts w:hint="eastAsia"/>
              </w:rPr>
              <w:t>分；</w:t>
            </w:r>
          </w:p>
          <w:p>
            <w:pPr>
              <w:pStyle w:val="2"/>
            </w:pPr>
            <w:r>
              <w:rPr>
                <w:rFonts w:hint="eastAsia"/>
              </w:rPr>
              <w:t>4</w:t>
            </w:r>
            <w:r>
              <w:t>.</w:t>
            </w:r>
            <w:r>
              <w:rPr>
                <w:rFonts w:hint="eastAsia"/>
                <w:sz w:val="21"/>
                <w:szCs w:val="24"/>
              </w:rPr>
              <w:t>市场份额第</w:t>
            </w:r>
            <w:r>
              <w:rPr>
                <w:sz w:val="21"/>
                <w:szCs w:val="24"/>
              </w:rPr>
              <w:t>10</w:t>
            </w:r>
            <w:r>
              <w:rPr>
                <w:rFonts w:hint="eastAsia"/>
                <w:sz w:val="21"/>
                <w:szCs w:val="24"/>
              </w:rPr>
              <w:t>名及以后不得分。</w:t>
            </w:r>
          </w:p>
          <w:p>
            <w:pPr>
              <w:spacing w:line="360" w:lineRule="auto"/>
              <w:textAlignment w:val="baseline"/>
            </w:pPr>
            <w:r>
              <w:rPr>
                <w:rFonts w:hint="eastAsia"/>
              </w:rPr>
              <w:t>投标人须提供2022年度南通市保险行业协会报表数据（南通行业协会盖章和投标人盖章），原件备查。</w:t>
            </w:r>
          </w:p>
        </w:tc>
      </w:tr>
      <w:tr>
        <w:tblPrEx>
          <w:tblCellMar>
            <w:top w:w="0" w:type="dxa"/>
            <w:left w:w="108" w:type="dxa"/>
            <w:bottom w:w="0" w:type="dxa"/>
            <w:right w:w="108" w:type="dxa"/>
          </w:tblCellMar>
        </w:tblPrEx>
        <w:trPr>
          <w:trHeight w:val="841"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cs="仿宋"/>
                <w:szCs w:val="21"/>
              </w:rPr>
            </w:pPr>
            <w:r>
              <w:rPr>
                <w:rFonts w:cs="仿宋"/>
                <w:szCs w:val="21"/>
              </w:rPr>
              <w:t>5</w:t>
            </w:r>
          </w:p>
        </w:tc>
        <w:tc>
          <w:tcPr>
            <w:tcW w:w="1598" w:type="dxa"/>
            <w:tcBorders>
              <w:top w:val="single" w:color="auto" w:sz="4" w:space="0"/>
              <w:left w:val="nil"/>
              <w:bottom w:val="single" w:color="auto" w:sz="4" w:space="0"/>
              <w:right w:val="single" w:color="auto" w:sz="4" w:space="0"/>
            </w:tcBorders>
            <w:vAlign w:val="center"/>
          </w:tcPr>
          <w:p>
            <w:pPr>
              <w:jc w:val="center"/>
            </w:pPr>
            <w:r>
              <w:rPr>
                <w:rFonts w:hint="eastAsia" w:hAnsi="宋体"/>
              </w:rPr>
              <w:t>服务方案</w:t>
            </w:r>
          </w:p>
        </w:tc>
        <w:tc>
          <w:tcPr>
            <w:tcW w:w="761" w:type="dxa"/>
            <w:tcBorders>
              <w:top w:val="single" w:color="auto" w:sz="4" w:space="0"/>
              <w:left w:val="nil"/>
              <w:bottom w:val="single" w:color="auto" w:sz="4" w:space="0"/>
              <w:right w:val="single" w:color="auto" w:sz="4" w:space="0"/>
            </w:tcBorders>
            <w:vAlign w:val="center"/>
          </w:tcPr>
          <w:p>
            <w:r>
              <w:t>2</w:t>
            </w:r>
            <w:r>
              <w:rPr>
                <w:rFonts w:hint="eastAsia"/>
              </w:rPr>
              <w:t>5</w:t>
            </w:r>
            <w:r>
              <w:rPr>
                <w:rFonts w:hint="eastAsia" w:hAnsi="宋体"/>
              </w:rPr>
              <w:t>分</w:t>
            </w:r>
          </w:p>
        </w:tc>
        <w:tc>
          <w:tcPr>
            <w:tcW w:w="6287" w:type="dxa"/>
            <w:gridSpan w:val="2"/>
            <w:tcBorders>
              <w:top w:val="single" w:color="auto" w:sz="4" w:space="0"/>
              <w:left w:val="nil"/>
              <w:bottom w:val="single" w:color="auto" w:sz="4" w:space="0"/>
              <w:right w:val="single" w:color="auto" w:sz="4" w:space="0"/>
            </w:tcBorders>
            <w:vAlign w:val="center"/>
          </w:tcPr>
          <w:p>
            <w:pPr>
              <w:spacing w:line="360" w:lineRule="auto"/>
              <w:textAlignment w:val="baseline"/>
            </w:pPr>
            <w:r>
              <w:rPr>
                <w:rFonts w:hint="eastAsia"/>
              </w:rPr>
              <w:t>1、根据专家服务团队配备情况从优到劣依次打分，按评价优劣得0-5分。未提供不得分。</w:t>
            </w:r>
          </w:p>
          <w:p>
            <w:pPr>
              <w:spacing w:line="360" w:lineRule="auto"/>
              <w:textAlignment w:val="baseline"/>
            </w:pPr>
            <w:r>
              <w:rPr>
                <w:rFonts w:hint="eastAsia"/>
              </w:rPr>
              <w:t>2、根据保险绿色通道开通情况从优到劣依次打分，按评价优劣得0-5分。未提供不得分。</w:t>
            </w:r>
          </w:p>
          <w:p>
            <w:pPr>
              <w:spacing w:line="360" w:lineRule="auto"/>
              <w:textAlignment w:val="baseline"/>
            </w:pPr>
            <w:r>
              <w:rPr>
                <w:rFonts w:hint="eastAsia"/>
              </w:rPr>
              <w:t>3、根据客户回访承诺情况从优到劣依次打分，按评价优劣得0-5分。未提供不得分。</w:t>
            </w:r>
          </w:p>
          <w:p>
            <w:pPr>
              <w:spacing w:line="360" w:lineRule="auto"/>
              <w:textAlignment w:val="baseline"/>
            </w:pPr>
            <w:r>
              <w:rPr>
                <w:rFonts w:hint="eastAsia"/>
              </w:rPr>
              <w:t>4、根据服务保障情况从优到劣依次打分，按评价优劣得0-5分。未提供不得分。</w:t>
            </w:r>
          </w:p>
          <w:p>
            <w:pPr>
              <w:spacing w:line="360" w:lineRule="auto"/>
              <w:textAlignment w:val="baseline"/>
            </w:pPr>
            <w:r>
              <w:rPr>
                <w:rFonts w:hint="eastAsia"/>
              </w:rPr>
              <w:t>5、根据服务方案的针对性从优到劣依次打分，按评价优劣得0-5分。未提供不得分。</w:t>
            </w:r>
          </w:p>
        </w:tc>
      </w:tr>
      <w:tr>
        <w:tblPrEx>
          <w:tblCellMar>
            <w:top w:w="0" w:type="dxa"/>
            <w:left w:w="108" w:type="dxa"/>
            <w:bottom w:w="0" w:type="dxa"/>
            <w:right w:w="108" w:type="dxa"/>
          </w:tblCellMar>
        </w:tblPrEx>
        <w:trPr>
          <w:trHeight w:val="464"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baseline"/>
              <w:rPr>
                <w:rFonts w:cs="仿宋"/>
                <w:szCs w:val="21"/>
              </w:rPr>
            </w:pPr>
            <w:r>
              <w:rPr>
                <w:rFonts w:cs="仿宋"/>
                <w:szCs w:val="21"/>
              </w:rPr>
              <w:t>6</w:t>
            </w:r>
          </w:p>
        </w:tc>
        <w:tc>
          <w:tcPr>
            <w:tcW w:w="1598" w:type="dxa"/>
            <w:tcBorders>
              <w:top w:val="single" w:color="auto" w:sz="4" w:space="0"/>
              <w:left w:val="nil"/>
              <w:bottom w:val="single" w:color="auto" w:sz="4" w:space="0"/>
              <w:right w:val="single" w:color="auto" w:sz="4" w:space="0"/>
            </w:tcBorders>
            <w:vAlign w:val="center"/>
          </w:tcPr>
          <w:p>
            <w:pPr>
              <w:jc w:val="center"/>
            </w:pPr>
            <w:r>
              <w:rPr>
                <w:rFonts w:hint="eastAsia" w:hAnsi="宋体"/>
              </w:rPr>
              <w:t>服务承诺</w:t>
            </w:r>
          </w:p>
        </w:tc>
        <w:tc>
          <w:tcPr>
            <w:tcW w:w="761" w:type="dxa"/>
            <w:tcBorders>
              <w:top w:val="single" w:color="auto" w:sz="4" w:space="0"/>
              <w:left w:val="nil"/>
              <w:bottom w:val="single" w:color="auto" w:sz="4" w:space="0"/>
              <w:right w:val="single" w:color="auto" w:sz="4" w:space="0"/>
            </w:tcBorders>
            <w:vAlign w:val="center"/>
          </w:tcPr>
          <w:p>
            <w:r>
              <w:t>10</w:t>
            </w:r>
            <w:r>
              <w:rPr>
                <w:rFonts w:hint="eastAsia" w:hAnsi="宋体"/>
              </w:rPr>
              <w:t>分</w:t>
            </w:r>
          </w:p>
        </w:tc>
        <w:tc>
          <w:tcPr>
            <w:tcW w:w="628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textAlignment w:val="baseline"/>
            </w:pPr>
            <w:r>
              <w:rPr>
                <w:rFonts w:hint="eastAsia"/>
              </w:rPr>
              <w:t>1、根据专家服务团队配备情况从优到劣依次打分，按评价优劣得0-</w:t>
            </w:r>
            <w:r>
              <w:t>2.5</w:t>
            </w:r>
            <w:r>
              <w:rPr>
                <w:rFonts w:hint="eastAsia"/>
              </w:rPr>
              <w:t>分。未提供不得分。</w:t>
            </w:r>
          </w:p>
          <w:p>
            <w:pPr>
              <w:spacing w:line="360" w:lineRule="auto"/>
              <w:textAlignment w:val="baseline"/>
            </w:pPr>
            <w:r>
              <w:rPr>
                <w:rFonts w:hint="eastAsia"/>
              </w:rPr>
              <w:t>2、根据保险绿色通道开通情况从优到劣依次打分，按评价优劣得0-</w:t>
            </w:r>
            <w:r>
              <w:t>2.5</w:t>
            </w:r>
            <w:r>
              <w:rPr>
                <w:rFonts w:hint="eastAsia"/>
              </w:rPr>
              <w:t>分。未提供不得分。</w:t>
            </w:r>
          </w:p>
          <w:p>
            <w:pPr>
              <w:spacing w:line="360" w:lineRule="auto"/>
              <w:textAlignment w:val="baseline"/>
            </w:pPr>
            <w:r>
              <w:rPr>
                <w:rFonts w:hint="eastAsia"/>
              </w:rPr>
              <w:t>3、根据客户回访承诺情况从优到劣依次打分，按评价优劣得0-</w:t>
            </w:r>
            <w:r>
              <w:t>2.5</w:t>
            </w:r>
            <w:r>
              <w:rPr>
                <w:rFonts w:hint="eastAsia"/>
              </w:rPr>
              <w:t>分。未提供不得分。</w:t>
            </w:r>
          </w:p>
          <w:p>
            <w:pPr>
              <w:spacing w:line="360" w:lineRule="auto"/>
              <w:textAlignment w:val="baseline"/>
            </w:pPr>
            <w:r>
              <w:rPr>
                <w:rFonts w:hint="eastAsia"/>
              </w:rPr>
              <w:t>4、根据服务保障情况从优到劣依次打分，按评价优劣得0-</w:t>
            </w:r>
            <w:r>
              <w:t>2.5</w:t>
            </w:r>
            <w:r>
              <w:rPr>
                <w:rFonts w:hint="eastAsia"/>
              </w:rPr>
              <w:t>分。未提供不得分。</w:t>
            </w:r>
          </w:p>
        </w:tc>
      </w:tr>
    </w:tbl>
    <w:p>
      <w:pPr>
        <w:adjustRightInd w:val="0"/>
        <w:snapToGrid w:val="0"/>
        <w:spacing w:before="100" w:beforeAutospacing="1" w:line="360" w:lineRule="auto"/>
        <w:ind w:firstLine="480" w:firstLineChars="200"/>
        <w:rPr>
          <w:rFonts w:ascii="宋体" w:hAnsi="宋体"/>
          <w:sz w:val="24"/>
        </w:rPr>
      </w:pPr>
      <w:r>
        <w:rPr>
          <w:rFonts w:hint="eastAsia" w:ascii="宋体" w:hAnsi="宋体"/>
          <w:sz w:val="24"/>
        </w:rPr>
        <w:t>3、价格部分评审</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68"/>
        <w:gridCol w:w="1269"/>
        <w:gridCol w:w="94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5" w:hRule="atLeast"/>
          <w:tblHeader/>
          <w:jc w:val="center"/>
        </w:trPr>
        <w:tc>
          <w:tcPr>
            <w:tcW w:w="485"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序号</w:t>
            </w:r>
          </w:p>
        </w:tc>
        <w:tc>
          <w:tcPr>
            <w:tcW w:w="709"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评分因素</w:t>
            </w:r>
          </w:p>
          <w:p>
            <w:pPr>
              <w:spacing w:line="320" w:lineRule="exact"/>
              <w:ind w:firstLine="27" w:firstLineChars="13"/>
              <w:jc w:val="center"/>
              <w:rPr>
                <w:rFonts w:ascii="宋体" w:hAnsi="宋体"/>
                <w:kern w:val="0"/>
                <w:szCs w:val="21"/>
              </w:rPr>
            </w:pPr>
            <w:r>
              <w:rPr>
                <w:rFonts w:hint="eastAsia" w:ascii="宋体" w:hAnsi="宋体"/>
                <w:kern w:val="0"/>
                <w:szCs w:val="21"/>
              </w:rPr>
              <w:t>及权重</w:t>
            </w:r>
          </w:p>
        </w:tc>
        <w:tc>
          <w:tcPr>
            <w:tcW w:w="526"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分值</w:t>
            </w:r>
          </w:p>
        </w:tc>
        <w:tc>
          <w:tcPr>
            <w:tcW w:w="3280"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5" w:hRule="atLeast"/>
          <w:jc w:val="center"/>
        </w:trPr>
        <w:tc>
          <w:tcPr>
            <w:tcW w:w="485"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1</w:t>
            </w:r>
          </w:p>
        </w:tc>
        <w:tc>
          <w:tcPr>
            <w:tcW w:w="709"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报价</w:t>
            </w:r>
          </w:p>
        </w:tc>
        <w:tc>
          <w:tcPr>
            <w:tcW w:w="526"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宋体" w:hAnsi="宋体"/>
                <w:kern w:val="0"/>
                <w:szCs w:val="21"/>
              </w:rPr>
            </w:pPr>
            <w:r>
              <w:rPr>
                <w:rFonts w:hint="eastAsia" w:ascii="宋体" w:hAnsi="宋体"/>
                <w:kern w:val="0"/>
                <w:szCs w:val="21"/>
              </w:rPr>
              <w:t>20分</w:t>
            </w:r>
          </w:p>
        </w:tc>
        <w:tc>
          <w:tcPr>
            <w:tcW w:w="3280" w:type="pct"/>
            <w:tcBorders>
              <w:tl2br w:val="nil"/>
              <w:tr2bl w:val="nil"/>
            </w:tcBorders>
            <w:shd w:val="clear" w:color="000000" w:fill="FFFFFF"/>
            <w:tcMar>
              <w:left w:w="108" w:type="dxa"/>
              <w:right w:w="108" w:type="dxa"/>
            </w:tcMar>
            <w:vAlign w:val="center"/>
          </w:tcPr>
          <w:p>
            <w:pPr>
              <w:spacing w:line="320" w:lineRule="exact"/>
              <w:rPr>
                <w:rFonts w:ascii="宋体" w:hAnsi="宋体"/>
                <w:kern w:val="0"/>
                <w:szCs w:val="21"/>
              </w:rPr>
            </w:pPr>
            <w:r>
              <w:rPr>
                <w:rFonts w:hint="eastAsia" w:ascii="宋体" w:hAnsi="宋体"/>
                <w:kern w:val="0"/>
                <w:szCs w:val="21"/>
              </w:rPr>
              <w:t>各投标人的有效报价的算术平均值为评标基准价，投标报价等于评标基准价的得满分20分，各投标人的投标报价与评标基准价相比较，每上浮1%扣0.9分，下浮1%扣0.6分，不足1%的采用插入法，得分保留小数点后两位。</w:t>
            </w:r>
          </w:p>
        </w:tc>
      </w:tr>
    </w:tbl>
    <w:p>
      <w:pPr>
        <w:adjustRightInd w:val="0"/>
        <w:snapToGrid w:val="0"/>
        <w:spacing w:before="100" w:beforeAutospacing="1" w:line="360" w:lineRule="auto"/>
        <w:ind w:firstLine="482" w:firstLineChars="200"/>
        <w:rPr>
          <w:rFonts w:ascii="宋体" w:hAnsi="宋体"/>
          <w:b/>
          <w:bCs/>
          <w:sz w:val="24"/>
        </w:rPr>
      </w:pPr>
      <w:r>
        <w:rPr>
          <w:rFonts w:hint="eastAsia" w:ascii="宋体" w:hAnsi="宋体"/>
          <w:b/>
          <w:bCs/>
          <w:sz w:val="24"/>
        </w:rPr>
        <w:t>第三条 确定中标候选人</w:t>
      </w:r>
    </w:p>
    <w:p>
      <w:pPr>
        <w:adjustRightInd w:val="0"/>
        <w:snapToGrid w:val="0"/>
        <w:spacing w:line="360" w:lineRule="auto"/>
        <w:ind w:firstLine="480" w:firstLineChars="200"/>
        <w:rPr>
          <w:rFonts w:ascii="宋体" w:hAnsi="宋体"/>
          <w:sz w:val="24"/>
        </w:rPr>
      </w:pPr>
      <w:r>
        <w:rPr>
          <w:rFonts w:hint="eastAsia" w:ascii="宋体" w:hAnsi="宋体"/>
          <w:sz w:val="24"/>
        </w:rPr>
        <w:t>投标人技术标和商务标的合计分值，为该投标人的评标总得分。</w:t>
      </w:r>
    </w:p>
    <w:p>
      <w:pPr>
        <w:adjustRightInd w:val="0"/>
        <w:snapToGrid w:val="0"/>
        <w:spacing w:line="360" w:lineRule="auto"/>
        <w:ind w:firstLine="480" w:firstLineChars="200"/>
        <w:rPr>
          <w:rFonts w:ascii="宋体" w:hAnsi="宋体"/>
          <w:sz w:val="24"/>
        </w:rPr>
      </w:pPr>
      <w:r>
        <w:rPr>
          <w:rFonts w:hint="eastAsia" w:ascii="宋体" w:hAnsi="宋体"/>
          <w:sz w:val="24"/>
        </w:rPr>
        <w:t>评标结果按评审后得分由高到低顺序排列。得分相同的，按投标报价由低到高顺序排列。得分且投标报价均相同的由招标人代表抽签确定。投标文件满足招标文件全部实质性要求，且按照评审因素的量化指标评审得分前三名的投标人为中标候选人。</w:t>
      </w:r>
    </w:p>
    <w:p>
      <w:pPr>
        <w:adjustRightInd w:val="0"/>
        <w:snapToGrid w:val="0"/>
        <w:spacing w:line="360" w:lineRule="auto"/>
        <w:ind w:firstLine="482" w:firstLineChars="200"/>
        <w:rPr>
          <w:rFonts w:ascii="宋体" w:hAnsi="宋体"/>
          <w:b/>
          <w:bCs/>
          <w:sz w:val="24"/>
        </w:rPr>
      </w:pPr>
      <w:r>
        <w:rPr>
          <w:rFonts w:hint="eastAsia" w:ascii="宋体" w:hAnsi="宋体"/>
          <w:b/>
          <w:bCs/>
          <w:sz w:val="24"/>
        </w:rPr>
        <w:t>第四条  无效投标条款</w:t>
      </w:r>
    </w:p>
    <w:p>
      <w:pPr>
        <w:adjustRightInd w:val="0"/>
        <w:snapToGrid w:val="0"/>
        <w:spacing w:line="360" w:lineRule="auto"/>
        <w:ind w:firstLine="480" w:firstLineChars="200"/>
        <w:rPr>
          <w:rFonts w:ascii="宋体" w:hAnsi="宋体"/>
          <w:sz w:val="24"/>
        </w:rPr>
      </w:pPr>
      <w:bookmarkStart w:id="29" w:name="_Toc16938551"/>
      <w:bookmarkStart w:id="30" w:name="_Toc513029235"/>
      <w:bookmarkStart w:id="31" w:name="_Toc20823307"/>
      <w:r>
        <w:rPr>
          <w:rFonts w:hint="eastAsia" w:ascii="宋体" w:hAnsi="宋体"/>
          <w:sz w:val="24"/>
        </w:rPr>
        <w:t>1、同一投标人提交两个（含两个）以上不同的投标报价的。</w:t>
      </w:r>
    </w:p>
    <w:p>
      <w:pPr>
        <w:adjustRightInd w:val="0"/>
        <w:snapToGrid w:val="0"/>
        <w:spacing w:line="360" w:lineRule="auto"/>
        <w:ind w:firstLine="480" w:firstLineChars="200"/>
        <w:rPr>
          <w:rFonts w:ascii="宋体" w:hAnsi="宋体"/>
          <w:sz w:val="24"/>
        </w:rPr>
      </w:pPr>
      <w:r>
        <w:rPr>
          <w:rFonts w:hint="eastAsia" w:ascii="宋体" w:hAnsi="宋体"/>
          <w:sz w:val="24"/>
        </w:rPr>
        <w:t>2、投标人不具备招标文件中规定资格要求的。</w:t>
      </w:r>
    </w:p>
    <w:p>
      <w:pPr>
        <w:adjustRightInd w:val="0"/>
        <w:snapToGrid w:val="0"/>
        <w:spacing w:line="360" w:lineRule="auto"/>
        <w:ind w:firstLine="480" w:firstLineChars="200"/>
        <w:rPr>
          <w:rFonts w:ascii="宋体" w:hAnsi="宋体"/>
          <w:sz w:val="24"/>
        </w:rPr>
      </w:pPr>
      <w:r>
        <w:rPr>
          <w:rFonts w:hint="eastAsia" w:ascii="宋体" w:hAnsi="宋体"/>
          <w:sz w:val="24"/>
        </w:rPr>
        <w:t>3、投标人的报价超过了最高限价的。</w:t>
      </w:r>
    </w:p>
    <w:p>
      <w:pPr>
        <w:adjustRightInd w:val="0"/>
        <w:snapToGrid w:val="0"/>
        <w:spacing w:line="360" w:lineRule="auto"/>
        <w:ind w:firstLine="480" w:firstLineChars="200"/>
        <w:rPr>
          <w:rFonts w:ascii="宋体" w:hAnsi="宋体"/>
          <w:sz w:val="24"/>
        </w:rPr>
      </w:pPr>
      <w:r>
        <w:rPr>
          <w:rFonts w:hint="eastAsia" w:ascii="宋体" w:hAnsi="宋体"/>
          <w:sz w:val="24"/>
        </w:rPr>
        <w:t>4、未通过符合性检查的。</w:t>
      </w:r>
    </w:p>
    <w:p>
      <w:pPr>
        <w:adjustRightInd w:val="0"/>
        <w:snapToGrid w:val="0"/>
        <w:spacing w:line="360" w:lineRule="auto"/>
        <w:ind w:firstLine="480" w:firstLineChars="200"/>
        <w:rPr>
          <w:rFonts w:ascii="宋体" w:hAnsi="宋体"/>
          <w:sz w:val="24"/>
        </w:rPr>
      </w:pPr>
      <w:r>
        <w:rPr>
          <w:rFonts w:hint="eastAsia" w:ascii="宋体" w:hAnsi="宋体"/>
          <w:sz w:val="24"/>
        </w:rPr>
        <w:t>5、不符合招标文件中规定的其他实质性要求和条件的。</w:t>
      </w:r>
    </w:p>
    <w:p>
      <w:pPr>
        <w:adjustRightInd w:val="0"/>
        <w:snapToGrid w:val="0"/>
        <w:spacing w:line="360" w:lineRule="auto"/>
        <w:ind w:firstLine="480" w:firstLineChars="200"/>
        <w:rPr>
          <w:rFonts w:ascii="宋体" w:hAnsi="宋体"/>
          <w:sz w:val="24"/>
        </w:rPr>
      </w:pPr>
      <w:r>
        <w:rPr>
          <w:rFonts w:hint="eastAsia" w:ascii="宋体" w:hAnsi="宋体"/>
          <w:sz w:val="24"/>
        </w:rPr>
        <w:t>6、投标文件含有招标人不能接受的附加条件的。</w:t>
      </w:r>
    </w:p>
    <w:p>
      <w:pPr>
        <w:adjustRightInd w:val="0"/>
        <w:snapToGrid w:val="0"/>
        <w:spacing w:line="360" w:lineRule="auto"/>
        <w:ind w:firstLine="480" w:firstLineChars="200"/>
        <w:rPr>
          <w:rFonts w:ascii="宋体" w:hAnsi="宋体"/>
          <w:sz w:val="24"/>
        </w:rPr>
      </w:pPr>
      <w:r>
        <w:rPr>
          <w:rFonts w:hint="eastAsia" w:ascii="宋体" w:hAnsi="宋体"/>
          <w:sz w:val="24"/>
        </w:rPr>
        <w:t>7、评标委员会认为投标人的报价明显低于其他通过符合性审查投标人的报价，有可能影响产品质量或者不能诚信履约的，要求其在合理的时间内提供说明，必要时提交相关证明材料；投标人不能证明其报价合理性的，评标委员会应当将其作为无效投标处理。</w:t>
      </w:r>
    </w:p>
    <w:p>
      <w:pPr>
        <w:adjustRightInd w:val="0"/>
        <w:snapToGrid w:val="0"/>
        <w:spacing w:line="360" w:lineRule="auto"/>
        <w:ind w:firstLine="480" w:firstLineChars="200"/>
        <w:rPr>
          <w:rFonts w:ascii="宋体" w:hAnsi="宋体"/>
          <w:sz w:val="24"/>
        </w:rPr>
      </w:pPr>
      <w:r>
        <w:rPr>
          <w:rFonts w:hint="eastAsia" w:ascii="宋体" w:hAnsi="宋体"/>
          <w:sz w:val="24"/>
        </w:rPr>
        <w:t>8、投标文件未按照招标文件要求签字、盖章的。</w:t>
      </w:r>
    </w:p>
    <w:p>
      <w:pPr>
        <w:adjustRightInd w:val="0"/>
        <w:snapToGrid w:val="0"/>
        <w:spacing w:line="360" w:lineRule="auto"/>
        <w:ind w:firstLine="480" w:firstLineChars="200"/>
        <w:rPr>
          <w:rFonts w:ascii="宋体" w:hAnsi="宋体"/>
          <w:sz w:val="24"/>
        </w:rPr>
      </w:pPr>
      <w:r>
        <w:rPr>
          <w:rFonts w:hint="eastAsia" w:ascii="宋体" w:hAnsi="宋体"/>
          <w:sz w:val="24"/>
        </w:rPr>
        <w:t>9、其他法律、法规及本招标文件规定的属无效投标的情形。</w:t>
      </w:r>
    </w:p>
    <w:bookmarkEnd w:id="29"/>
    <w:bookmarkEnd w:id="30"/>
    <w:bookmarkEnd w:id="31"/>
    <w:p>
      <w:pPr>
        <w:adjustRightInd w:val="0"/>
        <w:snapToGrid w:val="0"/>
        <w:spacing w:beforeLines="50" w:afterLines="50" w:line="360" w:lineRule="auto"/>
        <w:jc w:val="center"/>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pStyle w:val="16"/>
        <w:ind w:firstLine="643"/>
        <w:rPr>
          <w:rFonts w:ascii="宋体" w:hAnsi="宋体"/>
          <w:b/>
          <w:bCs/>
          <w:sz w:val="32"/>
          <w:szCs w:val="32"/>
        </w:rPr>
      </w:pPr>
    </w:p>
    <w:p>
      <w:pPr>
        <w:adjustRightInd w:val="0"/>
        <w:snapToGrid w:val="0"/>
        <w:spacing w:beforeLines="50" w:afterLines="50" w:line="360" w:lineRule="auto"/>
        <w:jc w:val="center"/>
        <w:rPr>
          <w:rFonts w:ascii="宋体" w:hAnsi="宋体"/>
          <w:b/>
          <w:bCs/>
          <w:sz w:val="32"/>
          <w:szCs w:val="32"/>
        </w:rPr>
      </w:pPr>
      <w:r>
        <w:rPr>
          <w:rFonts w:hint="eastAsia" w:ascii="宋体" w:hAnsi="宋体"/>
          <w:b/>
          <w:bCs/>
          <w:sz w:val="32"/>
          <w:szCs w:val="32"/>
        </w:rPr>
        <w:t>第四章  投标文件格式</w:t>
      </w:r>
    </w:p>
    <w:p>
      <w:pPr>
        <w:jc w:val="center"/>
        <w:rPr>
          <w:rFonts w:ascii="宋体" w:hAnsi="宋体"/>
          <w:sz w:val="44"/>
          <w:szCs w:val="44"/>
        </w:rPr>
      </w:pPr>
    </w:p>
    <w:p>
      <w:pPr>
        <w:pStyle w:val="16"/>
        <w:ind w:firstLine="420"/>
        <w:rPr>
          <w:rFonts w:ascii="宋体" w:hAnsi="宋体"/>
        </w:rPr>
      </w:pPr>
    </w:p>
    <w:p>
      <w:pPr>
        <w:jc w:val="center"/>
        <w:rPr>
          <w:rFonts w:ascii="宋体" w:hAnsi="宋体"/>
          <w:sz w:val="36"/>
          <w:szCs w:val="44"/>
        </w:rPr>
      </w:pPr>
      <w:r>
        <w:rPr>
          <w:rFonts w:hint="eastAsia" w:ascii="宋体" w:hAnsi="宋体"/>
          <w:sz w:val="44"/>
          <w:szCs w:val="44"/>
          <w:u w:val="single"/>
        </w:rPr>
        <w:t xml:space="preserve">                  </w:t>
      </w:r>
      <w:r>
        <w:rPr>
          <w:rFonts w:hint="eastAsia" w:ascii="宋体" w:hAnsi="宋体"/>
          <w:sz w:val="36"/>
          <w:szCs w:val="44"/>
        </w:rPr>
        <w:t>（项目名称）</w:t>
      </w:r>
    </w:p>
    <w:p>
      <w:pPr>
        <w:jc w:val="center"/>
        <w:rPr>
          <w:rFonts w:ascii="宋体" w:hAnsi="宋体"/>
          <w:sz w:val="22"/>
          <w:szCs w:val="28"/>
        </w:rPr>
      </w:pPr>
    </w:p>
    <w:p>
      <w:pPr>
        <w:jc w:val="center"/>
        <w:rPr>
          <w:rFonts w:ascii="宋体" w:hAnsi="宋体"/>
          <w:sz w:val="22"/>
          <w:szCs w:val="28"/>
        </w:rPr>
      </w:pPr>
    </w:p>
    <w:p>
      <w:pPr>
        <w:rPr>
          <w:rFonts w:ascii="宋体" w:hAnsi="宋体"/>
          <w:sz w:val="22"/>
          <w:szCs w:val="28"/>
        </w:rPr>
      </w:pPr>
    </w:p>
    <w:p>
      <w:pPr>
        <w:jc w:val="center"/>
        <w:rPr>
          <w:rFonts w:ascii="宋体" w:hAnsi="宋体"/>
          <w:sz w:val="22"/>
          <w:szCs w:val="28"/>
        </w:rPr>
      </w:pPr>
    </w:p>
    <w:p>
      <w:pPr>
        <w:spacing w:beforeLines="100"/>
        <w:jc w:val="center"/>
        <w:rPr>
          <w:rFonts w:ascii="宋体" w:hAnsi="宋体"/>
          <w:b/>
          <w:bCs/>
          <w:sz w:val="72"/>
          <w:szCs w:val="72"/>
        </w:rPr>
      </w:pPr>
      <w:r>
        <w:rPr>
          <w:rFonts w:hint="eastAsia" w:ascii="宋体" w:hAnsi="宋体"/>
          <w:b/>
          <w:bCs/>
          <w:sz w:val="72"/>
          <w:szCs w:val="72"/>
        </w:rPr>
        <w:t>投 标 文 件</w:t>
      </w:r>
    </w:p>
    <w:p>
      <w:pPr>
        <w:jc w:val="center"/>
        <w:rPr>
          <w:rFonts w:ascii="宋体" w:hAnsi="宋体"/>
          <w:sz w:val="24"/>
          <w:szCs w:val="32"/>
        </w:rPr>
      </w:pPr>
    </w:p>
    <w:p>
      <w:pPr>
        <w:jc w:val="center"/>
        <w:rPr>
          <w:rFonts w:ascii="宋体" w:hAnsi="宋体"/>
          <w:sz w:val="28"/>
          <w:szCs w:val="28"/>
        </w:rPr>
      </w:pPr>
      <w:r>
        <w:rPr>
          <w:rFonts w:hint="eastAsia" w:ascii="宋体" w:hAnsi="宋体"/>
          <w:sz w:val="28"/>
          <w:szCs w:val="28"/>
        </w:rPr>
        <w:t>（资格审查/技术标/商务标）</w:t>
      </w:r>
    </w:p>
    <w:p>
      <w:pPr>
        <w:jc w:val="center"/>
        <w:rPr>
          <w:rFonts w:ascii="宋体" w:hAnsi="宋体"/>
          <w:sz w:val="24"/>
          <w:szCs w:val="32"/>
        </w:rPr>
      </w:pPr>
    </w:p>
    <w:p>
      <w:pPr>
        <w:jc w:val="center"/>
        <w:rPr>
          <w:rFonts w:ascii="宋体" w:hAnsi="宋体"/>
          <w:sz w:val="24"/>
          <w:szCs w:val="32"/>
        </w:rPr>
      </w:pPr>
    </w:p>
    <w:p>
      <w:pPr>
        <w:rPr>
          <w:rFonts w:ascii="宋体" w:hAnsi="宋体"/>
          <w:sz w:val="32"/>
          <w:szCs w:val="32"/>
        </w:rPr>
      </w:pPr>
    </w:p>
    <w:p>
      <w:pPr>
        <w:pStyle w:val="15"/>
        <w:spacing w:line="420" w:lineRule="atLeast"/>
        <w:ind w:firstLine="840" w:firstLineChars="300"/>
        <w:rPr>
          <w:sz w:val="28"/>
          <w:szCs w:val="28"/>
        </w:rPr>
      </w:pPr>
      <w:r>
        <w:rPr>
          <w:rFonts w:hint="eastAsia"/>
          <w:sz w:val="28"/>
          <w:szCs w:val="28"/>
        </w:rPr>
        <w:t>投标单位：</w:t>
      </w:r>
      <w:r>
        <w:rPr>
          <w:rFonts w:hint="eastAsia"/>
          <w:sz w:val="28"/>
          <w:szCs w:val="28"/>
          <w:u w:val="single"/>
        </w:rPr>
        <w:t xml:space="preserve">                           </w:t>
      </w:r>
      <w:r>
        <w:rPr>
          <w:rFonts w:hint="eastAsia"/>
          <w:sz w:val="28"/>
          <w:szCs w:val="28"/>
        </w:rPr>
        <w:t>（盖单位公章）</w:t>
      </w:r>
    </w:p>
    <w:p>
      <w:pPr>
        <w:pStyle w:val="15"/>
        <w:spacing w:line="420" w:lineRule="atLeast"/>
        <w:ind w:firstLine="840" w:firstLineChars="300"/>
        <w:rPr>
          <w:sz w:val="28"/>
          <w:szCs w:val="28"/>
        </w:rPr>
      </w:pPr>
      <w:r>
        <w:rPr>
          <w:rFonts w:hint="eastAsia"/>
          <w:sz w:val="28"/>
          <w:szCs w:val="28"/>
        </w:rPr>
        <w:t>法定代表人或其委托代理人：</w:t>
      </w:r>
      <w:r>
        <w:rPr>
          <w:rFonts w:hint="eastAsia"/>
          <w:sz w:val="28"/>
          <w:szCs w:val="28"/>
          <w:u w:val="single"/>
        </w:rPr>
        <w:t xml:space="preserve">         </w:t>
      </w:r>
      <w:r>
        <w:rPr>
          <w:rFonts w:hint="eastAsia"/>
          <w:sz w:val="28"/>
          <w:szCs w:val="28"/>
        </w:rPr>
        <w:t>（签字或盖章）</w:t>
      </w:r>
    </w:p>
    <w:p>
      <w:pPr>
        <w:pStyle w:val="15"/>
        <w:spacing w:line="420" w:lineRule="atLeast"/>
        <w:ind w:firstLine="840" w:firstLineChars="300"/>
        <w:rPr>
          <w:sz w:val="28"/>
          <w:szCs w:val="28"/>
          <w:u w:val="single"/>
        </w:rPr>
      </w:pPr>
      <w:r>
        <w:rPr>
          <w:rFonts w:hint="eastAsia"/>
          <w:sz w:val="28"/>
          <w:szCs w:val="28"/>
        </w:rPr>
        <w:t>日期：</w:t>
      </w:r>
      <w:r>
        <w:rPr>
          <w:rFonts w:hint="eastAsia"/>
          <w:sz w:val="28"/>
          <w:szCs w:val="28"/>
          <w:u w:val="single"/>
        </w:rPr>
        <w:t xml:space="preserve">                   </w:t>
      </w:r>
    </w:p>
    <w:p>
      <w:pPr>
        <w:pStyle w:val="15"/>
        <w:spacing w:line="420" w:lineRule="atLeast"/>
        <w:ind w:firstLine="840" w:firstLineChars="300"/>
        <w:rPr>
          <w:sz w:val="28"/>
          <w:szCs w:val="28"/>
          <w:u w:val="single"/>
        </w:rPr>
      </w:pPr>
    </w:p>
    <w:p>
      <w:pPr>
        <w:pStyle w:val="11"/>
        <w:spacing w:line="400" w:lineRule="exact"/>
        <w:jc w:val="center"/>
        <w:outlineLvl w:val="2"/>
        <w:rPr>
          <w:rFonts w:hAnsi="宋体"/>
          <w:b/>
          <w:bCs/>
          <w:kern w:val="2"/>
          <w:sz w:val="32"/>
          <w:szCs w:val="32"/>
        </w:rPr>
      </w:pPr>
      <w:bookmarkStart w:id="32" w:name="_Toc5428"/>
      <w:bookmarkStart w:id="33" w:name="_Toc342573643"/>
      <w:bookmarkStart w:id="34" w:name="_Toc5341"/>
    </w:p>
    <w:p>
      <w:pPr>
        <w:pStyle w:val="11"/>
        <w:spacing w:line="400" w:lineRule="exact"/>
        <w:jc w:val="center"/>
        <w:outlineLvl w:val="2"/>
        <w:rPr>
          <w:rFonts w:hAnsi="宋体"/>
          <w:b/>
          <w:bCs/>
          <w:kern w:val="2"/>
          <w:sz w:val="32"/>
          <w:szCs w:val="32"/>
        </w:rPr>
      </w:pPr>
    </w:p>
    <w:p>
      <w:pPr>
        <w:pStyle w:val="11"/>
        <w:spacing w:line="400" w:lineRule="exact"/>
        <w:jc w:val="center"/>
        <w:outlineLvl w:val="2"/>
        <w:rPr>
          <w:rFonts w:hAnsi="宋体"/>
          <w:b/>
          <w:bCs/>
          <w:kern w:val="2"/>
          <w:sz w:val="32"/>
          <w:szCs w:val="32"/>
        </w:rPr>
      </w:pPr>
    </w:p>
    <w:p>
      <w:pPr>
        <w:pStyle w:val="11"/>
        <w:spacing w:line="400" w:lineRule="exact"/>
        <w:jc w:val="center"/>
        <w:outlineLvl w:val="2"/>
        <w:rPr>
          <w:rFonts w:hAnsi="宋体"/>
          <w:b/>
          <w:bCs/>
          <w:kern w:val="2"/>
          <w:sz w:val="32"/>
          <w:szCs w:val="32"/>
        </w:rPr>
      </w:pPr>
    </w:p>
    <w:p>
      <w:pPr>
        <w:pStyle w:val="11"/>
        <w:spacing w:line="400" w:lineRule="exact"/>
        <w:jc w:val="center"/>
        <w:outlineLvl w:val="2"/>
        <w:rPr>
          <w:rFonts w:hAnsi="宋体"/>
          <w:b/>
          <w:bCs/>
          <w:kern w:val="2"/>
          <w:sz w:val="32"/>
          <w:szCs w:val="32"/>
        </w:rPr>
      </w:pPr>
      <w:r>
        <w:rPr>
          <w:rFonts w:hint="eastAsia" w:hAnsi="宋体"/>
          <w:b/>
          <w:bCs/>
          <w:kern w:val="2"/>
          <w:sz w:val="32"/>
          <w:szCs w:val="32"/>
        </w:rPr>
        <w:t>一、法定代表人身份证明书</w:t>
      </w:r>
      <w:bookmarkEnd w:id="32"/>
      <w:bookmarkEnd w:id="33"/>
      <w:bookmarkEnd w:id="34"/>
    </w:p>
    <w:p>
      <w:pPr>
        <w:topLinePunct/>
        <w:jc w:val="center"/>
        <w:rPr>
          <w:rFonts w:ascii="宋体"/>
          <w:szCs w:val="21"/>
        </w:rPr>
      </w:pPr>
    </w:p>
    <w:p>
      <w:pPr>
        <w:topLinePunct/>
        <w:jc w:val="center"/>
        <w:rPr>
          <w:rFonts w:ascii="宋体"/>
          <w:szCs w:val="21"/>
        </w:rPr>
      </w:pPr>
      <w:r>
        <w:rPr>
          <w:rFonts w:hint="eastAsia" w:ascii="宋体"/>
          <w:szCs w:val="21"/>
        </w:rPr>
        <w:t>（法定代表人参与时提供此证明）</w:t>
      </w:r>
    </w:p>
    <w:p>
      <w:pPr>
        <w:topLinePunct/>
        <w:jc w:val="center"/>
        <w:rPr>
          <w:rFonts w:ascii="宋体"/>
          <w:szCs w:val="21"/>
        </w:rPr>
      </w:pPr>
    </w:p>
    <w:p>
      <w:pPr>
        <w:topLinePunct/>
        <w:rPr>
          <w:rFonts w:ascii="宋体"/>
          <w:szCs w:val="21"/>
        </w:rPr>
      </w:pPr>
    </w:p>
    <w:p>
      <w:pPr>
        <w:topLinePunct/>
        <w:ind w:firstLine="612"/>
        <w:rPr>
          <w:rFonts w:ascii="宋体"/>
          <w:szCs w:val="21"/>
        </w:rPr>
      </w:pPr>
      <w:r>
        <w:rPr>
          <w:rFonts w:hint="eastAsia" w:ascii="宋体" w:hAnsi="宋体"/>
          <w:szCs w:val="21"/>
        </w:rPr>
        <w:t>单位名称：</w:t>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p>
    <w:p>
      <w:pPr>
        <w:topLinePunct/>
        <w:ind w:firstLine="612"/>
        <w:rPr>
          <w:rFonts w:ascii="宋体"/>
          <w:szCs w:val="21"/>
        </w:rPr>
      </w:pPr>
    </w:p>
    <w:p>
      <w:pPr>
        <w:topLinePunct/>
        <w:ind w:firstLine="610"/>
        <w:rPr>
          <w:rFonts w:ascii="宋体"/>
          <w:szCs w:val="21"/>
          <w:u w:val="single"/>
        </w:rPr>
      </w:pPr>
      <w:r>
        <w:rPr>
          <w:rFonts w:hint="eastAsia" w:ascii="宋体" w:hAnsi="宋体"/>
          <w:szCs w:val="21"/>
        </w:rPr>
        <w:t>单位性质：</w:t>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r>
        <w:rPr>
          <w:rFonts w:hint="eastAsia" w:ascii="宋体" w:hAnsi="宋体"/>
          <w:szCs w:val="21"/>
          <w:u w:val="single"/>
        </w:rPr>
        <w:tab/>
      </w:r>
    </w:p>
    <w:p>
      <w:pPr>
        <w:topLinePunct/>
        <w:ind w:firstLine="610"/>
        <w:rPr>
          <w:rFonts w:ascii="宋体"/>
          <w:szCs w:val="21"/>
        </w:rPr>
      </w:pPr>
    </w:p>
    <w:p>
      <w:pPr>
        <w:topLinePunct/>
        <w:ind w:firstLine="610"/>
        <w:rPr>
          <w:rFonts w:ascii="宋体"/>
          <w:szCs w:val="21"/>
          <w:u w:val="single"/>
        </w:rPr>
      </w:pPr>
      <w:r>
        <w:rPr>
          <w:rFonts w:hint="eastAsia" w:ascii="宋体" w:hAnsi="宋体"/>
          <w:szCs w:val="21"/>
        </w:rPr>
        <w:t>地    址：</w:t>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topLinePunct/>
        <w:ind w:firstLine="610"/>
        <w:rPr>
          <w:rFonts w:ascii="宋体"/>
          <w:szCs w:val="21"/>
        </w:rPr>
      </w:pPr>
    </w:p>
    <w:p>
      <w:pPr>
        <w:topLinePunct/>
        <w:ind w:firstLine="610"/>
        <w:rPr>
          <w:rFonts w:asci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topLinePunct/>
        <w:ind w:firstLine="610"/>
        <w:rPr>
          <w:rFonts w:ascii="宋体"/>
          <w:szCs w:val="21"/>
        </w:rPr>
      </w:pPr>
    </w:p>
    <w:p>
      <w:pPr>
        <w:topLinePunct/>
        <w:ind w:firstLine="610"/>
        <w:rPr>
          <w:rFonts w:ascii="宋体"/>
          <w:szCs w:val="21"/>
          <w:u w:val="single"/>
        </w:rPr>
      </w:pPr>
      <w:r>
        <w:rPr>
          <w:rFonts w:hint="eastAsia" w:ascii="宋体" w:hAnsi="宋体"/>
          <w:szCs w:val="21"/>
        </w:rPr>
        <w:t>经营期限：</w:t>
      </w:r>
      <w:r>
        <w:rPr>
          <w:rFonts w:hint="eastAsia" w:ascii="宋体"/>
          <w:szCs w:val="21"/>
          <w:u w:val="single"/>
        </w:rPr>
        <w:tab/>
      </w:r>
      <w:r>
        <w:rPr>
          <w:rFonts w:hint="eastAsia" w:ascii="宋体" w:hAnsi="宋体"/>
          <w:szCs w:val="21"/>
          <w:u w:val="single"/>
        </w:rPr>
        <w:t xml:space="preserve">                                  </w:t>
      </w:r>
    </w:p>
    <w:p>
      <w:pPr>
        <w:topLinePunct/>
        <w:ind w:firstLine="610"/>
        <w:rPr>
          <w:rFonts w:ascii="宋体"/>
          <w:szCs w:val="21"/>
        </w:rPr>
      </w:pPr>
    </w:p>
    <w:p>
      <w:pPr>
        <w:topLinePunct/>
        <w:ind w:firstLine="610"/>
        <w:rPr>
          <w:rFonts w:asci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系</w:t>
      </w:r>
      <w:r>
        <w:rPr>
          <w:rFonts w:hint="eastAsia" w:ascii="宋体" w:hAnsi="宋体"/>
          <w:i/>
          <w:iCs/>
          <w:szCs w:val="21"/>
          <w:u w:val="single"/>
        </w:rPr>
        <w:t>（投标人名称）</w:t>
      </w:r>
      <w:r>
        <w:rPr>
          <w:rFonts w:hint="eastAsia" w:ascii="宋体" w:hAnsi="宋体"/>
          <w:szCs w:val="21"/>
          <w:u w:val="single"/>
        </w:rPr>
        <w:t xml:space="preserve">          </w:t>
      </w:r>
      <w:r>
        <w:rPr>
          <w:rFonts w:hint="eastAsia" w:ascii="宋体" w:hAnsi="宋体"/>
          <w:szCs w:val="21"/>
        </w:rPr>
        <w:t>的法定代表人。</w:t>
      </w:r>
    </w:p>
    <w:p>
      <w:pPr>
        <w:topLinePunct/>
        <w:ind w:firstLine="610"/>
        <w:rPr>
          <w:rFonts w:ascii="宋体"/>
          <w:szCs w:val="21"/>
        </w:rPr>
      </w:pPr>
    </w:p>
    <w:p>
      <w:pPr>
        <w:topLinePunct/>
        <w:ind w:firstLine="610"/>
        <w:rPr>
          <w:rFonts w:ascii="宋体"/>
          <w:szCs w:val="21"/>
        </w:rPr>
      </w:pPr>
      <w:r>
        <w:rPr>
          <w:rFonts w:hint="eastAsia" w:ascii="宋体" w:hAnsi="宋体"/>
          <w:szCs w:val="21"/>
        </w:rPr>
        <w:t>特此证明。</w:t>
      </w:r>
    </w:p>
    <w:p>
      <w:pPr>
        <w:tabs>
          <w:tab w:val="left" w:pos="720"/>
          <w:tab w:val="left" w:pos="900"/>
        </w:tabs>
        <w:topLinePunct/>
        <w:ind w:firstLine="420" w:firstLineChars="200"/>
        <w:rPr>
          <w:rFonts w:ascii="宋体"/>
          <w:szCs w:val="21"/>
        </w:rPr>
      </w:pPr>
    </w:p>
    <w:p>
      <w:pPr>
        <w:tabs>
          <w:tab w:val="left" w:pos="720"/>
          <w:tab w:val="left" w:pos="900"/>
        </w:tabs>
        <w:topLinePunct/>
        <w:ind w:firstLine="420" w:firstLineChars="200"/>
        <w:rPr>
          <w:rFonts w:ascii="宋体"/>
          <w:szCs w:val="21"/>
        </w:rPr>
      </w:pPr>
    </w:p>
    <w:p>
      <w:pPr>
        <w:tabs>
          <w:tab w:val="left" w:pos="720"/>
          <w:tab w:val="left" w:pos="900"/>
        </w:tabs>
        <w:topLinePunct/>
        <w:ind w:firstLine="420" w:firstLineChars="200"/>
        <w:rPr>
          <w:rFonts w:ascii="宋体"/>
          <w:szCs w:val="21"/>
        </w:rPr>
      </w:pPr>
    </w:p>
    <w:p>
      <w:pPr>
        <w:tabs>
          <w:tab w:val="left" w:pos="720"/>
          <w:tab w:val="left" w:pos="900"/>
        </w:tabs>
        <w:topLinePunct/>
        <w:ind w:firstLine="3990" w:firstLineChars="1900"/>
        <w:rPr>
          <w:rFonts w:ascii="宋体"/>
          <w:szCs w:val="21"/>
        </w:rPr>
      </w:pPr>
    </w:p>
    <w:p>
      <w:pPr>
        <w:tabs>
          <w:tab w:val="left" w:pos="720"/>
          <w:tab w:val="left" w:pos="900"/>
        </w:tabs>
        <w:topLinePunct/>
        <w:ind w:firstLine="3990" w:firstLineChars="1900"/>
        <w:rPr>
          <w:rFonts w:ascii="宋体"/>
          <w:szCs w:val="21"/>
        </w:rPr>
      </w:pPr>
    </w:p>
    <w:p>
      <w:pPr>
        <w:tabs>
          <w:tab w:val="left" w:pos="851"/>
        </w:tabs>
        <w:spacing w:line="360" w:lineRule="auto"/>
        <w:ind w:left="420" w:leftChars="200"/>
        <w:jc w:val="right"/>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（盖单位公章）</w:t>
      </w:r>
    </w:p>
    <w:p>
      <w:pPr>
        <w:tabs>
          <w:tab w:val="left" w:pos="851"/>
        </w:tabs>
        <w:spacing w:line="360" w:lineRule="auto"/>
        <w:ind w:left="420" w:leftChars="200"/>
        <w:jc w:val="righ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b/>
          <w:bCs/>
          <w:szCs w:val="21"/>
        </w:rPr>
      </w:pPr>
    </w:p>
    <w:p>
      <w:pPr>
        <w:spacing w:line="220" w:lineRule="atLeast"/>
        <w:rPr>
          <w:rFonts w:ascii="宋体" w:hAnsi="宋体"/>
          <w:bCs/>
          <w:sz w:val="24"/>
          <w:szCs w:val="20"/>
        </w:rPr>
      </w:pPr>
    </w:p>
    <w:p>
      <w:pPr>
        <w:pStyle w:val="11"/>
        <w:spacing w:line="400" w:lineRule="exact"/>
        <w:jc w:val="center"/>
        <w:outlineLvl w:val="2"/>
        <w:rPr>
          <w:rFonts w:hAnsi="宋体"/>
          <w:b/>
          <w:bCs/>
          <w:kern w:val="2"/>
          <w:sz w:val="32"/>
          <w:szCs w:val="32"/>
        </w:rPr>
      </w:pPr>
      <w:r>
        <w:rPr>
          <w:rFonts w:hint="eastAsia" w:hAnsi="宋体"/>
          <w:b/>
          <w:sz w:val="36"/>
          <w:szCs w:val="36"/>
        </w:rPr>
        <w:br w:type="page"/>
      </w:r>
      <w:bookmarkStart w:id="35" w:name="_Toc17292"/>
      <w:bookmarkStart w:id="36" w:name="_Toc22037"/>
      <w:r>
        <w:rPr>
          <w:rFonts w:hint="eastAsia" w:hAnsi="宋体"/>
          <w:b/>
          <w:bCs/>
          <w:kern w:val="2"/>
          <w:sz w:val="32"/>
          <w:szCs w:val="32"/>
        </w:rPr>
        <w:t>二、授权委托书</w:t>
      </w:r>
      <w:bookmarkEnd w:id="35"/>
      <w:bookmarkEnd w:id="36"/>
    </w:p>
    <w:p>
      <w:pPr>
        <w:pStyle w:val="11"/>
        <w:jc w:val="center"/>
        <w:rPr>
          <w:rFonts w:hAnsi="宋体"/>
          <w:sz w:val="24"/>
        </w:rPr>
      </w:pPr>
    </w:p>
    <w:p>
      <w:pPr>
        <w:topLinePunct/>
        <w:jc w:val="center"/>
        <w:rPr>
          <w:rFonts w:ascii="宋体"/>
          <w:szCs w:val="21"/>
        </w:rPr>
      </w:pPr>
      <w:r>
        <w:rPr>
          <w:rFonts w:hint="eastAsia" w:ascii="宋体"/>
          <w:szCs w:val="21"/>
        </w:rPr>
        <w:t>（授权代表参与时提供此证明）</w:t>
      </w:r>
    </w:p>
    <w:p>
      <w:pPr>
        <w:spacing w:line="360" w:lineRule="auto"/>
        <w:ind w:firstLine="420" w:firstLineChars="200"/>
        <w:rPr>
          <w:szCs w:val="21"/>
        </w:rPr>
      </w:pPr>
    </w:p>
    <w:p>
      <w:pPr>
        <w:spacing w:line="360" w:lineRule="auto"/>
        <w:ind w:firstLine="420" w:firstLineChars="200"/>
        <w:rPr>
          <w:szCs w:val="21"/>
        </w:rPr>
      </w:pPr>
      <w:r>
        <w:rPr>
          <w:szCs w:val="21"/>
        </w:rPr>
        <w:t>本人</w:t>
      </w:r>
      <w:r>
        <w:rPr>
          <w:rFonts w:hint="eastAsia"/>
          <w:szCs w:val="21"/>
          <w:u w:val="single"/>
        </w:rPr>
        <w:t xml:space="preserve">           </w:t>
      </w:r>
      <w:r>
        <w:rPr>
          <w:szCs w:val="21"/>
        </w:rPr>
        <w:t>（姓名），系</w:t>
      </w:r>
      <w:r>
        <w:rPr>
          <w:rFonts w:hint="eastAsia"/>
          <w:szCs w:val="21"/>
          <w:u w:val="single"/>
        </w:rPr>
        <w:t xml:space="preserve">                            </w:t>
      </w:r>
      <w:r>
        <w:rPr>
          <w:szCs w:val="21"/>
          <w:u w:val="single"/>
        </w:rPr>
        <w:t>（</w:t>
      </w:r>
      <w:r>
        <w:rPr>
          <w:rFonts w:hint="eastAsia"/>
          <w:szCs w:val="21"/>
        </w:rPr>
        <w:t>投标人</w:t>
      </w:r>
      <w:r>
        <w:rPr>
          <w:szCs w:val="21"/>
        </w:rPr>
        <w:t>名称）的法定代表人（单位负责人），现委托</w:t>
      </w:r>
      <w:r>
        <w:rPr>
          <w:szCs w:val="21"/>
          <w:u w:val="single"/>
        </w:rPr>
        <w:t xml:space="preserve"> </w:t>
      </w:r>
      <w:r>
        <w:rPr>
          <w:rFonts w:hint="eastAsia"/>
          <w:szCs w:val="21"/>
          <w:u w:val="single"/>
        </w:rPr>
        <w:t xml:space="preserve">               </w:t>
      </w:r>
      <w:r>
        <w:rPr>
          <w:szCs w:val="21"/>
        </w:rPr>
        <w:t>（姓名）为我方代理人，代理人</w:t>
      </w:r>
      <w:r>
        <w:rPr>
          <w:rFonts w:hint="eastAsia"/>
          <w:szCs w:val="21"/>
        </w:rPr>
        <w:t>有权</w:t>
      </w:r>
      <w:r>
        <w:rPr>
          <w:szCs w:val="21"/>
        </w:rPr>
        <w:t>签署、澄清确认、递交、撤回、修改</w:t>
      </w:r>
      <w:r>
        <w:rPr>
          <w:szCs w:val="21"/>
          <w:u w:val="single"/>
        </w:rPr>
        <w:t xml:space="preserve">                       </w:t>
      </w:r>
      <w:r>
        <w:rPr>
          <w:szCs w:val="21"/>
        </w:rPr>
        <w:t>（项目名称）</w:t>
      </w:r>
      <w:r>
        <w:rPr>
          <w:rFonts w:hint="eastAsia"/>
          <w:szCs w:val="21"/>
        </w:rPr>
        <w:t>投标文件</w:t>
      </w:r>
      <w:r>
        <w:rPr>
          <w:szCs w:val="21"/>
        </w:rPr>
        <w:t>、签订合同和处理有关事宜，其法律后果由我方承担。</w:t>
      </w:r>
    </w:p>
    <w:p>
      <w:pPr>
        <w:spacing w:line="360" w:lineRule="auto"/>
        <w:ind w:firstLine="420" w:firstLineChars="200"/>
        <w:rPr>
          <w:szCs w:val="21"/>
        </w:rPr>
      </w:pPr>
      <w:r>
        <w:rPr>
          <w:szCs w:val="21"/>
        </w:rPr>
        <w:t>代理人无转委托权。</w:t>
      </w:r>
    </w:p>
    <w:p>
      <w:pPr>
        <w:spacing w:line="360" w:lineRule="auto"/>
        <w:ind w:firstLine="420" w:firstLineChars="200"/>
        <w:rPr>
          <w:szCs w:val="21"/>
        </w:rPr>
      </w:pPr>
      <w:r>
        <w:rPr>
          <w:szCs w:val="21"/>
        </w:rPr>
        <w:t>附：法定代表人（单位负责人）身份证复印件及委托代理人身份证复印件</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3" w:hRule="atLeast"/>
        </w:trPr>
        <w:tc>
          <w:tcPr>
            <w:tcW w:w="9174" w:type="dxa"/>
            <w:vAlign w:val="center"/>
          </w:tcPr>
          <w:p>
            <w:pPr>
              <w:pStyle w:val="11"/>
              <w:adjustRightInd w:val="0"/>
              <w:snapToGrid w:val="0"/>
              <w:jc w:val="center"/>
              <w:rPr>
                <w:rFonts w:hAnsi="宋体"/>
                <w:sz w:val="21"/>
              </w:rPr>
            </w:pPr>
            <w:r>
              <w:rPr>
                <w:rFonts w:hint="eastAsia"/>
                <w:sz w:val="21"/>
              </w:rPr>
              <w:t>法定代表人（单位负责人）身份证复印件及委托代理人身份证复印件</w:t>
            </w:r>
          </w:p>
        </w:tc>
      </w:tr>
    </w:tbl>
    <w:p>
      <w:pPr>
        <w:spacing w:line="360" w:lineRule="auto"/>
        <w:ind w:right="-88" w:rightChars="-42" w:firstLine="2738" w:firstLineChars="1304"/>
        <w:rPr>
          <w:rFonts w:ascii="宋体" w:hAnsi="宋体"/>
          <w:szCs w:val="21"/>
        </w:rPr>
      </w:pPr>
    </w:p>
    <w:p>
      <w:pPr>
        <w:spacing w:line="360" w:lineRule="auto"/>
        <w:ind w:right="-88" w:rightChars="-42" w:firstLine="2738" w:firstLineChars="1304"/>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（盖单位公章）</w:t>
      </w:r>
    </w:p>
    <w:p>
      <w:pPr>
        <w:spacing w:line="360" w:lineRule="auto"/>
        <w:ind w:right="-88" w:rightChars="-42" w:firstLine="2738" w:firstLineChars="1304"/>
        <w:rPr>
          <w:rFonts w:ascii="宋体" w:hAnsi="宋体"/>
          <w:szCs w:val="21"/>
        </w:rPr>
      </w:pPr>
      <w:r>
        <w:rPr>
          <w:rFonts w:hint="eastAsia" w:ascii="宋体" w:hAnsi="宋体"/>
          <w:szCs w:val="21"/>
        </w:rPr>
        <w:t>法定代表人</w:t>
      </w:r>
      <w:r>
        <w:rPr>
          <w:rFonts w:ascii="宋体" w:hAnsi="宋体"/>
          <w:szCs w:val="21"/>
        </w:rPr>
        <w:t>（单位负责人）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（签字或盖章）</w:t>
      </w:r>
    </w:p>
    <w:p>
      <w:pPr>
        <w:spacing w:line="360" w:lineRule="auto"/>
        <w:ind w:right="-88" w:rightChars="-42" w:firstLine="2738" w:firstLineChars="1304"/>
        <w:rPr>
          <w:rFonts w:ascii="宋体" w:hAnsi="宋体"/>
          <w:szCs w:val="21"/>
        </w:rPr>
      </w:pPr>
      <w:r>
        <w:rPr>
          <w:rFonts w:hint="eastAsia" w:ascii="宋体" w:hAnsi="宋体"/>
          <w:szCs w:val="21"/>
        </w:rPr>
        <w:t>身份证号码：</w:t>
      </w:r>
      <w:r>
        <w:rPr>
          <w:rFonts w:hint="eastAsia" w:ascii="宋体" w:hAnsi="宋体"/>
          <w:szCs w:val="21"/>
          <w:u w:val="single"/>
        </w:rPr>
        <w:t xml:space="preserve">                                      </w:t>
      </w:r>
    </w:p>
    <w:p>
      <w:pPr>
        <w:spacing w:line="360" w:lineRule="auto"/>
        <w:ind w:right="-88" w:rightChars="-42" w:firstLine="2738" w:firstLineChars="1304"/>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w:t>
      </w:r>
    </w:p>
    <w:p>
      <w:pPr>
        <w:spacing w:line="360" w:lineRule="auto"/>
        <w:ind w:right="-88" w:rightChars="-42" w:firstLine="2738" w:firstLineChars="1304"/>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pPr>
        <w:spacing w:line="360" w:lineRule="auto"/>
        <w:ind w:right="-88" w:rightChars="-42" w:firstLine="3259" w:firstLineChars="1552"/>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11"/>
        <w:jc w:val="left"/>
        <w:rPr>
          <w:rFonts w:hAnsi="宋体"/>
          <w:sz w:val="21"/>
          <w:szCs w:val="21"/>
        </w:rPr>
      </w:pPr>
    </w:p>
    <w:p>
      <w:pPr>
        <w:pStyle w:val="11"/>
        <w:jc w:val="left"/>
        <w:rPr>
          <w:rFonts w:hAnsi="宋体"/>
          <w:sz w:val="24"/>
        </w:rPr>
      </w:pPr>
    </w:p>
    <w:p>
      <w:pPr>
        <w:pStyle w:val="11"/>
        <w:jc w:val="left"/>
        <w:rPr>
          <w:rFonts w:hAnsi="宋体"/>
          <w:sz w:val="24"/>
        </w:rPr>
      </w:pPr>
    </w:p>
    <w:p>
      <w:pPr>
        <w:pStyle w:val="16"/>
        <w:ind w:firstLine="420"/>
        <w:rPr>
          <w:rFonts w:ascii="宋体" w:hAnsi="宋体"/>
        </w:rPr>
      </w:pPr>
    </w:p>
    <w:p>
      <w:pPr>
        <w:adjustRightInd w:val="0"/>
        <w:snapToGrid w:val="0"/>
        <w:spacing w:beforeLines="50" w:afterLines="50" w:line="360" w:lineRule="auto"/>
        <w:jc w:val="center"/>
        <w:rPr>
          <w:rFonts w:ascii="宋体" w:hAnsi="宋体"/>
          <w:b/>
          <w:bCs/>
          <w:sz w:val="32"/>
          <w:szCs w:val="32"/>
        </w:rPr>
      </w:pPr>
      <w:r>
        <w:rPr>
          <w:rFonts w:hint="eastAsia" w:ascii="宋体" w:hAnsi="宋体"/>
          <w:b/>
          <w:bCs/>
          <w:sz w:val="32"/>
          <w:szCs w:val="32"/>
        </w:rPr>
        <w:t>三、承诺书</w:t>
      </w:r>
    </w:p>
    <w:p>
      <w:pPr>
        <w:adjustRightInd w:val="0"/>
        <w:snapToGrid w:val="0"/>
        <w:spacing w:line="360" w:lineRule="auto"/>
        <w:jc w:val="left"/>
        <w:rPr>
          <w:rFonts w:ascii="宋体" w:hAnsi="宋体"/>
          <w:sz w:val="24"/>
          <w:u w:val="single"/>
        </w:rPr>
      </w:pPr>
      <w:r>
        <w:rPr>
          <w:rFonts w:hint="eastAsia" w:ascii="宋体" w:hAnsi="宋体"/>
          <w:sz w:val="24"/>
        </w:rPr>
        <w:t>致：</w:t>
      </w:r>
      <w:r>
        <w:rPr>
          <w:rFonts w:hint="eastAsia" w:ascii="宋体" w:hAnsi="宋体"/>
          <w:sz w:val="24"/>
          <w:u w:val="single"/>
        </w:rPr>
        <w:t>南通市保安服务有限公司</w:t>
      </w:r>
    </w:p>
    <w:p>
      <w:pPr>
        <w:adjustRightInd w:val="0"/>
        <w:snapToGrid w:val="0"/>
        <w:spacing w:line="360" w:lineRule="auto"/>
        <w:ind w:firstLine="480" w:firstLineChars="200"/>
        <w:rPr>
          <w:rFonts w:ascii="宋体" w:hAnsi="宋体"/>
          <w:sz w:val="24"/>
        </w:rPr>
      </w:pPr>
      <w:r>
        <w:rPr>
          <w:rFonts w:hint="eastAsia" w:ascii="宋体" w:hAnsi="宋体"/>
          <w:sz w:val="24"/>
        </w:rPr>
        <w:t>我方在此郑重承诺：</w:t>
      </w:r>
    </w:p>
    <w:p>
      <w:pPr>
        <w:adjustRightInd w:val="0"/>
        <w:snapToGrid w:val="0"/>
        <w:spacing w:line="360" w:lineRule="auto"/>
        <w:ind w:firstLine="480" w:firstLineChars="200"/>
        <w:rPr>
          <w:rFonts w:ascii="宋体" w:hAnsi="宋体"/>
          <w:sz w:val="24"/>
        </w:rPr>
      </w:pPr>
      <w:r>
        <w:rPr>
          <w:rFonts w:hint="eastAsia" w:ascii="宋体" w:hAnsi="宋体"/>
          <w:sz w:val="24"/>
        </w:rPr>
        <w:t>1、我方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pPr>
        <w:adjustRightInd w:val="0"/>
        <w:snapToGrid w:val="0"/>
        <w:spacing w:line="360" w:lineRule="auto"/>
        <w:ind w:firstLine="480" w:firstLineChars="200"/>
        <w:rPr>
          <w:rFonts w:ascii="宋体" w:hAnsi="宋体"/>
          <w:sz w:val="24"/>
        </w:rPr>
      </w:pPr>
      <w:r>
        <w:rPr>
          <w:rFonts w:hint="eastAsia" w:ascii="宋体" w:hAnsi="宋体"/>
          <w:sz w:val="24"/>
        </w:rPr>
        <w:t>2、我方没有骗取中标和严重违约引起的合同中止、纠纷、争议、仲裁和诉讼记录等情况；</w:t>
      </w:r>
    </w:p>
    <w:p>
      <w:pPr>
        <w:adjustRightInd w:val="0"/>
        <w:snapToGrid w:val="0"/>
        <w:spacing w:line="360" w:lineRule="auto"/>
        <w:ind w:firstLine="480" w:firstLineChars="200"/>
        <w:rPr>
          <w:rFonts w:ascii="宋体" w:hAnsi="宋体"/>
          <w:sz w:val="24"/>
        </w:rPr>
      </w:pPr>
      <w:r>
        <w:rPr>
          <w:rFonts w:hint="eastAsia" w:ascii="宋体" w:hAnsi="宋体"/>
          <w:sz w:val="24"/>
        </w:rPr>
        <w:t>3、我方未与招标人存在利害关系；与参与本项目招标的其他投标单位负责人不为同一人且不存在控股、管理关系；未以他人名义投标；未与招标人、其他投标人串通投标；我方未提供虚假材料或存在其他弄虚作假行为。</w:t>
      </w:r>
    </w:p>
    <w:p>
      <w:pPr>
        <w:numPr>
          <w:ilvl w:val="255"/>
          <w:numId w:val="0"/>
        </w:numPr>
        <w:adjustRightInd w:val="0"/>
        <w:snapToGrid w:val="0"/>
        <w:spacing w:line="360" w:lineRule="auto"/>
        <w:ind w:firstLine="480" w:firstLineChars="200"/>
        <w:rPr>
          <w:rFonts w:ascii="宋体" w:hAnsi="宋体"/>
          <w:sz w:val="24"/>
          <w:szCs w:val="32"/>
        </w:rPr>
      </w:pPr>
      <w:r>
        <w:rPr>
          <w:rFonts w:hint="eastAsia" w:ascii="宋体" w:hAnsi="宋体"/>
          <w:sz w:val="24"/>
          <w:szCs w:val="32"/>
        </w:rPr>
        <w:t>4、我方在经营活动中没有重大违法记录。</w:t>
      </w:r>
    </w:p>
    <w:p>
      <w:pPr>
        <w:numPr>
          <w:ilvl w:val="255"/>
          <w:numId w:val="0"/>
        </w:numPr>
        <w:adjustRightInd w:val="0"/>
        <w:snapToGrid w:val="0"/>
        <w:spacing w:line="360" w:lineRule="auto"/>
        <w:ind w:firstLine="480" w:firstLineChars="200"/>
        <w:rPr>
          <w:rFonts w:ascii="宋体" w:hAnsi="宋体"/>
          <w:sz w:val="24"/>
        </w:rPr>
      </w:pPr>
      <w:r>
        <w:rPr>
          <w:rFonts w:hint="eastAsia" w:ascii="宋体" w:hAnsi="宋体"/>
          <w:sz w:val="24"/>
        </w:rPr>
        <w:t>在参与本次招标活动中，如有上述行为，我方将自动放弃投标或中标资格，已签订合同的项目合同无效。</w:t>
      </w:r>
    </w:p>
    <w:p>
      <w:pPr>
        <w:pStyle w:val="5"/>
        <w:spacing w:before="0" w:after="0" w:line="360" w:lineRule="auto"/>
        <w:rPr>
          <w:rFonts w:ascii="宋体" w:hAnsi="宋体" w:eastAsia="宋体"/>
          <w:sz w:val="24"/>
          <w:szCs w:val="24"/>
        </w:rPr>
      </w:pPr>
    </w:p>
    <w:p>
      <w:pPr>
        <w:adjustRightInd w:val="0"/>
        <w:snapToGrid w:val="0"/>
        <w:spacing w:line="360" w:lineRule="auto"/>
        <w:ind w:firstLine="460" w:firstLineChars="192"/>
        <w:jc w:val="right"/>
        <w:rPr>
          <w:rFonts w:ascii="宋体" w:hAnsi="宋体"/>
          <w:sz w:val="24"/>
          <w:u w:val="single"/>
        </w:rPr>
      </w:pPr>
      <w:r>
        <w:rPr>
          <w:rFonts w:hint="eastAsia" w:ascii="宋体" w:hAnsi="宋体"/>
          <w:sz w:val="24"/>
        </w:rPr>
        <w:t>投标人：</w:t>
      </w:r>
      <w:r>
        <w:rPr>
          <w:rFonts w:hint="eastAsia" w:ascii="宋体" w:hAnsi="宋体"/>
          <w:sz w:val="24"/>
          <w:u w:val="single"/>
        </w:rPr>
        <w:t xml:space="preserve">           （盖章） </w:t>
      </w:r>
    </w:p>
    <w:p>
      <w:pPr>
        <w:adjustRightInd w:val="0"/>
        <w:snapToGrid w:val="0"/>
        <w:spacing w:line="360" w:lineRule="auto"/>
        <w:ind w:firstLine="460" w:firstLineChars="192"/>
        <w:jc w:val="right"/>
        <w:rPr>
          <w:rFonts w:ascii="宋体" w:hAnsi="宋体"/>
          <w:sz w:val="24"/>
          <w:u w:val="single"/>
        </w:rPr>
      </w:pPr>
      <w:r>
        <w:rPr>
          <w:rFonts w:hint="eastAsia" w:ascii="宋体" w:hAnsi="宋体"/>
          <w:sz w:val="24"/>
        </w:rPr>
        <w:t>法定代表人或委托代理人：</w:t>
      </w:r>
      <w:r>
        <w:rPr>
          <w:rFonts w:hint="eastAsia" w:ascii="宋体" w:hAnsi="宋体"/>
          <w:sz w:val="24"/>
          <w:u w:val="single"/>
        </w:rPr>
        <w:t xml:space="preserve">（签字或盖章） </w:t>
      </w:r>
    </w:p>
    <w:p>
      <w:pPr>
        <w:adjustRightInd w:val="0"/>
        <w:snapToGrid w:val="0"/>
        <w:spacing w:line="360" w:lineRule="auto"/>
        <w:ind w:firstLine="460" w:firstLineChars="192"/>
        <w:jc w:val="right"/>
        <w:rPr>
          <w:rFonts w:ascii="宋体" w:hAnsi="宋体"/>
          <w:sz w:val="24"/>
        </w:rPr>
      </w:pPr>
      <w:r>
        <w:rPr>
          <w:rFonts w:hint="eastAsia" w:ascii="宋体" w:hAnsi="宋体"/>
          <w:sz w:val="24"/>
        </w:rPr>
        <w:t>日 期：  年   月   日</w:t>
      </w:r>
    </w:p>
    <w:p>
      <w:pPr>
        <w:pStyle w:val="16"/>
        <w:ind w:left="0" w:leftChars="0" w:firstLine="0" w:firstLineChars="0"/>
        <w:rPr>
          <w:rFonts w:ascii="宋体" w:hAnsi="宋体"/>
        </w:rPr>
      </w:pPr>
    </w:p>
    <w:p>
      <w:pPr>
        <w:pStyle w:val="16"/>
        <w:ind w:left="0" w:leftChars="0" w:firstLine="0" w:firstLineChars="0"/>
        <w:rPr>
          <w:rFonts w:ascii="宋体" w:hAnsi="宋体"/>
        </w:rPr>
      </w:pPr>
    </w:p>
    <w:p>
      <w:pPr>
        <w:pStyle w:val="16"/>
        <w:ind w:left="0" w:leftChars="0" w:firstLine="0" w:firstLineChars="0"/>
        <w:rPr>
          <w:rFonts w:ascii="宋体" w:hAnsi="宋体"/>
        </w:rPr>
      </w:pPr>
    </w:p>
    <w:p>
      <w:pPr>
        <w:pStyle w:val="16"/>
        <w:ind w:left="0" w:leftChars="0" w:firstLine="0" w:firstLineChars="0"/>
        <w:rPr>
          <w:rFonts w:ascii="宋体" w:hAnsi="宋体"/>
        </w:rPr>
      </w:pPr>
    </w:p>
    <w:p>
      <w:pPr>
        <w:pStyle w:val="16"/>
        <w:ind w:left="0" w:leftChars="0" w:firstLine="0" w:firstLineChars="0"/>
        <w:rPr>
          <w:rFonts w:ascii="宋体" w:hAnsi="宋体"/>
        </w:rPr>
      </w:pPr>
    </w:p>
    <w:p>
      <w:pPr>
        <w:pStyle w:val="16"/>
        <w:ind w:left="0" w:leftChars="0" w:firstLine="0" w:firstLineChars="0"/>
        <w:rPr>
          <w:rFonts w:ascii="宋体" w:hAnsi="宋体"/>
        </w:rPr>
      </w:pPr>
    </w:p>
    <w:p>
      <w:pPr>
        <w:pStyle w:val="16"/>
        <w:ind w:left="0" w:leftChars="0" w:firstLine="0" w:firstLineChars="0"/>
        <w:rPr>
          <w:rFonts w:ascii="宋体" w:hAnsi="宋体"/>
        </w:rPr>
      </w:pPr>
    </w:p>
    <w:p>
      <w:pPr>
        <w:pStyle w:val="16"/>
        <w:ind w:left="0" w:leftChars="0" w:firstLine="0" w:firstLineChars="0"/>
        <w:rPr>
          <w:rFonts w:ascii="宋体" w:hAnsi="宋体"/>
        </w:rPr>
      </w:pPr>
    </w:p>
    <w:p>
      <w:pPr>
        <w:pStyle w:val="16"/>
        <w:ind w:left="0" w:leftChars="0" w:firstLine="0" w:firstLineChars="0"/>
        <w:rPr>
          <w:rFonts w:ascii="宋体" w:hAnsi="宋体"/>
        </w:rPr>
      </w:pPr>
    </w:p>
    <w:p>
      <w:pPr>
        <w:adjustRightInd w:val="0"/>
        <w:snapToGrid w:val="0"/>
        <w:spacing w:beforeLines="50" w:afterLines="50" w:line="360" w:lineRule="auto"/>
        <w:jc w:val="center"/>
        <w:rPr>
          <w:rFonts w:ascii="宋体" w:hAnsi="宋体"/>
          <w:b/>
          <w:bCs/>
          <w:sz w:val="32"/>
          <w:szCs w:val="32"/>
        </w:rPr>
      </w:pPr>
      <w:r>
        <w:rPr>
          <w:rFonts w:hint="eastAsia" w:ascii="宋体" w:hAnsi="宋体"/>
          <w:b/>
          <w:bCs/>
          <w:sz w:val="32"/>
          <w:szCs w:val="32"/>
        </w:rPr>
        <w:t>四、报价响应函</w:t>
      </w:r>
    </w:p>
    <w:p>
      <w:pPr>
        <w:pStyle w:val="11"/>
        <w:adjustRightInd w:val="0"/>
        <w:snapToGrid w:val="0"/>
        <w:spacing w:line="440" w:lineRule="exact"/>
        <w:rPr>
          <w:rFonts w:hAnsi="宋体"/>
          <w:sz w:val="24"/>
          <w:szCs w:val="24"/>
        </w:rPr>
      </w:pPr>
      <w:r>
        <w:rPr>
          <w:rFonts w:hint="eastAsia" w:hAnsi="宋体"/>
          <w:sz w:val="24"/>
          <w:szCs w:val="24"/>
        </w:rPr>
        <w:t>至：</w:t>
      </w:r>
      <w:r>
        <w:rPr>
          <w:rFonts w:hint="eastAsia" w:hAnsi="宋体"/>
          <w:sz w:val="24"/>
          <w:szCs w:val="24"/>
          <w:u w:val="single"/>
        </w:rPr>
        <w:t>（南通市保安服务有限公司）</w:t>
      </w:r>
    </w:p>
    <w:p>
      <w:pPr>
        <w:pStyle w:val="11"/>
        <w:adjustRightInd w:val="0"/>
        <w:snapToGrid w:val="0"/>
        <w:spacing w:line="440" w:lineRule="exact"/>
        <w:ind w:firstLine="480" w:firstLineChars="200"/>
        <w:rPr>
          <w:rFonts w:hAnsi="宋体"/>
          <w:sz w:val="24"/>
          <w:szCs w:val="24"/>
        </w:rPr>
      </w:pPr>
      <w:r>
        <w:rPr>
          <w:rFonts w:hint="eastAsia" w:hAnsi="宋体"/>
          <w:sz w:val="24"/>
          <w:szCs w:val="24"/>
        </w:rPr>
        <w:t>根据贵方为</w:t>
      </w:r>
      <w:r>
        <w:rPr>
          <w:rFonts w:hint="eastAsia" w:hAnsi="宋体"/>
          <w:sz w:val="24"/>
          <w:szCs w:val="24"/>
          <w:u w:val="single"/>
        </w:rPr>
        <w:t>（项目名称）</w:t>
      </w:r>
      <w:r>
        <w:rPr>
          <w:rFonts w:hint="eastAsia" w:hAnsi="宋体"/>
          <w:sz w:val="24"/>
          <w:szCs w:val="24"/>
        </w:rPr>
        <w:t>项目招标文件内容，我方签字代表</w:t>
      </w:r>
      <w:r>
        <w:rPr>
          <w:rFonts w:hint="eastAsia" w:hAnsi="宋体"/>
          <w:sz w:val="24"/>
          <w:szCs w:val="24"/>
          <w:u w:val="single"/>
        </w:rPr>
        <w:t>（姓名）</w:t>
      </w:r>
      <w:r>
        <w:rPr>
          <w:rFonts w:hint="eastAsia" w:hAnsi="宋体"/>
          <w:sz w:val="24"/>
          <w:szCs w:val="24"/>
        </w:rPr>
        <w:t>经正式授权并代表投标人</w:t>
      </w:r>
      <w:r>
        <w:rPr>
          <w:rFonts w:hint="eastAsia" w:hAnsi="宋体"/>
          <w:sz w:val="24"/>
          <w:szCs w:val="24"/>
          <w:u w:val="single"/>
        </w:rPr>
        <w:t>（投标人名称）</w:t>
      </w:r>
      <w:r>
        <w:rPr>
          <w:rFonts w:hint="eastAsia" w:hAnsi="宋体"/>
          <w:sz w:val="24"/>
          <w:szCs w:val="24"/>
        </w:rPr>
        <w:t>提交投标文件；</w:t>
      </w:r>
    </w:p>
    <w:p>
      <w:pPr>
        <w:pStyle w:val="11"/>
        <w:adjustRightInd w:val="0"/>
        <w:snapToGrid w:val="0"/>
        <w:spacing w:line="440" w:lineRule="exact"/>
        <w:ind w:firstLine="480" w:firstLineChars="200"/>
        <w:rPr>
          <w:rFonts w:hAnsi="宋体"/>
          <w:sz w:val="24"/>
          <w:szCs w:val="24"/>
        </w:rPr>
      </w:pPr>
      <w:r>
        <w:rPr>
          <w:rFonts w:hint="eastAsia" w:hAnsi="宋体"/>
          <w:sz w:val="24"/>
          <w:szCs w:val="24"/>
        </w:rPr>
        <w:t>据此函，签字代表宣布同意如下：</w:t>
      </w:r>
    </w:p>
    <w:p>
      <w:pPr>
        <w:pStyle w:val="11"/>
        <w:adjustRightInd w:val="0"/>
        <w:snapToGrid w:val="0"/>
        <w:spacing w:line="440" w:lineRule="exact"/>
        <w:ind w:firstLine="480" w:firstLineChars="200"/>
        <w:rPr>
          <w:rFonts w:hAnsi="宋体"/>
          <w:sz w:val="24"/>
          <w:szCs w:val="24"/>
        </w:rPr>
      </w:pPr>
      <w:r>
        <w:rPr>
          <w:rFonts w:hint="eastAsia" w:hAnsi="宋体"/>
          <w:sz w:val="24"/>
          <w:szCs w:val="24"/>
        </w:rPr>
        <w:t>1.在研究了贵公司提供的招标文件（含补遗文件，如有）后，承担</w:t>
      </w:r>
      <w:r>
        <w:rPr>
          <w:rFonts w:hint="eastAsia" w:hAnsi="宋体"/>
          <w:sz w:val="24"/>
          <w:szCs w:val="24"/>
          <w:u w:val="single"/>
        </w:rPr>
        <w:t>（项目名称）</w:t>
      </w:r>
      <w:r>
        <w:rPr>
          <w:rFonts w:hint="eastAsia" w:hAnsi="宋体"/>
          <w:sz w:val="24"/>
          <w:szCs w:val="24"/>
        </w:rPr>
        <w:t>，并按合同条件的要求，完成该项目服务任务。</w:t>
      </w:r>
    </w:p>
    <w:p>
      <w:pPr>
        <w:pStyle w:val="11"/>
        <w:adjustRightInd w:val="0"/>
        <w:snapToGrid w:val="0"/>
        <w:spacing w:line="440" w:lineRule="exact"/>
        <w:ind w:firstLine="480" w:firstLineChars="200"/>
        <w:rPr>
          <w:rFonts w:hAnsi="宋体"/>
          <w:sz w:val="24"/>
          <w:szCs w:val="24"/>
        </w:rPr>
      </w:pPr>
      <w:r>
        <w:rPr>
          <w:rFonts w:hint="eastAsia" w:hAnsi="宋体"/>
          <w:sz w:val="24"/>
          <w:szCs w:val="24"/>
        </w:rPr>
        <w:t>2.我方已详细审查全部招标文件，包括有关澄清和补充说明</w:t>
      </w:r>
      <w:r>
        <w:rPr>
          <w:rFonts w:hint="eastAsia" w:hAnsi="宋体"/>
          <w:sz w:val="24"/>
          <w:szCs w:val="24"/>
          <w:u w:val="single"/>
        </w:rPr>
        <w:t>（如有）</w:t>
      </w:r>
      <w:r>
        <w:rPr>
          <w:rFonts w:hint="eastAsia" w:hAnsi="宋体"/>
          <w:sz w:val="24"/>
          <w:szCs w:val="24"/>
        </w:rPr>
        <w:t xml:space="preserve">。我们完全理解并同意放弃对这方面有不明及误解的权利。 </w:t>
      </w:r>
    </w:p>
    <w:p>
      <w:pPr>
        <w:pStyle w:val="11"/>
        <w:adjustRightInd w:val="0"/>
        <w:snapToGrid w:val="0"/>
        <w:spacing w:line="440" w:lineRule="exact"/>
        <w:ind w:firstLine="480" w:firstLineChars="200"/>
        <w:rPr>
          <w:rFonts w:hAnsi="宋体"/>
          <w:sz w:val="24"/>
          <w:szCs w:val="24"/>
        </w:rPr>
      </w:pPr>
      <w:r>
        <w:rPr>
          <w:rFonts w:hint="eastAsia" w:hAnsi="宋体"/>
          <w:sz w:val="24"/>
          <w:szCs w:val="24"/>
        </w:rPr>
        <w:t>3.本投标文件有效期为自开标日起</w:t>
      </w:r>
      <w:r>
        <w:rPr>
          <w:rFonts w:hint="eastAsia" w:hAnsi="宋体"/>
          <w:sz w:val="24"/>
          <w:szCs w:val="24"/>
          <w:u w:val="single"/>
        </w:rPr>
        <w:t>60</w:t>
      </w:r>
      <w:r>
        <w:rPr>
          <w:rFonts w:hint="eastAsia" w:hAnsi="宋体"/>
          <w:sz w:val="24"/>
          <w:szCs w:val="24"/>
        </w:rPr>
        <w:t xml:space="preserve">个日历天。在这期间，本投标文件将始终对我方具有约束力，并可随时被接受。本次招标文件和本投标文件将作为合同的附件。 </w:t>
      </w:r>
    </w:p>
    <w:p>
      <w:pPr>
        <w:pStyle w:val="11"/>
        <w:adjustRightInd w:val="0"/>
        <w:snapToGrid w:val="0"/>
        <w:spacing w:line="440" w:lineRule="exact"/>
        <w:ind w:firstLine="480" w:firstLineChars="200"/>
        <w:rPr>
          <w:rFonts w:hAnsi="宋体"/>
          <w:sz w:val="24"/>
          <w:szCs w:val="24"/>
        </w:rPr>
      </w:pPr>
      <w:r>
        <w:rPr>
          <w:rFonts w:hint="eastAsia" w:hAnsi="宋体"/>
          <w:sz w:val="24"/>
          <w:szCs w:val="24"/>
        </w:rPr>
        <w:t>4.我方愿意向招标人提供任何与本次招标相关的其他资料。</w:t>
      </w:r>
    </w:p>
    <w:p>
      <w:pPr>
        <w:pStyle w:val="11"/>
        <w:adjustRightInd w:val="0"/>
        <w:snapToGrid w:val="0"/>
        <w:spacing w:line="440" w:lineRule="exact"/>
        <w:ind w:firstLine="480" w:firstLineChars="200"/>
        <w:rPr>
          <w:rFonts w:hAnsi="宋体"/>
          <w:sz w:val="24"/>
          <w:szCs w:val="24"/>
        </w:rPr>
      </w:pPr>
      <w:r>
        <w:rPr>
          <w:rFonts w:hint="eastAsia" w:hAnsi="宋体"/>
          <w:sz w:val="24"/>
          <w:szCs w:val="24"/>
        </w:rPr>
        <w:t>5.我方将严格履行本投标文件中的全部承诺和责任，并遵守招标文件中对投标人的所有规定。</w:t>
      </w:r>
    </w:p>
    <w:p>
      <w:pPr>
        <w:pStyle w:val="11"/>
        <w:adjustRightInd w:val="0"/>
        <w:snapToGrid w:val="0"/>
        <w:spacing w:line="440" w:lineRule="exact"/>
        <w:ind w:firstLine="480" w:firstLineChars="200"/>
        <w:rPr>
          <w:rFonts w:hAnsi="宋体"/>
          <w:sz w:val="24"/>
          <w:szCs w:val="24"/>
          <w:u w:val="single"/>
        </w:rPr>
      </w:pPr>
      <w:r>
        <w:rPr>
          <w:rFonts w:hint="eastAsia" w:hAnsi="宋体"/>
          <w:sz w:val="24"/>
          <w:szCs w:val="24"/>
        </w:rPr>
        <w:t>6.与本次招标有关的一切往来信函请寄：</w:t>
      </w:r>
      <w:r>
        <w:rPr>
          <w:rFonts w:hint="eastAsia" w:hAnsi="宋体"/>
          <w:sz w:val="24"/>
          <w:szCs w:val="24"/>
          <w:u w:val="single"/>
        </w:rPr>
        <w:t xml:space="preserve">                </w:t>
      </w:r>
      <w:r>
        <w:rPr>
          <w:rFonts w:hint="eastAsia" w:hAnsi="宋体"/>
          <w:sz w:val="24"/>
          <w:szCs w:val="24"/>
        </w:rPr>
        <w:t>。</w:t>
      </w:r>
    </w:p>
    <w:p>
      <w:pPr>
        <w:tabs>
          <w:tab w:val="left" w:pos="851"/>
        </w:tabs>
        <w:spacing w:line="440" w:lineRule="exact"/>
        <w:ind w:left="420" w:leftChars="200"/>
        <w:jc w:val="right"/>
        <w:rPr>
          <w:rFonts w:ascii="宋体" w:hAnsi="宋体"/>
          <w:kern w:val="0"/>
          <w:sz w:val="24"/>
        </w:rPr>
      </w:pPr>
    </w:p>
    <w:p>
      <w:pPr>
        <w:tabs>
          <w:tab w:val="left" w:pos="851"/>
        </w:tabs>
        <w:spacing w:line="440" w:lineRule="exact"/>
        <w:ind w:left="420" w:leftChars="200"/>
        <w:rPr>
          <w:rFonts w:ascii="宋体" w:hAnsi="宋体"/>
          <w:kern w:val="0"/>
          <w:sz w:val="24"/>
        </w:rPr>
      </w:pPr>
      <w:r>
        <w:rPr>
          <w:rFonts w:hint="eastAsia" w:ascii="宋体" w:hAnsi="宋体"/>
          <w:kern w:val="0"/>
          <w:sz w:val="24"/>
        </w:rPr>
        <w:t>投标人：</w:t>
      </w:r>
      <w:r>
        <w:rPr>
          <w:rFonts w:hint="eastAsia" w:ascii="宋体" w:hAnsi="宋体"/>
          <w:kern w:val="0"/>
          <w:sz w:val="24"/>
          <w:u w:val="single"/>
        </w:rPr>
        <w:t xml:space="preserve">                   </w:t>
      </w:r>
      <w:r>
        <w:rPr>
          <w:rFonts w:hint="eastAsia" w:ascii="宋体" w:hAnsi="宋体"/>
          <w:kern w:val="0"/>
          <w:sz w:val="24"/>
        </w:rPr>
        <w:t>（盖单位公章）</w:t>
      </w:r>
    </w:p>
    <w:p>
      <w:pPr>
        <w:tabs>
          <w:tab w:val="left" w:pos="851"/>
        </w:tabs>
        <w:spacing w:line="440" w:lineRule="exact"/>
        <w:ind w:left="420" w:leftChars="200"/>
        <w:rPr>
          <w:rFonts w:ascii="宋体" w:hAnsi="宋体"/>
          <w:kern w:val="0"/>
          <w:sz w:val="24"/>
        </w:rPr>
      </w:pPr>
      <w:r>
        <w:rPr>
          <w:rFonts w:hint="eastAsia" w:ascii="宋体" w:hAnsi="宋体"/>
          <w:kern w:val="0"/>
          <w:sz w:val="24"/>
        </w:rPr>
        <w:t>法定代表人或其委托代理人：</w:t>
      </w:r>
      <w:r>
        <w:rPr>
          <w:rFonts w:hint="eastAsia" w:ascii="宋体" w:hAnsi="宋体"/>
          <w:kern w:val="0"/>
          <w:sz w:val="24"/>
          <w:u w:val="single"/>
        </w:rPr>
        <w:t xml:space="preserve">       </w:t>
      </w:r>
      <w:r>
        <w:rPr>
          <w:rFonts w:hint="eastAsia" w:ascii="宋体" w:hAnsi="宋体"/>
          <w:kern w:val="0"/>
          <w:sz w:val="24"/>
        </w:rPr>
        <w:t>（签字或盖章）</w:t>
      </w:r>
    </w:p>
    <w:p>
      <w:pPr>
        <w:pStyle w:val="8"/>
        <w:overflowPunct w:val="0"/>
        <w:spacing w:line="440" w:lineRule="exact"/>
        <w:rPr>
          <w:rFonts w:ascii="宋体" w:hAnsi="宋体"/>
          <w:b w:val="0"/>
          <w:bCs/>
          <w:szCs w:val="24"/>
        </w:rPr>
      </w:pPr>
      <w:r>
        <w:rPr>
          <w:rFonts w:hint="eastAsia" w:ascii="宋体" w:hAnsi="宋体"/>
          <w:b w:val="0"/>
          <w:bCs/>
          <w:szCs w:val="24"/>
        </w:rPr>
        <w:t>地     址：</w:t>
      </w:r>
      <w:r>
        <w:rPr>
          <w:rFonts w:hint="eastAsia" w:ascii="宋体" w:hAnsi="宋体"/>
          <w:szCs w:val="24"/>
          <w:u w:val="single"/>
        </w:rPr>
        <w:t xml:space="preserve">                   </w:t>
      </w:r>
      <w:r>
        <w:rPr>
          <w:rFonts w:hint="eastAsia" w:ascii="宋体" w:hAnsi="宋体"/>
          <w:b w:val="0"/>
          <w:bCs/>
          <w:szCs w:val="24"/>
        </w:rPr>
        <w:t xml:space="preserve">                      </w:t>
      </w:r>
    </w:p>
    <w:p>
      <w:pPr>
        <w:pStyle w:val="8"/>
        <w:overflowPunct w:val="0"/>
        <w:spacing w:line="440" w:lineRule="exact"/>
        <w:rPr>
          <w:rFonts w:ascii="宋体" w:hAnsi="宋体"/>
          <w:b w:val="0"/>
          <w:bCs/>
          <w:szCs w:val="24"/>
        </w:rPr>
      </w:pPr>
      <w:r>
        <w:rPr>
          <w:rFonts w:hint="eastAsia" w:ascii="宋体" w:hAnsi="宋体"/>
          <w:b w:val="0"/>
          <w:bCs/>
          <w:szCs w:val="24"/>
        </w:rPr>
        <w:t>电     话：</w:t>
      </w:r>
      <w:r>
        <w:rPr>
          <w:rFonts w:hint="eastAsia" w:ascii="宋体" w:hAnsi="宋体"/>
          <w:szCs w:val="24"/>
          <w:u w:val="single"/>
        </w:rPr>
        <w:t xml:space="preserve">                   </w:t>
      </w:r>
      <w:r>
        <w:rPr>
          <w:rFonts w:hint="eastAsia" w:ascii="宋体" w:hAnsi="宋体"/>
          <w:b w:val="0"/>
          <w:bCs/>
          <w:szCs w:val="24"/>
        </w:rPr>
        <w:t xml:space="preserve">                 </w:t>
      </w:r>
    </w:p>
    <w:p>
      <w:pPr>
        <w:pStyle w:val="8"/>
        <w:overflowPunct w:val="0"/>
        <w:spacing w:line="440" w:lineRule="exact"/>
        <w:rPr>
          <w:rFonts w:ascii="宋体" w:hAnsi="宋体"/>
          <w:szCs w:val="24"/>
        </w:rPr>
      </w:pPr>
      <w:r>
        <w:rPr>
          <w:rFonts w:hint="eastAsia" w:ascii="宋体" w:hAnsi="宋体"/>
          <w:b w:val="0"/>
          <w:bCs/>
          <w:szCs w:val="24"/>
        </w:rPr>
        <w:t>日     期：  年   月   日</w:t>
      </w:r>
    </w:p>
    <w:p>
      <w:pPr>
        <w:pStyle w:val="5"/>
        <w:rPr>
          <w:rFonts w:ascii="宋体" w:hAnsi="宋体" w:eastAsia="宋体"/>
          <w:sz w:val="44"/>
          <w:szCs w:val="44"/>
        </w:rPr>
      </w:pPr>
    </w:p>
    <w:p>
      <w:pPr>
        <w:rPr>
          <w:rFonts w:ascii="宋体" w:hAnsi="宋体"/>
          <w:sz w:val="44"/>
          <w:szCs w:val="44"/>
        </w:rPr>
      </w:pPr>
    </w:p>
    <w:p>
      <w:pPr>
        <w:pStyle w:val="2"/>
      </w:pPr>
    </w:p>
    <w:p>
      <w:pPr>
        <w:adjustRightInd w:val="0"/>
        <w:snapToGrid w:val="0"/>
        <w:spacing w:beforeLines="50" w:afterLines="50" w:line="360" w:lineRule="auto"/>
        <w:jc w:val="center"/>
        <w:rPr>
          <w:rFonts w:ascii="宋体" w:hAnsi="宋体"/>
          <w:b/>
          <w:bCs/>
          <w:sz w:val="32"/>
          <w:szCs w:val="32"/>
        </w:rPr>
      </w:pPr>
    </w:p>
    <w:p>
      <w:pPr>
        <w:numPr>
          <w:ilvl w:val="0"/>
          <w:numId w:val="4"/>
        </w:numPr>
        <w:adjustRightInd w:val="0"/>
        <w:snapToGrid w:val="0"/>
        <w:spacing w:beforeLines="50" w:afterLines="50" w:line="360" w:lineRule="auto"/>
        <w:jc w:val="center"/>
        <w:rPr>
          <w:rFonts w:ascii="宋体" w:hAnsi="宋体"/>
          <w:b/>
          <w:bCs/>
          <w:sz w:val="32"/>
          <w:szCs w:val="32"/>
        </w:rPr>
      </w:pPr>
      <w:r>
        <w:rPr>
          <w:rFonts w:hint="eastAsia" w:ascii="宋体" w:hAnsi="宋体"/>
          <w:b/>
          <w:bCs/>
          <w:sz w:val="32"/>
          <w:szCs w:val="32"/>
        </w:rPr>
        <w:t>报价表</w:t>
      </w:r>
    </w:p>
    <w:tbl>
      <w:tblPr>
        <w:tblStyle w:val="17"/>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48" w:type="dxa"/>
          </w:tcPr>
          <w:p>
            <w:pPr>
              <w:jc w:val="center"/>
              <w:rPr>
                <w:rFonts w:ascii="宋体" w:hAnsi="宋体"/>
                <w:szCs w:val="22"/>
              </w:rPr>
            </w:pPr>
            <w:r>
              <w:rPr>
                <w:rFonts w:hint="eastAsia" w:ascii="宋体" w:hAnsi="宋体"/>
                <w:kern w:val="0"/>
                <w:sz w:val="28"/>
                <w:szCs w:val="28"/>
              </w:rPr>
              <w:t>项目名称</w:t>
            </w:r>
          </w:p>
        </w:tc>
        <w:tc>
          <w:tcPr>
            <w:tcW w:w="4607" w:type="dxa"/>
          </w:tcPr>
          <w:p>
            <w:pPr>
              <w:jc w:val="center"/>
              <w:rPr>
                <w:rFonts w:ascii="宋体" w:hAnsi="宋体"/>
                <w:szCs w:val="22"/>
              </w:rPr>
            </w:pPr>
            <w:r>
              <w:rPr>
                <w:rFonts w:hint="eastAsia" w:ascii="宋体" w:hAnsi="宋体"/>
                <w:kern w:val="0"/>
                <w:sz w:val="28"/>
                <w:szCs w:val="28"/>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4148" w:type="dxa"/>
          </w:tcPr>
          <w:p>
            <w:pPr>
              <w:rPr>
                <w:rFonts w:ascii="宋体" w:hAnsi="宋体"/>
                <w:szCs w:val="22"/>
              </w:rPr>
            </w:pPr>
          </w:p>
        </w:tc>
        <w:tc>
          <w:tcPr>
            <w:tcW w:w="4607" w:type="dxa"/>
          </w:tcPr>
          <w:p>
            <w:pPr>
              <w:jc w:val="left"/>
              <w:rPr>
                <w:rFonts w:ascii="宋体" w:hAnsi="宋体"/>
                <w:kern w:val="0"/>
                <w:sz w:val="28"/>
                <w:szCs w:val="28"/>
              </w:rPr>
            </w:pPr>
            <w:r>
              <w:rPr>
                <w:rFonts w:hint="eastAsia" w:ascii="宋体" w:hAnsi="宋体"/>
                <w:kern w:val="0"/>
                <w:sz w:val="28"/>
                <w:szCs w:val="28"/>
              </w:rPr>
              <w:t>大写：</w:t>
            </w:r>
          </w:p>
          <w:p>
            <w:pPr>
              <w:jc w:val="left"/>
              <w:rPr>
                <w:rFonts w:ascii="宋体" w:hAnsi="宋体"/>
                <w:kern w:val="0"/>
                <w:sz w:val="28"/>
                <w:szCs w:val="28"/>
              </w:rPr>
            </w:pPr>
            <w:r>
              <w:rPr>
                <w:rFonts w:hint="eastAsia" w:ascii="宋体" w:hAnsi="宋体"/>
                <w:kern w:val="0"/>
                <w:sz w:val="28"/>
                <w:szCs w:val="28"/>
              </w:rPr>
              <w:t>小写：      元（人民币）</w:t>
            </w:r>
          </w:p>
          <w:p>
            <w:pPr>
              <w:jc w:val="left"/>
            </w:pPr>
            <w:r>
              <w:rPr>
                <w:rFonts w:hint="eastAsia" w:ascii="宋体" w:hAnsi="宋体"/>
                <w:kern w:val="0"/>
                <w:sz w:val="28"/>
                <w:szCs w:val="28"/>
              </w:rPr>
              <w:t>税率：</w:t>
            </w:r>
          </w:p>
        </w:tc>
      </w:tr>
    </w:tbl>
    <w:p>
      <w:pPr>
        <w:pStyle w:val="16"/>
        <w:ind w:left="840" w:leftChars="400" w:firstLine="0" w:firstLineChars="0"/>
      </w:pPr>
    </w:p>
    <w:p>
      <w:pPr>
        <w:pStyle w:val="8"/>
        <w:overflowPunct w:val="0"/>
        <w:spacing w:line="400" w:lineRule="exact"/>
        <w:rPr>
          <w:rFonts w:ascii="宋体" w:hAnsi="宋体"/>
          <w:szCs w:val="24"/>
        </w:rPr>
      </w:pPr>
      <w:r>
        <w:rPr>
          <w:rFonts w:hint="eastAsia" w:ascii="宋体" w:hAnsi="宋体"/>
          <w:b w:val="0"/>
          <w:bCs/>
          <w:szCs w:val="24"/>
        </w:rPr>
        <w:t>注：本项目评审价以项目含税报价为准。</w:t>
      </w:r>
    </w:p>
    <w:p>
      <w:pPr>
        <w:spacing w:line="560" w:lineRule="exact"/>
        <w:rPr>
          <w:rFonts w:ascii="宋体" w:hAnsi="宋体"/>
          <w:sz w:val="24"/>
        </w:rPr>
      </w:pPr>
    </w:p>
    <w:p>
      <w:pPr>
        <w:spacing w:line="560" w:lineRule="exact"/>
        <w:rPr>
          <w:rFonts w:ascii="宋体" w:hAnsi="宋体"/>
          <w:sz w:val="24"/>
        </w:rPr>
      </w:pPr>
      <w:r>
        <w:rPr>
          <w:rFonts w:hint="eastAsia" w:ascii="宋体" w:hAnsi="宋体"/>
          <w:sz w:val="24"/>
        </w:rPr>
        <w:t>投标人（公章）：</w:t>
      </w:r>
    </w:p>
    <w:p>
      <w:pPr>
        <w:spacing w:line="560" w:lineRule="exact"/>
        <w:rPr>
          <w:rFonts w:ascii="宋体" w:hAnsi="宋体"/>
          <w:sz w:val="24"/>
        </w:rPr>
      </w:pPr>
      <w:r>
        <w:rPr>
          <w:rFonts w:hint="eastAsia" w:ascii="宋体" w:hAnsi="宋体"/>
          <w:sz w:val="24"/>
        </w:rPr>
        <w:t>法定代表人或授权代表（签字或盖章）：</w:t>
      </w:r>
    </w:p>
    <w:p>
      <w:pPr>
        <w:spacing w:line="360" w:lineRule="auto"/>
        <w:rPr>
          <w:rFonts w:ascii="宋体" w:hAnsi="宋体"/>
          <w:sz w:val="24"/>
        </w:rPr>
      </w:pPr>
      <w:r>
        <w:rPr>
          <w:rFonts w:hint="eastAsia" w:ascii="宋体" w:hAnsi="宋体"/>
          <w:sz w:val="24"/>
        </w:rPr>
        <w:t>日期：</w:t>
      </w:r>
    </w:p>
    <w:p>
      <w:pPr>
        <w:pStyle w:val="2"/>
        <w:rPr>
          <w:rFonts w:hAnsi="宋体"/>
          <w:sz w:val="24"/>
        </w:rPr>
      </w:pPr>
    </w:p>
    <w:p>
      <w:pPr>
        <w:rPr>
          <w:rFonts w:ascii="宋体" w:hAnsi="宋体"/>
        </w:rPr>
      </w:pPr>
    </w:p>
    <w:p>
      <w:pPr>
        <w:spacing w:line="400" w:lineRule="exact"/>
        <w:jc w:val="center"/>
        <w:rPr>
          <w:rFonts w:ascii="宋体" w:hAnsi="宋体"/>
          <w:b/>
          <w:bCs/>
          <w:sz w:val="32"/>
          <w:szCs w:val="32"/>
        </w:rPr>
      </w:pPr>
      <w:r>
        <w:rPr>
          <w:rFonts w:hint="eastAsia" w:ascii="宋体" w:hAnsi="宋体"/>
          <w:b/>
          <w:bCs/>
          <w:sz w:val="32"/>
          <w:szCs w:val="32"/>
        </w:rPr>
        <w:t>六、分项报价明细表（格式自拟）</w:t>
      </w:r>
    </w:p>
    <w:p>
      <w:pPr>
        <w:rPr>
          <w:rFonts w:ascii="宋体" w:hAnsi="宋体"/>
        </w:rPr>
      </w:pPr>
    </w:p>
    <w:sectPr>
      <w:pgSz w:w="11906" w:h="16838"/>
      <w:pgMar w:top="2098" w:right="1587" w:bottom="1984" w:left="1587" w:header="851"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1" w:fontKey="{0AD3CA9C-B69A-403E-A971-BE5CA6773B73}"/>
  </w:font>
  <w:font w:name="仿宋">
    <w:panose1 w:val="02010609060101010101"/>
    <w:charset w:val="86"/>
    <w:family w:val="modern"/>
    <w:pitch w:val="default"/>
    <w:sig w:usb0="800002BF" w:usb1="38CF7CFA" w:usb2="00000016" w:usb3="00000000" w:csb0="00040001" w:csb1="00000000"/>
    <w:embedRegular r:id="rId2" w:fontKey="{DEA49214-F0C0-4961-9D30-2D05F0B8474D}"/>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caps/>
      </w:rPr>
    </w:pPr>
    <w:r>
      <w:rPr>
        <w:caps/>
      </w:rPr>
      <w:fldChar w:fldCharType="begin"/>
    </w:r>
    <w:r>
      <w:rPr>
        <w:caps/>
      </w:rPr>
      <w:instrText xml:space="preserve">PAGE   \* MERGEFORMAT</w:instrText>
    </w:r>
    <w:r>
      <w:rPr>
        <w:caps/>
      </w:rPr>
      <w:fldChar w:fldCharType="separate"/>
    </w:r>
    <w:r>
      <w:rPr>
        <w:caps/>
        <w:lang w:val="zh-CN"/>
      </w:rPr>
      <w:t>5</w:t>
    </w:r>
    <w:r>
      <w:rPr>
        <w:caps/>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singleLevel"/>
    <w:tmpl w:val="00000002"/>
    <w:lvl w:ilvl="0" w:tentative="0">
      <w:start w:val="2"/>
      <w:numFmt w:val="decimal"/>
      <w:suff w:val="nothing"/>
      <w:lvlText w:val="%1、"/>
      <w:lvlJc w:val="left"/>
    </w:lvl>
  </w:abstractNum>
  <w:abstractNum w:abstractNumId="2">
    <w:nsid w:val="56E31CDD"/>
    <w:multiLevelType w:val="singleLevel"/>
    <w:tmpl w:val="56E31CDD"/>
    <w:lvl w:ilvl="0" w:tentative="0">
      <w:start w:val="1"/>
      <w:numFmt w:val="decimal"/>
      <w:suff w:val="nothing"/>
      <w:lvlText w:val="（%1）"/>
      <w:lvlJc w:val="left"/>
    </w:lvl>
  </w:abstractNum>
  <w:abstractNum w:abstractNumId="3">
    <w:nsid w:val="6726F031"/>
    <w:multiLevelType w:val="singleLevel"/>
    <w:tmpl w:val="6726F031"/>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YxOTZiZTA5NGE2N2ZiZTY0YjVkMWYyZGIzNGU0MGIifQ=="/>
  </w:docVars>
  <w:rsids>
    <w:rsidRoot w:val="00962725"/>
    <w:rsid w:val="000765DC"/>
    <w:rsid w:val="00190B43"/>
    <w:rsid w:val="00225F0B"/>
    <w:rsid w:val="003C4AEB"/>
    <w:rsid w:val="00406EB7"/>
    <w:rsid w:val="0046587E"/>
    <w:rsid w:val="004930FD"/>
    <w:rsid w:val="005672DA"/>
    <w:rsid w:val="0057625A"/>
    <w:rsid w:val="005D4BA6"/>
    <w:rsid w:val="00640E88"/>
    <w:rsid w:val="00663A9D"/>
    <w:rsid w:val="006839C2"/>
    <w:rsid w:val="006A31AD"/>
    <w:rsid w:val="006D2860"/>
    <w:rsid w:val="00755ABF"/>
    <w:rsid w:val="00935D4F"/>
    <w:rsid w:val="00962725"/>
    <w:rsid w:val="009916BC"/>
    <w:rsid w:val="00AA5740"/>
    <w:rsid w:val="00B84A5F"/>
    <w:rsid w:val="00BA5FAF"/>
    <w:rsid w:val="00C24CC8"/>
    <w:rsid w:val="00DE4765"/>
    <w:rsid w:val="00EF4C57"/>
    <w:rsid w:val="00FF3F8C"/>
    <w:rsid w:val="12DB23CC"/>
    <w:rsid w:val="14E135FC"/>
    <w:rsid w:val="17674466"/>
    <w:rsid w:val="17852385"/>
    <w:rsid w:val="18F922E3"/>
    <w:rsid w:val="1B7014AE"/>
    <w:rsid w:val="1EE44E0D"/>
    <w:rsid w:val="28DB7F35"/>
    <w:rsid w:val="33743B62"/>
    <w:rsid w:val="37691503"/>
    <w:rsid w:val="390320BE"/>
    <w:rsid w:val="4581546F"/>
    <w:rsid w:val="464E1FF0"/>
    <w:rsid w:val="482E6F63"/>
    <w:rsid w:val="48EC4655"/>
    <w:rsid w:val="4FD24EB9"/>
    <w:rsid w:val="58CB0579"/>
    <w:rsid w:val="62807CBB"/>
    <w:rsid w:val="64DE0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5">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paragraph" w:styleId="7">
    <w:name w:val="heading 4"/>
    <w:basedOn w:val="1"/>
    <w:next w:val="1"/>
    <w:qFormat/>
    <w:uiPriority w:val="0"/>
    <w:pPr>
      <w:outlineLvl w:val="3"/>
    </w:pPr>
    <w:rPr>
      <w:sz w:val="28"/>
      <w:szCs w:val="20"/>
      <w:lang w:eastAsia="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宋体"/>
      <w:kern w:val="0"/>
      <w:sz w:val="28"/>
      <w:szCs w:val="20"/>
    </w:rPr>
  </w:style>
  <w:style w:type="paragraph" w:styleId="3">
    <w:name w:val="Body Text 2"/>
    <w:basedOn w:val="1"/>
    <w:next w:val="2"/>
    <w:qFormat/>
    <w:uiPriority w:val="0"/>
    <w:pPr>
      <w:snapToGrid w:val="0"/>
    </w:pPr>
    <w:rPr>
      <w:b/>
      <w:bCs/>
      <w:kern w:val="0"/>
      <w:sz w:val="18"/>
    </w:rPr>
  </w:style>
  <w:style w:type="paragraph" w:styleId="8">
    <w:name w:val="Normal Indent"/>
    <w:basedOn w:val="1"/>
    <w:qFormat/>
    <w:uiPriority w:val="0"/>
    <w:pPr>
      <w:ind w:firstLine="420"/>
    </w:pPr>
    <w:rPr>
      <w:b/>
      <w:kern w:val="0"/>
      <w:sz w:val="24"/>
      <w:szCs w:val="20"/>
    </w:rPr>
  </w:style>
  <w:style w:type="paragraph" w:styleId="9">
    <w:name w:val="Body Text Indent"/>
    <w:basedOn w:val="1"/>
    <w:next w:val="10"/>
    <w:qFormat/>
    <w:uiPriority w:val="99"/>
    <w:pPr>
      <w:spacing w:line="360" w:lineRule="auto"/>
      <w:ind w:firstLine="420"/>
    </w:pPr>
    <w:rPr>
      <w:rFonts w:ascii="宋体"/>
      <w:kern w:val="0"/>
      <w:sz w:val="24"/>
      <w:szCs w:val="20"/>
    </w:rPr>
  </w:style>
  <w:style w:type="paragraph" w:styleId="10">
    <w:name w:val="envelope return"/>
    <w:basedOn w:val="1"/>
    <w:qFormat/>
    <w:uiPriority w:val="99"/>
    <w:pPr>
      <w:snapToGrid w:val="0"/>
    </w:pPr>
    <w:rPr>
      <w:rFonts w:ascii="Calibri Light" w:hAnsi="Calibri Light"/>
    </w:rPr>
  </w:style>
  <w:style w:type="paragraph" w:styleId="11">
    <w:name w:val="Plain Text"/>
    <w:basedOn w:val="1"/>
    <w:qFormat/>
    <w:uiPriority w:val="0"/>
    <w:rPr>
      <w:rFonts w:ascii="宋体" w:hAnsi="Courier New"/>
      <w:kern w:val="0"/>
      <w:sz w:val="20"/>
      <w:szCs w:val="20"/>
    </w:rPr>
  </w:style>
  <w:style w:type="paragraph" w:styleId="12">
    <w:name w:val="Balloon Text"/>
    <w:basedOn w:val="1"/>
    <w:link w:val="22"/>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Body Text First Indent 2"/>
    <w:basedOn w:val="9"/>
    <w:qFormat/>
    <w:uiPriority w:val="99"/>
    <w:pPr>
      <w:spacing w:after="120" w:line="240" w:lineRule="auto"/>
      <w:ind w:left="420" w:leftChars="200" w:firstLine="200" w:firstLineChars="200"/>
    </w:pPr>
    <w:rPr>
      <w:rFonts w:ascii="Calibri"/>
      <w:kern w:val="2"/>
      <w:sz w:val="21"/>
      <w:szCs w:val="24"/>
    </w:rPr>
  </w:style>
  <w:style w:type="table" w:styleId="18">
    <w:name w:val="Table Grid"/>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21">
    <w:name w:val="List Paragraph"/>
    <w:basedOn w:val="1"/>
    <w:qFormat/>
    <w:uiPriority w:val="99"/>
    <w:pPr>
      <w:ind w:firstLine="420" w:firstLineChars="200"/>
    </w:pPr>
  </w:style>
  <w:style w:type="character" w:customStyle="1" w:styleId="22">
    <w:name w:val="批注框文本 Char"/>
    <w:basedOn w:val="19"/>
    <w:link w:val="12"/>
    <w:qFormat/>
    <w:uiPriority w:val="0"/>
    <w:rPr>
      <w:kern w:val="2"/>
      <w:sz w:val="18"/>
      <w:szCs w:val="18"/>
    </w:rPr>
  </w:style>
  <w:style w:type="paragraph" w:customStyle="1" w:styleId="2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修订1"/>
    <w:qFormat/>
    <w:uiPriority w:val="99"/>
    <w:rPr>
      <w:rFonts w:ascii="Calibri" w:hAnsi="Calibri" w:eastAsia="宋体" w:cs="宋体"/>
      <w:kern w:val="2"/>
      <w:sz w:val="21"/>
      <w:szCs w:val="24"/>
      <w:lang w:val="en-US" w:eastAsia="zh-CN" w:bidi="ar-SA"/>
    </w:rPr>
  </w:style>
  <w:style w:type="paragraph" w:customStyle="1" w:styleId="25">
    <w:name w:val="修订2"/>
    <w:qFormat/>
    <w:uiPriority w:val="99"/>
    <w:rPr>
      <w:rFonts w:ascii="Calibri" w:hAnsi="Calibri" w:eastAsia="宋体" w:cs="宋体"/>
      <w:kern w:val="2"/>
      <w:sz w:val="21"/>
      <w:szCs w:val="24"/>
      <w:lang w:val="en-US" w:eastAsia="zh-CN" w:bidi="ar-SA"/>
    </w:rPr>
  </w:style>
  <w:style w:type="character" w:customStyle="1" w:styleId="26">
    <w:name w:val="无"/>
    <w:qFormat/>
    <w:uiPriority w:val="0"/>
  </w:style>
  <w:style w:type="character" w:customStyle="1" w:styleId="27">
    <w:name w:val="font41"/>
    <w:basedOn w:val="19"/>
    <w:qFormat/>
    <w:uiPriority w:val="0"/>
    <w:rPr>
      <w:rFonts w:hint="eastAsia" w:ascii="宋体" w:hAnsi="宋体" w:eastAsia="宋体" w:cs="宋体"/>
      <w:color w:val="000000"/>
      <w:sz w:val="22"/>
      <w:szCs w:val="22"/>
      <w:u w:val="none"/>
    </w:rPr>
  </w:style>
  <w:style w:type="character" w:customStyle="1" w:styleId="28">
    <w:name w:val="font01"/>
    <w:basedOn w:val="19"/>
    <w:qFormat/>
    <w:uiPriority w:val="0"/>
    <w:rPr>
      <w:rFonts w:hint="eastAsia" w:ascii="宋体" w:hAnsi="宋体" w:eastAsia="宋体" w:cs="宋体"/>
      <w:color w:val="000000"/>
      <w:sz w:val="22"/>
      <w:szCs w:val="22"/>
      <w:u w:val="none"/>
    </w:rPr>
  </w:style>
  <w:style w:type="character" w:customStyle="1" w:styleId="29">
    <w:name w:val="font11"/>
    <w:basedOn w:val="19"/>
    <w:qFormat/>
    <w:uiPriority w:val="0"/>
    <w:rPr>
      <w:rFonts w:hint="eastAsia" w:ascii="宋体" w:hAnsi="宋体" w:eastAsia="宋体" w:cs="宋体"/>
      <w:color w:val="000000"/>
      <w:sz w:val="22"/>
      <w:szCs w:val="22"/>
      <w:u w:val="none"/>
    </w:rPr>
  </w:style>
  <w:style w:type="character" w:customStyle="1" w:styleId="30">
    <w:name w:val="font31"/>
    <w:basedOn w:val="19"/>
    <w:qFormat/>
    <w:uiPriority w:val="0"/>
    <w:rPr>
      <w:rFonts w:hint="eastAsia" w:ascii="宋体" w:hAnsi="宋体" w:eastAsia="宋体" w:cs="宋体"/>
      <w:color w:val="000000"/>
      <w:sz w:val="22"/>
      <w:szCs w:val="22"/>
      <w:u w:val="none"/>
    </w:rPr>
  </w:style>
  <w:style w:type="character" w:customStyle="1" w:styleId="31">
    <w:name w:val="font21"/>
    <w:basedOn w:val="19"/>
    <w:qFormat/>
    <w:uiPriority w:val="0"/>
    <w:rPr>
      <w:rFonts w:hint="eastAsia" w:ascii="宋体" w:hAnsi="宋体" w:eastAsia="宋体" w:cs="宋体"/>
      <w:color w:val="000000"/>
      <w:sz w:val="22"/>
      <w:szCs w:val="22"/>
      <w:u w:val="none"/>
    </w:rPr>
  </w:style>
  <w:style w:type="character" w:customStyle="1" w:styleId="32">
    <w:name w:val="font61"/>
    <w:basedOn w:val="19"/>
    <w:uiPriority w:val="0"/>
    <w:rPr>
      <w:rFonts w:hint="default" w:ascii="Times New Roman" w:hAnsi="Times New Roman" w:cs="Times New Roman"/>
      <w:color w:val="000000"/>
      <w:sz w:val="24"/>
      <w:szCs w:val="24"/>
      <w:u w:val="none"/>
    </w:rPr>
  </w:style>
  <w:style w:type="character" w:customStyle="1" w:styleId="33">
    <w:name w:val="font91"/>
    <w:basedOn w:val="19"/>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AD6C4-E641-4605-A6A6-3E317149E35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2943</Words>
  <Characters>16779</Characters>
  <Lines>139</Lines>
  <Paragraphs>39</Paragraphs>
  <TotalTime>5</TotalTime>
  <ScaleCrop>false</ScaleCrop>
  <LinksUpToDate>false</LinksUpToDate>
  <CharactersWithSpaces>19683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2022-10-08T03:31:00Z</dcterms:created>
  <dc:creator>pc</dc:creator>
  <cp:lastModifiedBy>user01</cp:lastModifiedBy>
  <cp:lastPrinted>2023-07-24T07:26:00Z</cp:lastPrinted>
  <dcterms:modified xsi:type="dcterms:W3CDTF">2023-09-04T08:36:17Z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067548C370EE4EF3B454E26F6C6576E2_13</vt:lpwstr>
  </property>
</Properties>
</file>