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6300"/>
        </w:tabs>
        <w:snapToGrid w:val="0"/>
        <w:spacing w:line="300" w:lineRule="auto"/>
        <w:jc w:val="center"/>
        <w:rPr>
          <w:rFonts w:ascii="宋体"/>
          <w:b/>
          <w:bCs/>
          <w:sz w:val="44"/>
          <w:szCs w:val="44"/>
        </w:rPr>
      </w:pPr>
    </w:p>
    <w:p>
      <w:pPr>
        <w:pStyle w:val="50"/>
        <w:jc w:val="center"/>
        <w:rPr>
          <w:rFonts w:hint="eastAsia" w:eastAsia="宋体"/>
          <w:sz w:val="48"/>
          <w:szCs w:val="48"/>
          <w:lang w:eastAsia="zh-CN"/>
        </w:rPr>
      </w:pPr>
      <w:r>
        <w:rPr>
          <w:rFonts w:hint="eastAsia" w:ascii="宋体" w:hAnsi="宋体" w:cs="宋体"/>
          <w:b/>
          <w:bCs/>
          <w:sz w:val="48"/>
          <w:szCs w:val="48"/>
          <w:lang w:eastAsia="zh-CN"/>
        </w:rPr>
        <w:t>南通市保安服务有限公司电梯维保服务项目</w:t>
      </w:r>
    </w:p>
    <w:p>
      <w:pPr>
        <w:tabs>
          <w:tab w:val="left" w:pos="6300"/>
        </w:tabs>
        <w:snapToGrid w:val="0"/>
        <w:spacing w:line="300" w:lineRule="auto"/>
        <w:jc w:val="both"/>
        <w:rPr>
          <w:rFonts w:hint="eastAsia" w:ascii="宋体" w:hAnsi="宋体" w:cs="宋体"/>
          <w:b/>
          <w:bCs/>
          <w:w w:val="80"/>
          <w:sz w:val="96"/>
          <w:szCs w:val="96"/>
        </w:rPr>
      </w:pPr>
    </w:p>
    <w:p>
      <w:pPr>
        <w:pStyle w:val="2"/>
        <w:rPr>
          <w:rFonts w:hint="eastAsia" w:ascii="宋体" w:hAnsi="宋体" w:cs="宋体"/>
          <w:b/>
          <w:bCs/>
          <w:w w:val="80"/>
          <w:sz w:val="96"/>
          <w:szCs w:val="96"/>
        </w:rPr>
      </w:pPr>
    </w:p>
    <w:p>
      <w:pPr>
        <w:rPr>
          <w:rFonts w:hint="eastAsia"/>
        </w:rPr>
      </w:pPr>
    </w:p>
    <w:p>
      <w:pPr>
        <w:rPr>
          <w:rFonts w:hint="eastAsia"/>
        </w:rPr>
      </w:pPr>
    </w:p>
    <w:p>
      <w:pPr>
        <w:rPr>
          <w:rFonts w:hint="eastAsia"/>
        </w:rPr>
      </w:pPr>
    </w:p>
    <w:p>
      <w:pPr>
        <w:tabs>
          <w:tab w:val="left" w:pos="6300"/>
        </w:tabs>
        <w:snapToGrid w:val="0"/>
        <w:spacing w:line="300" w:lineRule="auto"/>
        <w:jc w:val="center"/>
        <w:rPr>
          <w:rFonts w:ascii="宋体"/>
          <w:b/>
          <w:bCs/>
          <w:w w:val="80"/>
          <w:sz w:val="96"/>
          <w:szCs w:val="96"/>
        </w:rPr>
      </w:pPr>
      <w:r>
        <w:rPr>
          <w:rFonts w:hint="eastAsia" w:ascii="宋体" w:hAnsi="宋体" w:cs="宋体"/>
          <w:b/>
          <w:bCs/>
          <w:w w:val="80"/>
          <w:sz w:val="96"/>
          <w:szCs w:val="96"/>
        </w:rPr>
        <w:t>竞争性磋商文件</w:t>
      </w:r>
    </w:p>
    <w:p>
      <w:pPr>
        <w:jc w:val="center"/>
        <w:rPr>
          <w:rFonts w:ascii="宋体"/>
          <w:b/>
          <w:bCs/>
          <w:sz w:val="44"/>
          <w:szCs w:val="44"/>
        </w:rPr>
      </w:pPr>
    </w:p>
    <w:p>
      <w:pPr>
        <w:pStyle w:val="50"/>
        <w:rPr>
          <w:rFonts w:hint="eastAsia"/>
        </w:rPr>
      </w:pPr>
    </w:p>
    <w:p>
      <w:pPr>
        <w:pStyle w:val="2"/>
      </w:pPr>
    </w:p>
    <w:p/>
    <w:p>
      <w:pPr>
        <w:pStyle w:val="50"/>
        <w:ind w:firstLine="0" w:firstLineChars="0"/>
        <w:rPr>
          <w:rFonts w:hint="eastAsia"/>
        </w:rPr>
      </w:pPr>
    </w:p>
    <w:p>
      <w:pPr>
        <w:pStyle w:val="50"/>
        <w:ind w:firstLine="0" w:firstLineChars="0"/>
        <w:rPr>
          <w:rFonts w:hint="eastAsia"/>
        </w:rPr>
      </w:pPr>
    </w:p>
    <w:p>
      <w:pPr>
        <w:pStyle w:val="50"/>
        <w:ind w:firstLine="0" w:firstLineChars="0"/>
        <w:rPr>
          <w:rFonts w:hint="eastAsia"/>
        </w:rPr>
      </w:pPr>
    </w:p>
    <w:p>
      <w:pPr>
        <w:pStyle w:val="50"/>
        <w:ind w:firstLine="0" w:firstLineChars="0"/>
        <w:rPr>
          <w:rFonts w:hint="eastAsia"/>
        </w:rPr>
      </w:pPr>
    </w:p>
    <w:p>
      <w:pPr>
        <w:pStyle w:val="50"/>
        <w:rPr>
          <w:rFonts w:hint="eastAsia"/>
        </w:rPr>
      </w:pPr>
    </w:p>
    <w:p>
      <w:pPr>
        <w:adjustRightInd w:val="0"/>
        <w:snapToGrid w:val="0"/>
        <w:spacing w:line="360" w:lineRule="auto"/>
        <w:ind w:firstLine="2409" w:firstLineChars="800"/>
        <w:jc w:val="left"/>
        <w:rPr>
          <w:rFonts w:hint="eastAsia" w:ascii="宋体" w:hAnsi="宋体" w:eastAsia="宋体" w:cs="宋体"/>
          <w:b/>
          <w:bCs/>
          <w:sz w:val="30"/>
          <w:szCs w:val="30"/>
          <w:lang w:eastAsia="zh-CN"/>
        </w:rPr>
      </w:pPr>
      <w:bookmarkStart w:id="0" w:name="_Toc94544743"/>
      <w:bookmarkStart w:id="1" w:name="_Toc521201596"/>
      <w:bookmarkStart w:id="2" w:name="_Toc521203417"/>
      <w:bookmarkStart w:id="3" w:name="_Toc94544827"/>
      <w:bookmarkStart w:id="4" w:name="_Toc11500279"/>
      <w:bookmarkStart w:id="5" w:name="_Toc12670502"/>
      <w:bookmarkStart w:id="6" w:name="_Toc11499583"/>
      <w:bookmarkStart w:id="7" w:name="_Toc8895738"/>
      <w:bookmarkStart w:id="8" w:name="_Toc94585339"/>
      <w:bookmarkStart w:id="9" w:name="_Toc11554638"/>
      <w:r>
        <w:rPr>
          <w:rFonts w:hint="eastAsia" w:ascii="宋体" w:hAnsi="宋体" w:cs="宋体"/>
          <w:b/>
          <w:bCs/>
          <w:sz w:val="30"/>
          <w:szCs w:val="30"/>
        </w:rPr>
        <w:t>采购单位：</w:t>
      </w:r>
      <w:r>
        <w:rPr>
          <w:rFonts w:hint="eastAsia" w:ascii="宋体" w:hAnsi="宋体" w:cs="宋体"/>
          <w:b/>
          <w:bCs/>
          <w:sz w:val="30"/>
          <w:szCs w:val="30"/>
          <w:lang w:eastAsia="zh-CN"/>
        </w:rPr>
        <w:t>南通市保安服务有限公司</w:t>
      </w:r>
    </w:p>
    <w:p>
      <w:pPr>
        <w:adjustRightInd w:val="0"/>
        <w:snapToGrid w:val="0"/>
        <w:spacing w:line="360" w:lineRule="auto"/>
        <w:ind w:firstLine="2409" w:firstLineChars="800"/>
        <w:jc w:val="left"/>
        <w:rPr>
          <w:rFonts w:hint="eastAsia" w:ascii="宋体" w:hAnsi="宋体" w:eastAsia="宋体" w:cs="宋体"/>
          <w:b/>
          <w:bCs/>
          <w:sz w:val="30"/>
          <w:szCs w:val="30"/>
          <w:lang w:eastAsia="zh-CN"/>
        </w:rPr>
      </w:pPr>
      <w:r>
        <w:rPr>
          <w:rFonts w:hint="eastAsia" w:ascii="宋体" w:hAnsi="宋体" w:cs="宋体"/>
          <w:b/>
          <w:bCs/>
          <w:sz w:val="30"/>
          <w:szCs w:val="30"/>
        </w:rPr>
        <w:t>代理机构：</w:t>
      </w:r>
      <w:r>
        <w:rPr>
          <w:rFonts w:hint="eastAsia" w:ascii="宋体" w:hAnsi="宋体" w:cs="宋体"/>
          <w:b/>
          <w:bCs/>
          <w:sz w:val="30"/>
          <w:szCs w:val="30"/>
          <w:lang w:eastAsia="zh-CN"/>
        </w:rPr>
        <w:t>中诚智信工程咨询集团股份有限公司</w:t>
      </w:r>
    </w:p>
    <w:p>
      <w:pPr>
        <w:adjustRightInd w:val="0"/>
        <w:snapToGrid w:val="0"/>
        <w:spacing w:line="360" w:lineRule="auto"/>
        <w:jc w:val="center"/>
        <w:rPr>
          <w:rFonts w:ascii="宋体" w:hAnsi="宋体" w:cs="宋体"/>
          <w:b/>
          <w:bCs/>
          <w:w w:val="80"/>
          <w:sz w:val="52"/>
          <w:szCs w:val="52"/>
        </w:rPr>
      </w:pPr>
      <w:r>
        <w:rPr>
          <w:rFonts w:hint="eastAsia" w:ascii="宋体" w:hAnsi="宋体" w:cs="宋体"/>
          <w:b/>
          <w:bCs/>
          <w:sz w:val="30"/>
          <w:szCs w:val="30"/>
        </w:rPr>
        <w:t xml:space="preserve"> 二〇二</w:t>
      </w:r>
      <w:r>
        <w:rPr>
          <w:rFonts w:hint="eastAsia" w:ascii="宋体" w:hAnsi="宋体" w:cs="宋体"/>
          <w:b/>
          <w:bCs/>
          <w:sz w:val="30"/>
          <w:szCs w:val="30"/>
          <w:lang w:val="en-US" w:eastAsia="zh-CN"/>
        </w:rPr>
        <w:t>二</w:t>
      </w:r>
      <w:r>
        <w:rPr>
          <w:rFonts w:hint="eastAsia" w:ascii="宋体" w:hAnsi="宋体" w:cs="宋体"/>
          <w:b/>
          <w:bCs/>
          <w:sz w:val="30"/>
          <w:szCs w:val="30"/>
        </w:rPr>
        <w:t>年</w:t>
      </w:r>
      <w:r>
        <w:rPr>
          <w:rFonts w:hint="eastAsia" w:ascii="宋体" w:hAnsi="宋体" w:cs="宋体"/>
          <w:b/>
          <w:bCs/>
          <w:sz w:val="30"/>
          <w:szCs w:val="30"/>
          <w:lang w:val="en-US" w:eastAsia="zh-CN"/>
        </w:rPr>
        <w:t>十二</w:t>
      </w:r>
      <w:r>
        <w:rPr>
          <w:rFonts w:hint="eastAsia" w:ascii="宋体" w:hAnsi="宋体" w:cs="宋体"/>
          <w:b/>
          <w:bCs/>
          <w:sz w:val="30"/>
          <w:szCs w:val="30"/>
        </w:rPr>
        <w:t>月</w:t>
      </w:r>
      <w:r>
        <w:rPr>
          <w:rFonts w:hint="eastAsia" w:ascii="宋体" w:hAnsi="宋体" w:cs="宋体"/>
          <w:b/>
          <w:bCs/>
          <w:sz w:val="30"/>
          <w:szCs w:val="30"/>
          <w:lang w:val="en-US" w:eastAsia="zh-CN"/>
        </w:rPr>
        <w:t>九</w:t>
      </w:r>
      <w:r>
        <w:rPr>
          <w:rFonts w:hint="eastAsia" w:ascii="宋体" w:hAnsi="宋体" w:cs="宋体"/>
          <w:b/>
          <w:bCs/>
          <w:sz w:val="30"/>
          <w:szCs w:val="30"/>
          <w:lang w:eastAsia="zh-CN"/>
        </w:rPr>
        <w:t>日</w:t>
      </w:r>
      <w:r>
        <w:rPr>
          <w:rFonts w:hint="eastAsia" w:ascii="宋体" w:hAnsi="宋体" w:cs="宋体"/>
          <w:b/>
          <w:bCs/>
          <w:sz w:val="30"/>
          <w:szCs w:val="30"/>
        </w:rPr>
        <w:t xml:space="preserve">  </w:t>
      </w:r>
      <w:r>
        <w:rPr>
          <w:rFonts w:ascii="宋体"/>
          <w:b/>
          <w:bCs/>
          <w:sz w:val="44"/>
          <w:szCs w:val="44"/>
        </w:rPr>
        <w:br w:type="page"/>
      </w:r>
    </w:p>
    <w:p>
      <w:pPr>
        <w:adjustRightInd w:val="0"/>
        <w:snapToGrid w:val="0"/>
        <w:spacing w:line="360" w:lineRule="auto"/>
        <w:jc w:val="center"/>
        <w:rPr>
          <w:rFonts w:ascii="宋体"/>
          <w:b/>
          <w:bCs/>
          <w:i/>
          <w:iCs/>
          <w:w w:val="80"/>
          <w:sz w:val="52"/>
          <w:szCs w:val="52"/>
        </w:rPr>
      </w:pPr>
      <w:r>
        <w:rPr>
          <w:rFonts w:hint="eastAsia" w:ascii="宋体" w:hAnsi="宋体" w:cs="宋体"/>
          <w:b/>
          <w:bCs/>
          <w:w w:val="80"/>
          <w:sz w:val="52"/>
          <w:szCs w:val="52"/>
        </w:rPr>
        <w:t>目</w:t>
      </w:r>
      <w:r>
        <w:rPr>
          <w:rFonts w:ascii="宋体" w:hAnsi="宋体" w:cs="宋体"/>
          <w:b/>
          <w:bCs/>
          <w:w w:val="80"/>
          <w:sz w:val="52"/>
          <w:szCs w:val="52"/>
        </w:rPr>
        <w:t xml:space="preserve"> </w:t>
      </w:r>
      <w:r>
        <w:rPr>
          <w:rFonts w:hint="eastAsia" w:ascii="宋体" w:hAnsi="宋体" w:cs="宋体"/>
          <w:b/>
          <w:bCs/>
          <w:w w:val="80"/>
          <w:sz w:val="52"/>
          <w:szCs w:val="52"/>
        </w:rPr>
        <w:t xml:space="preserve"> 录</w:t>
      </w:r>
    </w:p>
    <w:p>
      <w:pPr>
        <w:pStyle w:val="32"/>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第一章</w:t>
      </w:r>
      <w:r>
        <w:rPr>
          <w:rFonts w:ascii="宋体" w:cs="宋体"/>
          <w:caps w:val="0"/>
          <w:w w:val="100"/>
          <w:sz w:val="32"/>
          <w:szCs w:val="32"/>
        </w:rPr>
        <w:t xml:space="preserve"> </w:t>
      </w:r>
      <w:r>
        <w:rPr>
          <w:rFonts w:hint="eastAsia" w:ascii="宋体" w:cs="宋体"/>
          <w:caps w:val="0"/>
          <w:w w:val="100"/>
          <w:sz w:val="32"/>
          <w:szCs w:val="32"/>
        </w:rPr>
        <w:t>竞争性磋商公告</w:t>
      </w:r>
    </w:p>
    <w:p>
      <w:pPr>
        <w:pStyle w:val="32"/>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第二章</w:t>
      </w:r>
      <w:r>
        <w:rPr>
          <w:rFonts w:ascii="宋体" w:cs="宋体"/>
          <w:caps w:val="0"/>
          <w:w w:val="100"/>
          <w:sz w:val="32"/>
          <w:szCs w:val="32"/>
        </w:rPr>
        <w:t xml:space="preserve"> </w:t>
      </w:r>
      <w:r>
        <w:rPr>
          <w:rFonts w:hint="eastAsia" w:ascii="宋体" w:cs="宋体"/>
          <w:caps w:val="0"/>
          <w:w w:val="100"/>
          <w:sz w:val="32"/>
          <w:szCs w:val="32"/>
        </w:rPr>
        <w:t>磋商供应商须知</w:t>
      </w:r>
    </w:p>
    <w:p>
      <w:pPr>
        <w:pStyle w:val="32"/>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第三章</w:t>
      </w:r>
      <w:r>
        <w:rPr>
          <w:rFonts w:ascii="宋体" w:cs="宋体"/>
          <w:caps w:val="0"/>
          <w:w w:val="100"/>
          <w:sz w:val="32"/>
          <w:szCs w:val="32"/>
        </w:rPr>
        <w:t xml:space="preserve"> </w:t>
      </w:r>
      <w:r>
        <w:rPr>
          <w:rFonts w:hint="eastAsia" w:ascii="宋体" w:cs="宋体"/>
          <w:caps w:val="0"/>
          <w:w w:val="100"/>
          <w:sz w:val="32"/>
          <w:szCs w:val="32"/>
        </w:rPr>
        <w:t>项目需求</w:t>
      </w:r>
    </w:p>
    <w:p>
      <w:pPr>
        <w:pStyle w:val="32"/>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第四章</w:t>
      </w:r>
      <w:r>
        <w:rPr>
          <w:rFonts w:ascii="宋体" w:cs="宋体"/>
          <w:caps w:val="0"/>
          <w:w w:val="100"/>
          <w:sz w:val="32"/>
          <w:szCs w:val="32"/>
        </w:rPr>
        <w:t xml:space="preserve"> </w:t>
      </w:r>
      <w:r>
        <w:rPr>
          <w:rFonts w:hint="eastAsia" w:ascii="宋体" w:cs="宋体"/>
          <w:caps w:val="0"/>
          <w:w w:val="100"/>
          <w:sz w:val="32"/>
          <w:szCs w:val="32"/>
        </w:rPr>
        <w:t>评审方法和程序</w:t>
      </w:r>
    </w:p>
    <w:p>
      <w:pPr>
        <w:pStyle w:val="32"/>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第五章</w:t>
      </w:r>
      <w:r>
        <w:rPr>
          <w:rFonts w:ascii="宋体" w:cs="宋体"/>
          <w:caps w:val="0"/>
          <w:w w:val="100"/>
          <w:sz w:val="32"/>
          <w:szCs w:val="32"/>
        </w:rPr>
        <w:t xml:space="preserve"> </w:t>
      </w:r>
      <w:r>
        <w:rPr>
          <w:rFonts w:hint="eastAsia" w:ascii="宋体" w:cs="宋体"/>
          <w:caps w:val="0"/>
          <w:w w:val="100"/>
          <w:sz w:val="32"/>
          <w:szCs w:val="32"/>
        </w:rPr>
        <w:t>合同主要条款</w:t>
      </w:r>
    </w:p>
    <w:p>
      <w:pPr>
        <w:pStyle w:val="32"/>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第六章</w:t>
      </w:r>
      <w:r>
        <w:rPr>
          <w:rFonts w:ascii="宋体" w:cs="宋体"/>
          <w:caps w:val="0"/>
          <w:w w:val="100"/>
          <w:sz w:val="32"/>
          <w:szCs w:val="32"/>
        </w:rPr>
        <w:t xml:space="preserve"> </w:t>
      </w:r>
      <w:r>
        <w:rPr>
          <w:rFonts w:hint="eastAsia" w:ascii="宋体" w:cs="宋体"/>
          <w:caps w:val="0"/>
          <w:w w:val="100"/>
          <w:sz w:val="32"/>
          <w:szCs w:val="32"/>
        </w:rPr>
        <w:t>合同授予</w:t>
      </w:r>
    </w:p>
    <w:p>
      <w:pPr>
        <w:pStyle w:val="32"/>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第七章</w:t>
      </w:r>
      <w:r>
        <w:rPr>
          <w:rFonts w:ascii="宋体" w:cs="宋体"/>
          <w:caps w:val="0"/>
          <w:w w:val="100"/>
          <w:sz w:val="32"/>
          <w:szCs w:val="32"/>
        </w:rPr>
        <w:t xml:space="preserve"> </w:t>
      </w:r>
      <w:r>
        <w:rPr>
          <w:rFonts w:hint="eastAsia" w:ascii="宋体" w:cs="宋体"/>
          <w:caps w:val="0"/>
          <w:w w:val="100"/>
          <w:sz w:val="32"/>
          <w:szCs w:val="32"/>
        </w:rPr>
        <w:t>质疑提出和处理</w:t>
      </w:r>
    </w:p>
    <w:p>
      <w:pPr>
        <w:pStyle w:val="32"/>
        <w:tabs>
          <w:tab w:val="right" w:leader="dot" w:pos="9528"/>
          <w:tab w:val="clear" w:pos="840"/>
          <w:tab w:val="clear" w:pos="9402"/>
        </w:tabs>
        <w:snapToGrid/>
        <w:spacing w:line="1200" w:lineRule="exact"/>
        <w:textAlignment w:val="baseline"/>
        <w:rPr>
          <w:rFonts w:ascii="宋体" w:cs="Times New Roman"/>
          <w:caps w:val="0"/>
          <w:w w:val="100"/>
          <w:sz w:val="32"/>
          <w:szCs w:val="32"/>
        </w:rPr>
      </w:pPr>
      <w:r>
        <w:rPr>
          <w:rFonts w:hint="eastAsia" w:ascii="宋体" w:cs="宋体"/>
          <w:caps w:val="0"/>
          <w:w w:val="100"/>
          <w:sz w:val="32"/>
          <w:szCs w:val="32"/>
        </w:rPr>
        <w:t>第八章</w:t>
      </w:r>
      <w:r>
        <w:rPr>
          <w:rFonts w:ascii="宋体" w:cs="宋体"/>
          <w:caps w:val="0"/>
          <w:w w:val="100"/>
          <w:sz w:val="32"/>
          <w:szCs w:val="32"/>
        </w:rPr>
        <w:t xml:space="preserve"> </w:t>
      </w:r>
      <w:r>
        <w:rPr>
          <w:rFonts w:hint="eastAsia" w:ascii="宋体" w:cs="宋体"/>
          <w:caps w:val="0"/>
          <w:w w:val="100"/>
          <w:sz w:val="32"/>
          <w:szCs w:val="32"/>
        </w:rPr>
        <w:t>响应文件组成及格式</w:t>
      </w:r>
    </w:p>
    <w:p>
      <w:pPr>
        <w:rPr>
          <w:rFonts w:ascii="宋体"/>
          <w:sz w:val="36"/>
          <w:szCs w:val="36"/>
        </w:rPr>
      </w:pPr>
    </w:p>
    <w:p>
      <w:pPr>
        <w:rPr>
          <w:rFonts w:ascii="宋体"/>
          <w:sz w:val="36"/>
          <w:szCs w:val="36"/>
        </w:rPr>
      </w:pPr>
    </w:p>
    <w:p>
      <w:pPr>
        <w:snapToGrid w:val="0"/>
        <w:spacing w:line="360" w:lineRule="auto"/>
        <w:rPr>
          <w:rFonts w:ascii="宋体"/>
          <w:b/>
          <w:bCs/>
          <w:sz w:val="24"/>
          <w:szCs w:val="24"/>
        </w:rPr>
      </w:pPr>
      <w:r>
        <w:rPr>
          <w:rFonts w:ascii="宋体"/>
          <w:b/>
          <w:bCs/>
        </w:rPr>
        <w:br w:type="page"/>
      </w:r>
      <w:r>
        <w:rPr>
          <w:rFonts w:hint="eastAsia" w:ascii="宋体" w:hAnsi="宋体" w:cs="宋体"/>
          <w:b/>
          <w:bCs/>
          <w:sz w:val="24"/>
          <w:szCs w:val="24"/>
        </w:rPr>
        <w:t>尊敬的磋商供应商：</w:t>
      </w:r>
    </w:p>
    <w:p>
      <w:pPr>
        <w:snapToGrid w:val="0"/>
        <w:spacing w:line="360" w:lineRule="auto"/>
        <w:ind w:firstLine="482" w:firstLineChars="200"/>
        <w:rPr>
          <w:rFonts w:ascii="宋体"/>
          <w:b/>
          <w:bCs/>
          <w:sz w:val="24"/>
          <w:szCs w:val="24"/>
        </w:rPr>
      </w:pPr>
      <w:r>
        <w:rPr>
          <w:rFonts w:hint="eastAsia" w:ascii="宋体" w:hAnsi="宋体" w:cs="宋体"/>
          <w:b/>
          <w:bCs/>
          <w:sz w:val="24"/>
          <w:szCs w:val="24"/>
        </w:rPr>
        <w:t>欢迎参加本采购项目的竞争性磋商。为了保证本次磋商项目顺利进行，请在制作响应文件之前，仔细阅读本竞争性磋商文件的各项条款，并按要求制作和递交响应文件。谢谢合作！</w:t>
      </w:r>
    </w:p>
    <w:p>
      <w:pPr>
        <w:pStyle w:val="23"/>
        <w:tabs>
          <w:tab w:val="left" w:pos="1050"/>
          <w:tab w:val="right" w:leader="dot" w:pos="9402"/>
        </w:tabs>
        <w:spacing w:line="360" w:lineRule="auto"/>
        <w:ind w:left="0"/>
        <w:jc w:val="center"/>
        <w:outlineLvl w:val="0"/>
        <w:rPr>
          <w:rFonts w:ascii="宋体"/>
          <w:b/>
          <w:bCs/>
          <w:i w:val="0"/>
          <w:iCs w:val="0"/>
          <w:sz w:val="44"/>
          <w:szCs w:val="44"/>
        </w:rPr>
      </w:pPr>
      <w:bookmarkStart w:id="10" w:name="_Toc363573853"/>
      <w:r>
        <w:rPr>
          <w:rFonts w:hint="eastAsia" w:ascii="宋体" w:hAnsi="宋体" w:cs="宋体"/>
          <w:b/>
          <w:bCs/>
          <w:i w:val="0"/>
          <w:iCs w:val="0"/>
          <w:w w:val="80"/>
          <w:sz w:val="44"/>
          <w:szCs w:val="44"/>
        </w:rPr>
        <w:t>第一章 竞争性磋商公</w:t>
      </w:r>
      <w:bookmarkEnd w:id="0"/>
      <w:bookmarkEnd w:id="1"/>
      <w:bookmarkEnd w:id="2"/>
      <w:bookmarkEnd w:id="3"/>
      <w:bookmarkEnd w:id="4"/>
      <w:bookmarkEnd w:id="5"/>
      <w:bookmarkEnd w:id="6"/>
      <w:bookmarkEnd w:id="7"/>
      <w:bookmarkEnd w:id="8"/>
      <w:bookmarkEnd w:id="9"/>
      <w:r>
        <w:rPr>
          <w:rFonts w:hint="eastAsia" w:ascii="宋体" w:hAnsi="宋体" w:cs="宋体"/>
          <w:b/>
          <w:bCs/>
          <w:i w:val="0"/>
          <w:iCs w:val="0"/>
          <w:w w:val="80"/>
          <w:sz w:val="44"/>
          <w:szCs w:val="44"/>
        </w:rPr>
        <w:t>告</w:t>
      </w:r>
      <w:bookmarkEnd w:id="10"/>
    </w:p>
    <w:p>
      <w:pPr>
        <w:snapToGri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项目概况</w:t>
      </w:r>
    </w:p>
    <w:p>
      <w:pPr>
        <w:widowControl/>
        <w:snapToGrid w:val="0"/>
        <w:spacing w:line="360" w:lineRule="auto"/>
        <w:ind w:firstLine="470" w:firstLineChars="196"/>
        <w:jc w:val="left"/>
      </w:pPr>
      <w:r>
        <w:rPr>
          <w:rFonts w:hint="eastAsia" w:ascii="宋体" w:hAnsi="宋体" w:cs="宋体"/>
          <w:bCs/>
          <w:sz w:val="24"/>
          <w:szCs w:val="24"/>
          <w:u w:val="single" w:color="000000"/>
          <w:lang w:eastAsia="zh-CN"/>
        </w:rPr>
        <w:t>南通市保安服务有限公司电梯维保服务项目</w:t>
      </w:r>
      <w:r>
        <w:rPr>
          <w:rFonts w:hint="eastAsia" w:ascii="宋体" w:hAnsi="宋体" w:cs="宋体"/>
          <w:sz w:val="24"/>
          <w:szCs w:val="24"/>
        </w:rPr>
        <w:t>的潜在供应商应在</w:t>
      </w:r>
      <w:r>
        <w:rPr>
          <w:rFonts w:hint="eastAsia" w:ascii="宋体" w:hAnsi="宋体" w:cs="宋体"/>
          <w:bCs/>
          <w:sz w:val="24"/>
          <w:szCs w:val="24"/>
          <w:u w:val="single" w:color="000000"/>
          <w:lang w:eastAsia="zh-CN"/>
        </w:rPr>
        <w:t>南通市保安服务有限公司</w:t>
      </w:r>
      <w:r>
        <w:rPr>
          <w:rFonts w:hint="eastAsia" w:ascii="宋体" w:hAnsi="宋体" w:cs="宋体"/>
          <w:sz w:val="24"/>
          <w:szCs w:val="24"/>
          <w:u w:val="single"/>
        </w:rPr>
        <w:t>官网</w:t>
      </w:r>
      <w:r>
        <w:rPr>
          <w:rFonts w:hint="eastAsia" w:ascii="宋体" w:hAnsi="宋体" w:cs="宋体"/>
          <w:sz w:val="24"/>
          <w:szCs w:val="24"/>
        </w:rPr>
        <w:t>获取采购文件，并于</w:t>
      </w:r>
      <w:r>
        <w:rPr>
          <w:rFonts w:hint="eastAsia" w:ascii="宋体" w:hAnsi="宋体" w:cs="宋体"/>
          <w:b/>
          <w:bCs/>
          <w:color w:val="auto"/>
          <w:sz w:val="24"/>
          <w:szCs w:val="24"/>
          <w:u w:val="single" w:color="000000"/>
        </w:rPr>
        <w:t xml:space="preserve"> 202</w:t>
      </w:r>
      <w:r>
        <w:rPr>
          <w:rFonts w:hint="eastAsia" w:ascii="宋体" w:hAnsi="宋体" w:cs="宋体"/>
          <w:b/>
          <w:bCs/>
          <w:color w:val="auto"/>
          <w:sz w:val="24"/>
          <w:szCs w:val="24"/>
          <w:u w:val="single" w:color="000000"/>
          <w:lang w:val="en-US" w:eastAsia="zh-CN"/>
        </w:rPr>
        <w:t>2</w:t>
      </w:r>
      <w:r>
        <w:rPr>
          <w:rFonts w:hint="eastAsia" w:ascii="宋体" w:hAnsi="宋体" w:cs="宋体"/>
          <w:b/>
          <w:bCs/>
          <w:color w:val="auto"/>
          <w:sz w:val="24"/>
          <w:szCs w:val="24"/>
          <w:u w:val="single" w:color="000000"/>
        </w:rPr>
        <w:t>年</w:t>
      </w:r>
      <w:r>
        <w:rPr>
          <w:rFonts w:hint="eastAsia" w:ascii="宋体" w:hAnsi="宋体" w:cs="宋体"/>
          <w:b/>
          <w:bCs/>
          <w:color w:val="auto"/>
          <w:sz w:val="24"/>
          <w:szCs w:val="24"/>
          <w:u w:val="single" w:color="000000"/>
          <w:lang w:val="en-US" w:eastAsia="zh-CN"/>
        </w:rPr>
        <w:t>12</w:t>
      </w:r>
      <w:r>
        <w:rPr>
          <w:rFonts w:hint="eastAsia" w:ascii="宋体" w:hAnsi="宋体" w:cs="宋体"/>
          <w:b/>
          <w:bCs/>
          <w:color w:val="auto"/>
          <w:sz w:val="24"/>
          <w:szCs w:val="24"/>
          <w:u w:val="single" w:color="000000"/>
        </w:rPr>
        <w:t>月</w:t>
      </w:r>
      <w:r>
        <w:rPr>
          <w:rFonts w:hint="eastAsia" w:ascii="宋体" w:hAnsi="宋体" w:cs="宋体"/>
          <w:b/>
          <w:bCs/>
          <w:color w:val="auto"/>
          <w:sz w:val="24"/>
          <w:szCs w:val="24"/>
          <w:u w:val="single" w:color="000000"/>
          <w:lang w:val="en-US" w:eastAsia="zh-CN"/>
        </w:rPr>
        <w:t>19</w:t>
      </w:r>
      <w:r>
        <w:rPr>
          <w:rFonts w:hint="eastAsia" w:ascii="宋体" w:hAnsi="宋体" w:cs="宋体"/>
          <w:b/>
          <w:bCs/>
          <w:color w:val="auto"/>
          <w:sz w:val="24"/>
          <w:szCs w:val="24"/>
          <w:u w:val="single" w:color="000000"/>
        </w:rPr>
        <w:t>日</w:t>
      </w:r>
      <w:r>
        <w:rPr>
          <w:rFonts w:hint="eastAsia" w:ascii="宋体" w:hAnsi="宋体" w:cs="宋体"/>
          <w:b/>
          <w:bCs/>
          <w:color w:val="auto"/>
          <w:sz w:val="24"/>
          <w:szCs w:val="24"/>
          <w:u w:val="single" w:color="000000"/>
          <w:lang w:eastAsia="zh-CN"/>
        </w:rPr>
        <w:t>下午</w:t>
      </w:r>
      <w:r>
        <w:rPr>
          <w:rFonts w:hint="eastAsia" w:ascii="宋体" w:hAnsi="宋体" w:cs="宋体"/>
          <w:b/>
          <w:bCs/>
          <w:color w:val="auto"/>
          <w:sz w:val="24"/>
          <w:szCs w:val="24"/>
          <w:u w:val="single" w:color="000000"/>
          <w:lang w:val="en-US" w:eastAsia="zh-CN"/>
        </w:rPr>
        <w:t>14</w:t>
      </w:r>
      <w:r>
        <w:rPr>
          <w:rFonts w:hint="eastAsia" w:ascii="宋体" w:hAnsi="宋体" w:cs="宋体"/>
          <w:b/>
          <w:bCs/>
          <w:color w:val="auto"/>
          <w:sz w:val="24"/>
          <w:szCs w:val="24"/>
          <w:u w:val="single" w:color="000000"/>
        </w:rPr>
        <w:t>点</w:t>
      </w:r>
      <w:r>
        <w:rPr>
          <w:rFonts w:hint="eastAsia" w:ascii="宋体" w:hAnsi="宋体" w:cs="宋体"/>
          <w:b/>
          <w:bCs/>
          <w:color w:val="auto"/>
          <w:sz w:val="24"/>
          <w:szCs w:val="24"/>
          <w:u w:val="single" w:color="000000"/>
          <w:lang w:val="en-US" w:eastAsia="zh-CN"/>
        </w:rPr>
        <w:t>30</w:t>
      </w:r>
      <w:r>
        <w:rPr>
          <w:rFonts w:hint="eastAsia" w:ascii="宋体" w:hAnsi="宋体" w:cs="宋体"/>
          <w:b/>
          <w:bCs/>
          <w:color w:val="auto"/>
          <w:sz w:val="24"/>
          <w:szCs w:val="24"/>
          <w:u w:val="single" w:color="000000"/>
        </w:rPr>
        <w:t>分</w:t>
      </w:r>
      <w:r>
        <w:rPr>
          <w:rFonts w:hint="eastAsia" w:ascii="宋体" w:hAnsi="宋体" w:cs="宋体"/>
          <w:bCs/>
          <w:sz w:val="24"/>
          <w:szCs w:val="24"/>
        </w:rPr>
        <w:t>（北京时间）前提交响应文件</w:t>
      </w:r>
      <w:r>
        <w:rPr>
          <w:rFonts w:hint="eastAsia" w:ascii="宋体" w:hAnsi="宋体" w:cs="宋体"/>
          <w:sz w:val="24"/>
          <w:szCs w:val="24"/>
        </w:rPr>
        <w:t>。</w:t>
      </w:r>
    </w:p>
    <w:p>
      <w:pPr>
        <w:pStyle w:val="4"/>
        <w:snapToGrid w:val="0"/>
        <w:spacing w:before="0" w:after="0" w:line="360" w:lineRule="auto"/>
        <w:rPr>
          <w:rFonts w:hint="eastAsia" w:ascii="宋体" w:hAnsi="宋体" w:eastAsia="宋体" w:cs="宋体"/>
          <w:sz w:val="24"/>
          <w:szCs w:val="24"/>
        </w:rPr>
      </w:pPr>
      <w:r>
        <w:rPr>
          <w:rFonts w:hint="eastAsia" w:ascii="宋体" w:hAnsi="宋体" w:eastAsia="宋体" w:cs="宋体"/>
          <w:sz w:val="24"/>
          <w:szCs w:val="24"/>
        </w:rPr>
        <w:t>一、项目基本情况</w:t>
      </w:r>
    </w:p>
    <w:p>
      <w:pPr>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南通市保安服务有限公司电梯维保服务项目</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采购方式：竞争性磋商</w:t>
      </w:r>
    </w:p>
    <w:p>
      <w:pPr>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cs="宋体"/>
          <w:sz w:val="24"/>
          <w:szCs w:val="24"/>
        </w:rPr>
        <w:t>预算金额</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13.2万</w:t>
      </w:r>
      <w:r>
        <w:rPr>
          <w:rFonts w:hint="eastAsia" w:ascii="宋体" w:hAnsi="宋体" w:eastAsia="宋体" w:cs="宋体"/>
          <w:color w:val="auto"/>
          <w:sz w:val="24"/>
          <w:szCs w:val="24"/>
          <w:highlight w:val="none"/>
        </w:rPr>
        <w:t>元/年</w:t>
      </w:r>
    </w:p>
    <w:p>
      <w:pPr>
        <w:snapToGrid w:val="0"/>
        <w:spacing w:line="360" w:lineRule="auto"/>
        <w:ind w:firstLine="480" w:firstLineChars="200"/>
        <w:textAlignment w:val="baseline"/>
        <w:rPr>
          <w:rFonts w:hint="eastAsia" w:ascii="宋体" w:hAnsi="宋体" w:cs="宋体"/>
          <w:color w:val="auto"/>
          <w:sz w:val="24"/>
          <w:szCs w:val="24"/>
          <w:u w:val="single"/>
        </w:rPr>
      </w:pPr>
      <w:r>
        <w:rPr>
          <w:rFonts w:hint="eastAsia" w:ascii="宋体" w:hAnsi="宋体" w:cs="宋体"/>
          <w:color w:val="auto"/>
          <w:sz w:val="24"/>
          <w:szCs w:val="24"/>
        </w:rPr>
        <w:t>采购需求：详见第三章项目需求</w:t>
      </w:r>
    </w:p>
    <w:p>
      <w:pPr>
        <w:snapToGrid w:val="0"/>
        <w:spacing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三年，经采购单位确认服务质量签字后一年一续签，合同一年一签。</w:t>
      </w:r>
    </w:p>
    <w:p>
      <w:pPr>
        <w:snapToGrid w:val="0"/>
        <w:spacing w:line="360" w:lineRule="auto"/>
        <w:ind w:firstLine="508" w:firstLineChars="200"/>
        <w:textAlignment w:val="baseline"/>
        <w:rPr>
          <w:rFonts w:hint="eastAsia" w:ascii="宋体" w:hAnsi="宋体" w:cs="宋体"/>
          <w:color w:val="auto"/>
          <w:sz w:val="24"/>
          <w:szCs w:val="24"/>
        </w:rPr>
      </w:pPr>
      <w:r>
        <w:rPr>
          <w:rFonts w:hint="eastAsia" w:ascii="宋体" w:hAnsi="宋体" w:cs="宋体"/>
          <w:color w:val="auto"/>
          <w:spacing w:val="7"/>
          <w:sz w:val="24"/>
          <w:szCs w:val="24"/>
          <w:shd w:val="clear" w:color="auto" w:fill="FFFFFF"/>
        </w:rPr>
        <w:t>本项目不接受联合体。</w:t>
      </w:r>
    </w:p>
    <w:p>
      <w:pPr>
        <w:pStyle w:val="4"/>
        <w:snapToGrid w:val="0"/>
        <w:spacing w:before="0" w:after="0" w:line="360" w:lineRule="auto"/>
        <w:rPr>
          <w:rFonts w:hint="eastAsia" w:ascii="宋体" w:hAnsi="宋体" w:eastAsia="宋体" w:cs="宋体"/>
          <w:sz w:val="24"/>
          <w:szCs w:val="24"/>
        </w:rPr>
      </w:pPr>
      <w:r>
        <w:rPr>
          <w:rFonts w:hint="eastAsia" w:ascii="宋体" w:hAnsi="宋体" w:eastAsia="宋体" w:cs="宋体"/>
          <w:sz w:val="24"/>
          <w:szCs w:val="24"/>
        </w:rPr>
        <w:t>二、申请人的资格要求：</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一）符合《中华人民共和国政府采购法》第二十二条：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pPr>
        <w:snapToGrid w:val="0"/>
        <w:spacing w:line="360" w:lineRule="auto"/>
        <w:ind w:firstLine="480" w:firstLineChars="200"/>
        <w:textAlignment w:val="baseline"/>
        <w:rPr>
          <w:rFonts w:hint="eastAsia"/>
        </w:rPr>
      </w:pPr>
      <w:r>
        <w:rPr>
          <w:rFonts w:hint="eastAsia" w:ascii="宋体" w:hAnsi="宋体" w:cs="宋体"/>
          <w:sz w:val="24"/>
          <w:szCs w:val="24"/>
        </w:rPr>
        <w:t>其他资格要求：</w:t>
      </w:r>
    </w:p>
    <w:p>
      <w:pPr>
        <w:snapToGrid w:val="0"/>
        <w:spacing w:line="360" w:lineRule="auto"/>
        <w:ind w:firstLine="480" w:firstLineChars="200"/>
        <w:textAlignment w:val="baseline"/>
        <w:rPr>
          <w:rFonts w:hint="eastAsia" w:ascii="宋体" w:hAnsi="宋体" w:cs="宋体"/>
          <w:sz w:val="24"/>
          <w:szCs w:val="24"/>
          <w:highlight w:val="cyan"/>
        </w:rPr>
      </w:pPr>
      <w:r>
        <w:rPr>
          <w:rFonts w:hint="eastAsia" w:ascii="宋体" w:hAnsi="宋体" w:cs="宋体"/>
          <w:sz w:val="24"/>
          <w:szCs w:val="24"/>
        </w:rPr>
        <w:t>1、供应商必须有能力按本磋商文件规定的要求提供相关服务，须提供有效的三证合一的企业法人营业执照复印件或扫描件。</w:t>
      </w:r>
    </w:p>
    <w:p>
      <w:pPr>
        <w:snapToGrid w:val="0"/>
        <w:spacing w:line="360" w:lineRule="auto"/>
        <w:ind w:left="8" w:firstLine="470" w:firstLineChars="196"/>
        <w:jc w:val="left"/>
        <w:textAlignment w:val="baseline"/>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、提供供应商的法定代表人或负责人身份证明及身份证原件的复印件或扫描件（须加盖供应商公章，格式参见竞争性磋商文件第八章）。</w:t>
      </w:r>
    </w:p>
    <w:p>
      <w:pPr>
        <w:snapToGrid w:val="0"/>
        <w:spacing w:line="360" w:lineRule="auto"/>
        <w:ind w:firstLine="559" w:firstLineChars="233"/>
        <w:textAlignment w:val="baseline"/>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、如为被委托受权人参加竞争性磋商的，还必须提供法定代表人或负责人签名或盖章的授权委托书及被委托受权人身份证这两项原件的复印件或扫描件（须加盖供应商公章，格式参见竞争性磋商文件第八章）。</w:t>
      </w:r>
    </w:p>
    <w:p>
      <w:pPr>
        <w:snapToGri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w:t>
      </w:r>
      <w:r>
        <w:rPr>
          <w:rFonts w:hint="eastAsia" w:asciiTheme="minorEastAsia" w:hAnsiTheme="minorEastAsia" w:eastAsiaTheme="minorEastAsia"/>
          <w:sz w:val="24"/>
          <w:szCs w:val="24"/>
          <w:highlight w:val="none"/>
        </w:rPr>
        <w:t>投标人必须具有《中华人民共和国特种设备安装改造维修许可证》（电梯）曳引与强制驱动电梯（或乘客电梯）安装、维修B级及以上资质或《中华人民共和国特种设备生产许可证》（电梯）曳引驱动乘客电梯（含消防员电梯）B级及以上资质</w:t>
      </w:r>
      <w:r>
        <w:rPr>
          <w:rFonts w:hint="eastAsia" w:asciiTheme="minorEastAsia" w:hAnsiTheme="minorEastAsia" w:eastAsiaTheme="minorEastAsia"/>
          <w:sz w:val="24"/>
          <w:szCs w:val="24"/>
          <w:highlight w:val="none"/>
          <w:lang w:eastAsia="zh-CN"/>
        </w:rPr>
        <w:t>。</w:t>
      </w:r>
    </w:p>
    <w:p>
      <w:pPr>
        <w:snapToGrid w:val="0"/>
        <w:spacing w:line="360" w:lineRule="auto"/>
        <w:ind w:firstLine="480" w:firstLineChars="200"/>
        <w:textAlignment w:val="baseline"/>
        <w:rPr>
          <w:rFonts w:hint="eastAsia" w:ascii="宋体" w:hAnsi="宋体" w:cs="宋体"/>
          <w:sz w:val="24"/>
          <w:szCs w:val="24"/>
          <w:lang w:eastAsia="zh-CN"/>
        </w:rPr>
      </w:pPr>
      <w:r>
        <w:rPr>
          <w:rFonts w:hint="eastAsia" w:ascii="宋体" w:hAnsi="宋体" w:cs="宋体"/>
          <w:sz w:val="24"/>
          <w:szCs w:val="24"/>
          <w:lang w:val="en-US" w:eastAsia="zh-CN"/>
        </w:rPr>
        <w:t>5</w:t>
      </w:r>
      <w:r>
        <w:rPr>
          <w:rFonts w:hint="eastAsia" w:ascii="宋体" w:hAnsi="宋体" w:cs="宋体"/>
          <w:sz w:val="24"/>
          <w:szCs w:val="24"/>
        </w:rPr>
        <w:t>、</w:t>
      </w:r>
      <w:bookmarkStart w:id="69" w:name="_GoBack"/>
      <w:bookmarkEnd w:id="69"/>
      <w:r>
        <w:rPr>
          <w:rFonts w:hint="eastAsia" w:ascii="宋体" w:hAnsi="宋体" w:cs="宋体"/>
          <w:sz w:val="24"/>
          <w:szCs w:val="24"/>
        </w:rPr>
        <w:t>采购人</w:t>
      </w:r>
      <w:r>
        <w:rPr>
          <w:rFonts w:hint="eastAsia" w:ascii="宋体" w:hAnsi="宋体" w:cs="宋体"/>
          <w:sz w:val="24"/>
          <w:szCs w:val="24"/>
          <w:lang w:val="en-US" w:eastAsia="zh-CN"/>
        </w:rPr>
        <w:t>代表签字</w:t>
      </w:r>
      <w:r>
        <w:rPr>
          <w:rFonts w:hint="eastAsia" w:ascii="宋体" w:hAnsi="宋体" w:cs="宋体"/>
          <w:sz w:val="24"/>
          <w:szCs w:val="24"/>
        </w:rPr>
        <w:t>的《现场勘查函》</w:t>
      </w:r>
      <w:r>
        <w:rPr>
          <w:rFonts w:hint="eastAsia" w:ascii="宋体" w:hAnsi="宋体" w:cs="宋体"/>
          <w:sz w:val="24"/>
          <w:szCs w:val="24"/>
          <w:lang w:eastAsia="zh-CN"/>
        </w:rPr>
        <w:t>；</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lang w:val="en-US" w:eastAsia="zh-CN"/>
        </w:rPr>
        <w:t>6、供应商</w:t>
      </w:r>
      <w:r>
        <w:rPr>
          <w:rFonts w:hint="eastAsia" w:ascii="宋体" w:hAnsi="宋体" w:cs="宋体"/>
          <w:sz w:val="24"/>
          <w:szCs w:val="24"/>
        </w:rPr>
        <w:t>符合《政府采购法》第二十二条规定条件的承诺函（格式参见竞争性磋商文件第八章）</w:t>
      </w:r>
      <w:r>
        <w:rPr>
          <w:rFonts w:hint="eastAsia" w:ascii="宋体" w:hAnsi="宋体" w:cs="宋体"/>
          <w:sz w:val="24"/>
          <w:szCs w:val="24"/>
          <w:lang w:val="zh-CN"/>
        </w:rPr>
        <w:t>；</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特别提醒】请各供应商认真对照资格要求，如不符合要求，无意或故意参与磋商的，所产生的一切后果由供应商承担。若供应商提供的相关材料为虚假或伪造，将作无效响应处理，并报财政部门将其列入政府采购黑名单。</w:t>
      </w:r>
    </w:p>
    <w:p>
      <w:pPr>
        <w:pStyle w:val="50"/>
        <w:snapToGrid w:val="0"/>
        <w:spacing w:after="0" w:line="360" w:lineRule="auto"/>
        <w:ind w:firstLine="482"/>
        <w:textAlignment w:val="baseline"/>
        <w:rPr>
          <w:rFonts w:hint="eastAsia" w:ascii="宋体" w:hAnsi="宋体" w:cs="宋体"/>
          <w:b/>
          <w:bCs/>
          <w:color w:val="333333"/>
          <w:kern w:val="0"/>
          <w:sz w:val="24"/>
          <w:szCs w:val="24"/>
        </w:rPr>
      </w:pPr>
      <w:r>
        <w:rPr>
          <w:rFonts w:hint="eastAsia" w:ascii="宋体" w:hAnsi="宋体" w:cs="宋体"/>
          <w:b/>
          <w:bCs/>
          <w:color w:val="333333"/>
          <w:kern w:val="0"/>
          <w:sz w:val="24"/>
          <w:szCs w:val="24"/>
        </w:rPr>
        <w:t>磋商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pPr>
        <w:pStyle w:val="50"/>
        <w:snapToGrid w:val="0"/>
        <w:spacing w:after="0" w:line="360" w:lineRule="auto"/>
        <w:ind w:firstLine="482"/>
        <w:textAlignment w:val="baseline"/>
        <w:rPr>
          <w:rFonts w:hint="eastAsia" w:ascii="宋体" w:hAnsi="宋体" w:cs="宋体"/>
          <w:b/>
          <w:bCs/>
          <w:sz w:val="24"/>
          <w:szCs w:val="24"/>
        </w:rPr>
      </w:pPr>
      <w:r>
        <w:rPr>
          <w:rFonts w:hint="eastAsia" w:ascii="宋体" w:hAnsi="宋体" w:eastAsia="宋体" w:cs="宋体"/>
          <w:b/>
          <w:bCs/>
          <w:color w:val="333333"/>
          <w:kern w:val="0"/>
          <w:sz w:val="24"/>
          <w:szCs w:val="24"/>
        </w:rPr>
        <w:t>法定代表人为同一个人的两个及两个以上法人，母公司、全资子公司及其控股公司，都不得在同一采购项目相同标段中同时参加投标，一经发现，将视同围标处理。单位负责人为同一人或者存在直接控股、管理关系</w:t>
      </w:r>
      <w:r>
        <w:rPr>
          <w:rFonts w:hint="eastAsia" w:ascii="宋体" w:hAnsi="宋体" w:cs="宋体"/>
          <w:b/>
          <w:bCs/>
          <w:color w:val="333333"/>
          <w:kern w:val="0"/>
          <w:sz w:val="24"/>
          <w:szCs w:val="24"/>
        </w:rPr>
        <w:t>的不同供应商，不得同时参与同一采购项目相同标段的政府采购活动；为采购项目提供整体设计、规范编制或者项目管理、监理、检测等服务的供应商，不得再参加该采购项目的其他磋商活动</w:t>
      </w:r>
      <w:r>
        <w:rPr>
          <w:rFonts w:hint="eastAsia" w:ascii="宋体" w:hAnsi="宋体" w:cs="宋体"/>
          <w:b/>
          <w:bCs/>
          <w:sz w:val="24"/>
          <w:szCs w:val="24"/>
        </w:rPr>
        <w:t>；如发现供应商递交的资格后审材料有弄虚作假行为，该供应商将记入不良记录，并上报有关部门，如已中标，采购人有权取消其中标资格，并由该供应商承担由此带来可能的一切责任和损失</w:t>
      </w:r>
      <w:r>
        <w:rPr>
          <w:rFonts w:hint="eastAsia" w:ascii="宋体" w:hAnsi="宋体" w:cs="宋体"/>
          <w:b/>
          <w:bCs/>
          <w:color w:val="333333"/>
          <w:kern w:val="0"/>
          <w:sz w:val="24"/>
          <w:szCs w:val="24"/>
        </w:rPr>
        <w:t>。</w:t>
      </w:r>
    </w:p>
    <w:p>
      <w:pPr>
        <w:pStyle w:val="4"/>
        <w:snapToGrid w:val="0"/>
        <w:spacing w:before="0" w:after="0" w:line="360" w:lineRule="auto"/>
        <w:rPr>
          <w:rFonts w:hint="eastAsia" w:ascii="宋体" w:hAnsi="宋体" w:eastAsia="宋体" w:cs="宋体"/>
          <w:sz w:val="24"/>
          <w:szCs w:val="24"/>
        </w:rPr>
      </w:pPr>
      <w:r>
        <w:rPr>
          <w:rFonts w:hint="eastAsia" w:ascii="宋体" w:hAnsi="宋体" w:eastAsia="宋体" w:cs="宋体"/>
          <w:sz w:val="24"/>
          <w:szCs w:val="24"/>
        </w:rPr>
        <w:t>三、获取采购文件</w:t>
      </w:r>
    </w:p>
    <w:p>
      <w:pPr>
        <w:snapToGrid w:val="0"/>
        <w:spacing w:line="360" w:lineRule="auto"/>
        <w:ind w:firstLine="540"/>
        <w:textAlignment w:val="baseline"/>
        <w:rPr>
          <w:rFonts w:hint="eastAsia" w:ascii="宋体" w:hAnsi="宋体" w:cs="宋体"/>
          <w:b/>
          <w:bCs/>
          <w:color w:val="FF0000"/>
          <w:sz w:val="24"/>
          <w:szCs w:val="24"/>
        </w:rPr>
      </w:pPr>
      <w:r>
        <w:rPr>
          <w:rFonts w:hint="eastAsia" w:ascii="宋体" w:hAnsi="宋体" w:cs="宋体"/>
          <w:b/>
          <w:bCs/>
          <w:color w:val="auto"/>
          <w:sz w:val="24"/>
          <w:szCs w:val="24"/>
        </w:rPr>
        <w:t>时  间：</w:t>
      </w:r>
      <w:r>
        <w:rPr>
          <w:rFonts w:hint="eastAsia" w:ascii="宋体" w:hAnsi="宋体" w:cs="宋体"/>
          <w:b/>
          <w:bCs/>
          <w:color w:val="auto"/>
          <w:sz w:val="24"/>
          <w:szCs w:val="24"/>
          <w:u w:val="single"/>
        </w:rPr>
        <w:t>自公告发布之日起</w:t>
      </w:r>
      <w:r>
        <w:rPr>
          <w:rFonts w:hint="eastAsia" w:ascii="宋体" w:hAnsi="宋体" w:cs="宋体"/>
          <w:b/>
          <w:bCs/>
          <w:color w:val="auto"/>
          <w:sz w:val="24"/>
          <w:szCs w:val="24"/>
        </w:rPr>
        <w:t>至</w:t>
      </w:r>
      <w:r>
        <w:rPr>
          <w:rFonts w:hint="eastAsia" w:ascii="宋体" w:hAnsi="宋体" w:cs="宋体"/>
          <w:b/>
          <w:bCs/>
          <w:color w:val="auto"/>
          <w:sz w:val="24"/>
          <w:szCs w:val="24"/>
          <w:u w:val="single" w:color="000000"/>
        </w:rPr>
        <w:t xml:space="preserve"> 202</w:t>
      </w:r>
      <w:r>
        <w:rPr>
          <w:rFonts w:hint="eastAsia" w:ascii="宋体" w:hAnsi="宋体" w:cs="宋体"/>
          <w:b/>
          <w:bCs/>
          <w:color w:val="auto"/>
          <w:sz w:val="24"/>
          <w:szCs w:val="24"/>
          <w:u w:val="single" w:color="000000"/>
          <w:lang w:val="en-US" w:eastAsia="zh-CN"/>
        </w:rPr>
        <w:t>2</w:t>
      </w:r>
      <w:r>
        <w:rPr>
          <w:rFonts w:hint="eastAsia" w:ascii="宋体" w:hAnsi="宋体" w:cs="宋体"/>
          <w:b/>
          <w:bCs/>
          <w:color w:val="auto"/>
          <w:sz w:val="24"/>
          <w:szCs w:val="24"/>
          <w:u w:val="single" w:color="000000"/>
        </w:rPr>
        <w:t>年</w:t>
      </w:r>
      <w:r>
        <w:rPr>
          <w:rFonts w:hint="eastAsia" w:ascii="宋体" w:hAnsi="宋体" w:cs="宋体"/>
          <w:b/>
          <w:bCs/>
          <w:color w:val="auto"/>
          <w:sz w:val="24"/>
          <w:szCs w:val="24"/>
          <w:u w:val="single" w:color="000000"/>
          <w:lang w:val="en-US" w:eastAsia="zh-CN"/>
        </w:rPr>
        <w:t>12</w:t>
      </w:r>
      <w:r>
        <w:rPr>
          <w:rFonts w:hint="eastAsia" w:ascii="宋体" w:hAnsi="宋体" w:cs="宋体"/>
          <w:b/>
          <w:bCs/>
          <w:color w:val="auto"/>
          <w:sz w:val="24"/>
          <w:szCs w:val="24"/>
          <w:u w:val="single" w:color="000000"/>
        </w:rPr>
        <w:t>月</w:t>
      </w:r>
      <w:r>
        <w:rPr>
          <w:rFonts w:hint="eastAsia" w:ascii="宋体" w:hAnsi="宋体" w:cs="宋体"/>
          <w:b/>
          <w:bCs/>
          <w:color w:val="auto"/>
          <w:sz w:val="24"/>
          <w:szCs w:val="24"/>
          <w:u w:val="single" w:color="000000"/>
          <w:lang w:val="en-US" w:eastAsia="zh-CN"/>
        </w:rPr>
        <w:t>19</w:t>
      </w:r>
      <w:r>
        <w:rPr>
          <w:rFonts w:hint="eastAsia" w:ascii="宋体" w:hAnsi="宋体" w:cs="宋体"/>
          <w:b/>
          <w:bCs/>
          <w:color w:val="auto"/>
          <w:sz w:val="24"/>
          <w:szCs w:val="24"/>
          <w:u w:val="single" w:color="000000"/>
        </w:rPr>
        <w:t>日</w:t>
      </w:r>
    </w:p>
    <w:p>
      <w:pPr>
        <w:snapToGrid w:val="0"/>
        <w:spacing w:line="360" w:lineRule="auto"/>
        <w:ind w:firstLine="540"/>
        <w:textAlignment w:val="baseline"/>
        <w:rPr>
          <w:rFonts w:hint="eastAsia" w:ascii="宋体" w:hAnsi="宋体" w:cs="宋体"/>
          <w:sz w:val="24"/>
          <w:szCs w:val="24"/>
          <w:u w:val="single"/>
        </w:rPr>
      </w:pPr>
      <w:r>
        <w:rPr>
          <w:rFonts w:hint="eastAsia" w:ascii="宋体" w:hAnsi="宋体" w:cs="宋体"/>
          <w:sz w:val="24"/>
          <w:szCs w:val="24"/>
        </w:rPr>
        <w:t>地  点：</w:t>
      </w:r>
      <w:r>
        <w:rPr>
          <w:rFonts w:hint="eastAsia" w:ascii="宋体" w:hAnsi="宋体" w:cs="宋体"/>
          <w:bCs/>
          <w:sz w:val="24"/>
          <w:szCs w:val="24"/>
          <w:u w:val="single" w:color="000000"/>
          <w:lang w:eastAsia="zh-CN"/>
        </w:rPr>
        <w:t>南通市保安服务有限公司</w:t>
      </w:r>
      <w:r>
        <w:rPr>
          <w:rFonts w:hint="eastAsia" w:ascii="宋体" w:hAnsi="宋体" w:cs="宋体"/>
          <w:sz w:val="24"/>
          <w:szCs w:val="24"/>
          <w:u w:val="single"/>
        </w:rPr>
        <w:t>官网</w:t>
      </w:r>
      <w:r>
        <w:rPr>
          <w:rFonts w:hint="eastAsia" w:ascii="宋体" w:hAnsi="宋体" w:cs="宋体"/>
          <w:sz w:val="24"/>
          <w:szCs w:val="24"/>
        </w:rPr>
        <w:t>。</w:t>
      </w:r>
    </w:p>
    <w:p>
      <w:pPr>
        <w:snapToGrid w:val="0"/>
        <w:spacing w:line="360" w:lineRule="auto"/>
        <w:ind w:firstLine="540"/>
        <w:textAlignment w:val="baseline"/>
        <w:rPr>
          <w:rFonts w:hint="eastAsia" w:ascii="宋体" w:hAnsi="宋体" w:cs="宋体"/>
          <w:sz w:val="24"/>
          <w:szCs w:val="24"/>
          <w:u w:val="single"/>
        </w:rPr>
      </w:pPr>
      <w:r>
        <w:rPr>
          <w:rFonts w:hint="eastAsia" w:ascii="宋体" w:hAnsi="宋体" w:cs="宋体"/>
          <w:sz w:val="24"/>
          <w:szCs w:val="24"/>
        </w:rPr>
        <w:t>方  式：自行下载</w:t>
      </w:r>
    </w:p>
    <w:p>
      <w:pPr>
        <w:snapToGrid w:val="0"/>
        <w:spacing w:line="360" w:lineRule="auto"/>
        <w:ind w:firstLine="540"/>
        <w:textAlignment w:val="baseline"/>
        <w:rPr>
          <w:rFonts w:hint="eastAsia" w:ascii="宋体" w:hAnsi="宋体" w:cs="宋体"/>
          <w:sz w:val="24"/>
          <w:szCs w:val="24"/>
        </w:rPr>
      </w:pPr>
      <w:r>
        <w:rPr>
          <w:rFonts w:hint="eastAsia" w:ascii="宋体" w:hAnsi="宋体" w:cs="宋体"/>
          <w:sz w:val="24"/>
          <w:szCs w:val="24"/>
        </w:rPr>
        <w:t>售  价：</w:t>
      </w:r>
      <w:r>
        <w:rPr>
          <w:rFonts w:hint="eastAsia" w:ascii="宋体" w:hAnsi="宋体" w:cs="宋体"/>
          <w:sz w:val="24"/>
          <w:szCs w:val="24"/>
          <w:lang w:val="en-US" w:eastAsia="zh-CN"/>
        </w:rPr>
        <w:t>免费</w:t>
      </w:r>
      <w:r>
        <w:rPr>
          <w:rFonts w:hint="eastAsia" w:ascii="宋体" w:hAnsi="宋体" w:cs="宋体"/>
          <w:sz w:val="24"/>
          <w:szCs w:val="24"/>
        </w:rPr>
        <w:t>。</w:t>
      </w:r>
    </w:p>
    <w:p>
      <w:pPr>
        <w:pStyle w:val="4"/>
        <w:snapToGrid w:val="0"/>
        <w:spacing w:before="0" w:after="0" w:line="360" w:lineRule="auto"/>
        <w:rPr>
          <w:rFonts w:hint="eastAsia" w:ascii="宋体" w:hAnsi="宋体" w:eastAsia="宋体" w:cs="宋体"/>
          <w:sz w:val="24"/>
          <w:szCs w:val="24"/>
        </w:rPr>
      </w:pPr>
      <w:r>
        <w:rPr>
          <w:rFonts w:hint="eastAsia" w:ascii="宋体" w:hAnsi="宋体" w:eastAsia="宋体" w:cs="宋体"/>
          <w:sz w:val="24"/>
          <w:szCs w:val="24"/>
        </w:rPr>
        <w:t>四、响应文件的提交</w:t>
      </w:r>
    </w:p>
    <w:p>
      <w:pPr>
        <w:snapToGrid w:val="0"/>
        <w:spacing w:line="360" w:lineRule="auto"/>
        <w:ind w:firstLine="480" w:firstLineChars="200"/>
        <w:textAlignment w:val="baseline"/>
        <w:rPr>
          <w:rFonts w:hint="eastAsia" w:ascii="宋体" w:hAnsi="宋体" w:cs="宋体"/>
          <w:bCs/>
          <w:color w:val="auto"/>
          <w:sz w:val="24"/>
          <w:szCs w:val="24"/>
          <w:u w:val="single"/>
        </w:rPr>
      </w:pPr>
      <w:r>
        <w:rPr>
          <w:rFonts w:hint="eastAsia" w:ascii="宋体" w:hAnsi="宋体" w:cs="宋体"/>
          <w:color w:val="auto"/>
          <w:sz w:val="24"/>
          <w:szCs w:val="24"/>
        </w:rPr>
        <w:t xml:space="preserve">截止时间： </w:t>
      </w:r>
      <w:r>
        <w:rPr>
          <w:rFonts w:hint="eastAsia" w:ascii="宋体" w:hAnsi="宋体" w:cs="宋体"/>
          <w:color w:val="auto"/>
          <w:sz w:val="24"/>
          <w:szCs w:val="24"/>
          <w:u w:val="single" w:color="000000"/>
        </w:rPr>
        <w:t xml:space="preserve"> </w:t>
      </w:r>
      <w:r>
        <w:rPr>
          <w:rFonts w:hint="eastAsia" w:ascii="宋体" w:hAnsi="宋体" w:cs="宋体"/>
          <w:b/>
          <w:bCs/>
          <w:color w:val="auto"/>
          <w:sz w:val="24"/>
          <w:szCs w:val="24"/>
          <w:u w:val="single" w:color="000000"/>
        </w:rPr>
        <w:t>202</w:t>
      </w:r>
      <w:r>
        <w:rPr>
          <w:rFonts w:hint="eastAsia" w:ascii="宋体" w:hAnsi="宋体" w:cs="宋体"/>
          <w:b/>
          <w:bCs/>
          <w:color w:val="auto"/>
          <w:sz w:val="24"/>
          <w:szCs w:val="24"/>
          <w:u w:val="single" w:color="000000"/>
          <w:lang w:val="en-US" w:eastAsia="zh-CN"/>
        </w:rPr>
        <w:t>2</w:t>
      </w:r>
      <w:r>
        <w:rPr>
          <w:rFonts w:hint="eastAsia" w:ascii="宋体" w:hAnsi="宋体" w:cs="宋体"/>
          <w:b/>
          <w:bCs/>
          <w:color w:val="auto"/>
          <w:sz w:val="24"/>
          <w:szCs w:val="24"/>
          <w:u w:val="single" w:color="000000"/>
        </w:rPr>
        <w:t>年</w:t>
      </w:r>
      <w:r>
        <w:rPr>
          <w:rFonts w:hint="eastAsia" w:ascii="宋体" w:hAnsi="宋体" w:cs="宋体"/>
          <w:b/>
          <w:bCs/>
          <w:color w:val="auto"/>
          <w:sz w:val="24"/>
          <w:szCs w:val="24"/>
          <w:u w:val="single" w:color="000000"/>
          <w:lang w:val="en-US" w:eastAsia="zh-CN"/>
        </w:rPr>
        <w:t>12</w:t>
      </w:r>
      <w:r>
        <w:rPr>
          <w:rFonts w:hint="eastAsia" w:ascii="宋体" w:hAnsi="宋体" w:cs="宋体"/>
          <w:b/>
          <w:bCs/>
          <w:color w:val="auto"/>
          <w:sz w:val="24"/>
          <w:szCs w:val="24"/>
          <w:u w:val="single" w:color="000000"/>
        </w:rPr>
        <w:t>月</w:t>
      </w:r>
      <w:r>
        <w:rPr>
          <w:rFonts w:hint="eastAsia" w:ascii="宋体" w:hAnsi="宋体" w:cs="宋体"/>
          <w:b/>
          <w:bCs/>
          <w:color w:val="auto"/>
          <w:sz w:val="24"/>
          <w:szCs w:val="24"/>
          <w:u w:val="single" w:color="000000"/>
          <w:lang w:val="en-US" w:eastAsia="zh-CN"/>
        </w:rPr>
        <w:t>19</w:t>
      </w:r>
      <w:r>
        <w:rPr>
          <w:rFonts w:hint="eastAsia" w:ascii="宋体" w:hAnsi="宋体" w:cs="宋体"/>
          <w:b/>
          <w:bCs/>
          <w:color w:val="auto"/>
          <w:sz w:val="24"/>
          <w:szCs w:val="24"/>
          <w:u w:val="single" w:color="000000"/>
        </w:rPr>
        <w:t>日</w:t>
      </w:r>
      <w:r>
        <w:rPr>
          <w:rFonts w:hint="eastAsia" w:ascii="宋体" w:hAnsi="宋体" w:cs="宋体"/>
          <w:b/>
          <w:bCs/>
          <w:color w:val="auto"/>
          <w:sz w:val="24"/>
          <w:szCs w:val="24"/>
          <w:u w:val="single" w:color="000000"/>
          <w:lang w:eastAsia="zh-CN"/>
        </w:rPr>
        <w:t>下午</w:t>
      </w:r>
      <w:r>
        <w:rPr>
          <w:rFonts w:hint="eastAsia" w:ascii="宋体" w:hAnsi="宋体" w:cs="宋体"/>
          <w:b/>
          <w:bCs/>
          <w:color w:val="auto"/>
          <w:sz w:val="24"/>
          <w:szCs w:val="24"/>
          <w:u w:val="single" w:color="000000"/>
          <w:lang w:val="en-US" w:eastAsia="zh-CN"/>
        </w:rPr>
        <w:t>14</w:t>
      </w:r>
      <w:r>
        <w:rPr>
          <w:rFonts w:hint="eastAsia" w:ascii="宋体" w:hAnsi="宋体" w:cs="宋体"/>
          <w:b/>
          <w:bCs/>
          <w:color w:val="auto"/>
          <w:sz w:val="24"/>
          <w:szCs w:val="24"/>
          <w:u w:val="single" w:color="000000"/>
        </w:rPr>
        <w:t>点</w:t>
      </w:r>
      <w:r>
        <w:rPr>
          <w:rFonts w:hint="eastAsia" w:ascii="宋体" w:hAnsi="宋体" w:cs="宋体"/>
          <w:b/>
          <w:bCs/>
          <w:color w:val="auto"/>
          <w:sz w:val="24"/>
          <w:szCs w:val="24"/>
          <w:u w:val="single" w:color="000000"/>
          <w:lang w:val="en-US" w:eastAsia="zh-CN"/>
        </w:rPr>
        <w:t>30</w:t>
      </w:r>
      <w:r>
        <w:rPr>
          <w:rFonts w:hint="eastAsia" w:ascii="宋体" w:hAnsi="宋体" w:cs="宋体"/>
          <w:b/>
          <w:bCs/>
          <w:color w:val="auto"/>
          <w:sz w:val="24"/>
          <w:szCs w:val="24"/>
          <w:u w:val="single" w:color="000000"/>
        </w:rPr>
        <w:t>分</w:t>
      </w:r>
      <w:r>
        <w:rPr>
          <w:rFonts w:hint="eastAsia" w:ascii="宋体" w:hAnsi="宋体" w:cs="宋体"/>
          <w:bCs/>
          <w:color w:val="auto"/>
          <w:sz w:val="24"/>
          <w:szCs w:val="24"/>
        </w:rPr>
        <w:t>（北京时间）</w:t>
      </w:r>
    </w:p>
    <w:p>
      <w:pPr>
        <w:snapToGrid w:val="0"/>
        <w:spacing w:line="360" w:lineRule="auto"/>
        <w:ind w:firstLine="480" w:firstLineChars="200"/>
        <w:textAlignment w:val="baseline"/>
        <w:rPr>
          <w:rFonts w:hint="eastAsia" w:ascii="宋体" w:hAnsi="宋体" w:cs="宋体"/>
          <w:color w:val="auto"/>
          <w:sz w:val="24"/>
          <w:szCs w:val="24"/>
          <w:u w:val="single"/>
        </w:rPr>
      </w:pPr>
      <w:r>
        <w:rPr>
          <w:rFonts w:hint="eastAsia" w:ascii="宋体" w:hAnsi="宋体" w:cs="宋体"/>
          <w:color w:val="auto"/>
          <w:sz w:val="24"/>
          <w:szCs w:val="24"/>
        </w:rPr>
        <w:t xml:space="preserve">地    点： </w:t>
      </w:r>
      <w:r>
        <w:rPr>
          <w:rFonts w:hint="eastAsia" w:asciiTheme="minorEastAsia" w:hAnsiTheme="minorEastAsia" w:eastAsiaTheme="minorEastAsia"/>
          <w:sz w:val="24"/>
          <w:highlight w:val="none"/>
          <w:u w:val="single"/>
          <w:lang w:eastAsia="zh-CN"/>
        </w:rPr>
        <w:t>南通市崇川区石桥路333号南通市保安服务有限公司六楼会议室</w:t>
      </w:r>
    </w:p>
    <w:p>
      <w:pPr>
        <w:pStyle w:val="4"/>
        <w:snapToGrid w:val="0"/>
        <w:spacing w:before="0"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五、响应文件的开启</w:t>
      </w:r>
    </w:p>
    <w:p>
      <w:pPr>
        <w:snapToGrid w:val="0"/>
        <w:spacing w:line="360" w:lineRule="auto"/>
        <w:ind w:firstLine="480" w:firstLineChars="200"/>
        <w:textAlignment w:val="baseline"/>
        <w:rPr>
          <w:rFonts w:hint="eastAsia" w:ascii="宋体" w:hAnsi="宋体" w:cs="宋体"/>
          <w:bCs/>
          <w:color w:val="auto"/>
          <w:sz w:val="24"/>
          <w:szCs w:val="24"/>
          <w:u w:val="single"/>
        </w:rPr>
      </w:pPr>
      <w:r>
        <w:rPr>
          <w:rFonts w:hint="eastAsia" w:ascii="宋体" w:hAnsi="宋体" w:cs="宋体"/>
          <w:color w:val="auto"/>
          <w:sz w:val="24"/>
          <w:szCs w:val="24"/>
        </w:rPr>
        <w:t xml:space="preserve">时  间： </w:t>
      </w:r>
      <w:r>
        <w:rPr>
          <w:rFonts w:hint="eastAsia" w:ascii="宋体" w:hAnsi="宋体" w:cs="宋体"/>
          <w:color w:val="auto"/>
          <w:sz w:val="24"/>
          <w:szCs w:val="24"/>
          <w:u w:val="single" w:color="000000"/>
        </w:rPr>
        <w:t xml:space="preserve"> </w:t>
      </w:r>
      <w:r>
        <w:rPr>
          <w:rFonts w:hint="eastAsia" w:ascii="宋体" w:hAnsi="宋体" w:cs="宋体"/>
          <w:b/>
          <w:bCs/>
          <w:color w:val="auto"/>
          <w:sz w:val="24"/>
          <w:szCs w:val="24"/>
          <w:u w:val="single" w:color="000000"/>
        </w:rPr>
        <w:t>202</w:t>
      </w:r>
      <w:r>
        <w:rPr>
          <w:rFonts w:hint="eastAsia" w:ascii="宋体" w:hAnsi="宋体" w:cs="宋体"/>
          <w:b/>
          <w:bCs/>
          <w:color w:val="auto"/>
          <w:sz w:val="24"/>
          <w:szCs w:val="24"/>
          <w:u w:val="single" w:color="000000"/>
          <w:lang w:val="en-US" w:eastAsia="zh-CN"/>
        </w:rPr>
        <w:t>2</w:t>
      </w:r>
      <w:r>
        <w:rPr>
          <w:rFonts w:hint="eastAsia" w:ascii="宋体" w:hAnsi="宋体" w:cs="宋体"/>
          <w:b/>
          <w:bCs/>
          <w:color w:val="auto"/>
          <w:sz w:val="24"/>
          <w:szCs w:val="24"/>
          <w:u w:val="single" w:color="000000"/>
        </w:rPr>
        <w:t>年</w:t>
      </w:r>
      <w:r>
        <w:rPr>
          <w:rFonts w:hint="eastAsia" w:ascii="宋体" w:hAnsi="宋体" w:cs="宋体"/>
          <w:b/>
          <w:bCs/>
          <w:color w:val="auto"/>
          <w:sz w:val="24"/>
          <w:szCs w:val="24"/>
          <w:u w:val="single" w:color="000000"/>
          <w:lang w:val="en-US" w:eastAsia="zh-CN"/>
        </w:rPr>
        <w:t>12</w:t>
      </w:r>
      <w:r>
        <w:rPr>
          <w:rFonts w:hint="eastAsia" w:ascii="宋体" w:hAnsi="宋体" w:cs="宋体"/>
          <w:b/>
          <w:bCs/>
          <w:color w:val="auto"/>
          <w:sz w:val="24"/>
          <w:szCs w:val="24"/>
          <w:u w:val="single" w:color="000000"/>
        </w:rPr>
        <w:t>月</w:t>
      </w:r>
      <w:r>
        <w:rPr>
          <w:rFonts w:hint="eastAsia" w:ascii="宋体" w:hAnsi="宋体" w:cs="宋体"/>
          <w:b/>
          <w:bCs/>
          <w:color w:val="auto"/>
          <w:sz w:val="24"/>
          <w:szCs w:val="24"/>
          <w:u w:val="single" w:color="000000"/>
          <w:lang w:val="en-US" w:eastAsia="zh-CN"/>
        </w:rPr>
        <w:t>19</w:t>
      </w:r>
      <w:r>
        <w:rPr>
          <w:rFonts w:hint="eastAsia" w:ascii="宋体" w:hAnsi="宋体" w:cs="宋体"/>
          <w:b/>
          <w:bCs/>
          <w:color w:val="auto"/>
          <w:sz w:val="24"/>
          <w:szCs w:val="24"/>
          <w:u w:val="single" w:color="000000"/>
        </w:rPr>
        <w:t>日</w:t>
      </w:r>
      <w:r>
        <w:rPr>
          <w:rFonts w:hint="eastAsia" w:ascii="宋体" w:hAnsi="宋体" w:cs="宋体"/>
          <w:b/>
          <w:bCs/>
          <w:color w:val="auto"/>
          <w:sz w:val="24"/>
          <w:szCs w:val="24"/>
          <w:u w:val="single" w:color="000000"/>
          <w:lang w:eastAsia="zh-CN"/>
        </w:rPr>
        <w:t>下午</w:t>
      </w:r>
      <w:r>
        <w:rPr>
          <w:rFonts w:hint="eastAsia" w:ascii="宋体" w:hAnsi="宋体" w:cs="宋体"/>
          <w:b/>
          <w:bCs/>
          <w:color w:val="auto"/>
          <w:sz w:val="24"/>
          <w:szCs w:val="24"/>
          <w:u w:val="single" w:color="000000"/>
          <w:lang w:val="en-US" w:eastAsia="zh-CN"/>
        </w:rPr>
        <w:t>14</w:t>
      </w:r>
      <w:r>
        <w:rPr>
          <w:rFonts w:hint="eastAsia" w:ascii="宋体" w:hAnsi="宋体" w:cs="宋体"/>
          <w:b/>
          <w:bCs/>
          <w:color w:val="auto"/>
          <w:sz w:val="24"/>
          <w:szCs w:val="24"/>
          <w:u w:val="single" w:color="000000"/>
        </w:rPr>
        <w:t>点</w:t>
      </w:r>
      <w:r>
        <w:rPr>
          <w:rFonts w:hint="eastAsia" w:ascii="宋体" w:hAnsi="宋体" w:cs="宋体"/>
          <w:b/>
          <w:bCs/>
          <w:color w:val="auto"/>
          <w:sz w:val="24"/>
          <w:szCs w:val="24"/>
          <w:u w:val="single" w:color="000000"/>
          <w:lang w:val="en-US" w:eastAsia="zh-CN"/>
        </w:rPr>
        <w:t>30</w:t>
      </w:r>
      <w:r>
        <w:rPr>
          <w:rFonts w:hint="eastAsia" w:ascii="宋体" w:hAnsi="宋体" w:cs="宋体"/>
          <w:b/>
          <w:bCs/>
          <w:color w:val="auto"/>
          <w:sz w:val="24"/>
          <w:szCs w:val="24"/>
          <w:u w:val="single" w:color="000000"/>
        </w:rPr>
        <w:t>分</w:t>
      </w:r>
      <w:r>
        <w:rPr>
          <w:rFonts w:hint="eastAsia" w:ascii="宋体" w:hAnsi="宋体" w:cs="宋体"/>
          <w:bCs/>
          <w:color w:val="auto"/>
          <w:sz w:val="24"/>
          <w:szCs w:val="24"/>
        </w:rPr>
        <w:t>（北京时间）</w:t>
      </w:r>
    </w:p>
    <w:p>
      <w:pPr>
        <w:snapToGrid w:val="0"/>
        <w:spacing w:line="360" w:lineRule="auto"/>
        <w:ind w:firstLine="480" w:firstLineChars="200"/>
        <w:textAlignment w:val="baseline"/>
        <w:rPr>
          <w:rFonts w:hint="eastAsia" w:ascii="宋体" w:hAnsi="宋体" w:cs="宋体"/>
          <w:color w:val="auto"/>
          <w:sz w:val="24"/>
          <w:szCs w:val="24"/>
          <w:u w:val="single"/>
        </w:rPr>
      </w:pPr>
      <w:r>
        <w:rPr>
          <w:rFonts w:hint="eastAsia" w:ascii="宋体" w:hAnsi="宋体" w:cs="宋体"/>
          <w:color w:val="auto"/>
          <w:sz w:val="24"/>
          <w:szCs w:val="24"/>
        </w:rPr>
        <w:t xml:space="preserve">地  点： </w:t>
      </w:r>
      <w:r>
        <w:rPr>
          <w:rFonts w:hint="eastAsia" w:asciiTheme="minorEastAsia" w:hAnsiTheme="minorEastAsia" w:eastAsiaTheme="minorEastAsia"/>
          <w:sz w:val="24"/>
          <w:highlight w:val="none"/>
          <w:u w:val="single"/>
          <w:lang w:eastAsia="zh-CN"/>
        </w:rPr>
        <w:t>南通市崇川区石桥路333号南通市保安服务有限公司六楼会议室</w:t>
      </w:r>
    </w:p>
    <w:p>
      <w:pPr>
        <w:pStyle w:val="93"/>
        <w:snapToGrid w:val="0"/>
        <w:spacing w:line="360" w:lineRule="auto"/>
        <w:ind w:firstLine="482"/>
        <w:rPr>
          <w:rFonts w:hAnsi="宋体" w:cs="宋体"/>
          <w:b/>
          <w:color w:val="auto"/>
          <w:sz w:val="24"/>
          <w:szCs w:val="24"/>
        </w:rPr>
      </w:pPr>
      <w:r>
        <w:rPr>
          <w:rFonts w:hAnsi="宋体" w:cs="宋体"/>
          <w:b/>
          <w:color w:val="auto"/>
          <w:sz w:val="24"/>
          <w:szCs w:val="24"/>
        </w:rPr>
        <w:t>特别提醒：</w:t>
      </w:r>
    </w:p>
    <w:p>
      <w:pPr>
        <w:pStyle w:val="93"/>
        <w:numPr>
          <w:ilvl w:val="0"/>
          <w:numId w:val="2"/>
        </w:numPr>
        <w:snapToGrid w:val="0"/>
        <w:spacing w:line="360" w:lineRule="auto"/>
        <w:ind w:firstLine="482"/>
        <w:rPr>
          <w:rFonts w:hAnsi="宋体" w:cs="宋体"/>
          <w:b/>
          <w:color w:val="auto"/>
          <w:sz w:val="24"/>
          <w:szCs w:val="24"/>
        </w:rPr>
      </w:pPr>
      <w:r>
        <w:rPr>
          <w:rFonts w:hAnsi="宋体" w:cs="宋体"/>
          <w:b/>
          <w:color w:val="auto"/>
          <w:sz w:val="24"/>
          <w:szCs w:val="24"/>
        </w:rPr>
        <w:t>各投标单位只允许委派一人参加投标，其余人员一律不得入内。疫情防控期间，参加投标的授权委托人须配合现场工作人员的检查（包括携带有效身份证件、实名登记、规范佩戴口罩、测量体温、出示健康码</w:t>
      </w:r>
      <w:r>
        <w:rPr>
          <w:rFonts w:hint="eastAsia" w:hAnsi="宋体" w:cs="宋体"/>
          <w:b/>
          <w:color w:val="auto"/>
          <w:sz w:val="24"/>
          <w:szCs w:val="24"/>
          <w:lang w:eastAsia="zh-CN"/>
        </w:rPr>
        <w:t>、</w:t>
      </w:r>
      <w:r>
        <w:rPr>
          <w:rFonts w:hAnsi="宋体" w:cs="宋体"/>
          <w:b/>
          <w:color w:val="auto"/>
          <w:sz w:val="24"/>
          <w:szCs w:val="24"/>
        </w:rPr>
        <w:t>行程卡</w:t>
      </w:r>
      <w:r>
        <w:rPr>
          <w:rFonts w:hint="eastAsia" w:hAnsi="宋体" w:cs="宋体"/>
          <w:b/>
          <w:color w:val="auto"/>
          <w:sz w:val="24"/>
          <w:szCs w:val="24"/>
          <w:lang w:val="en-US" w:eastAsia="zh-CN"/>
        </w:rPr>
        <w:t>和48小时之内的核酸报告</w:t>
      </w:r>
      <w:r>
        <w:rPr>
          <w:rFonts w:hAnsi="宋体" w:cs="宋体"/>
          <w:b/>
          <w:color w:val="auto"/>
          <w:sz w:val="24"/>
          <w:szCs w:val="24"/>
        </w:rPr>
        <w:t>等）。</w:t>
      </w:r>
    </w:p>
    <w:p>
      <w:pPr>
        <w:pStyle w:val="4"/>
        <w:snapToGrid w:val="0"/>
        <w:spacing w:before="0" w:after="0" w:line="360" w:lineRule="auto"/>
        <w:rPr>
          <w:rFonts w:hint="eastAsia" w:ascii="宋体" w:hAnsi="宋体" w:eastAsia="宋体" w:cs="宋体"/>
          <w:sz w:val="24"/>
          <w:szCs w:val="24"/>
        </w:rPr>
      </w:pPr>
      <w:r>
        <w:rPr>
          <w:rFonts w:hint="eastAsia" w:ascii="宋体" w:hAnsi="宋体" w:eastAsia="宋体" w:cs="宋体"/>
          <w:sz w:val="24"/>
          <w:szCs w:val="24"/>
        </w:rPr>
        <w:t>六、公告期限</w:t>
      </w:r>
    </w:p>
    <w:p>
      <w:pPr>
        <w:snapToGrid w:val="0"/>
        <w:spacing w:line="360" w:lineRule="auto"/>
        <w:ind w:firstLine="480" w:firstLineChars="200"/>
        <w:textAlignment w:val="baseline"/>
        <w:rPr>
          <w:rFonts w:hint="eastAsia" w:ascii="宋体" w:hAnsi="宋体" w:cs="宋体"/>
          <w:kern w:val="0"/>
          <w:sz w:val="24"/>
          <w:szCs w:val="24"/>
        </w:rPr>
      </w:pPr>
      <w:r>
        <w:rPr>
          <w:rFonts w:hint="eastAsia" w:ascii="宋体" w:hAnsi="宋体" w:cs="宋体"/>
          <w:kern w:val="0"/>
          <w:sz w:val="24"/>
          <w:szCs w:val="24"/>
        </w:rPr>
        <w:t>自本公告发布之日起3个工作日。</w:t>
      </w:r>
    </w:p>
    <w:p>
      <w:pPr>
        <w:pStyle w:val="4"/>
        <w:numPr>
          <w:ilvl w:val="0"/>
          <w:numId w:val="3"/>
        </w:numPr>
        <w:snapToGrid w:val="0"/>
        <w:spacing w:before="0" w:after="0" w:line="360" w:lineRule="auto"/>
        <w:rPr>
          <w:rFonts w:hint="eastAsia" w:ascii="宋体" w:hAnsi="宋体" w:eastAsia="宋体" w:cs="宋体"/>
          <w:sz w:val="24"/>
          <w:szCs w:val="24"/>
        </w:rPr>
      </w:pPr>
      <w:r>
        <w:rPr>
          <w:rFonts w:hint="eastAsia" w:ascii="宋体" w:hAnsi="宋体" w:eastAsia="宋体" w:cs="宋体"/>
          <w:sz w:val="24"/>
          <w:szCs w:val="24"/>
        </w:rPr>
        <w:t>其他补充事宜：</w:t>
      </w:r>
    </w:p>
    <w:p>
      <w:pPr>
        <w:numPr>
          <w:ilvl w:val="0"/>
          <w:numId w:val="4"/>
        </w:numPr>
        <w:snapToGrid w:val="0"/>
        <w:spacing w:line="360" w:lineRule="auto"/>
        <w:ind w:firstLine="480" w:firstLineChars="200"/>
        <w:textAlignment w:val="baseline"/>
        <w:rPr>
          <w:rFonts w:hint="eastAsia" w:ascii="宋体" w:hAnsi="宋体" w:cs="宋体"/>
          <w:kern w:val="0"/>
          <w:sz w:val="24"/>
          <w:szCs w:val="24"/>
        </w:rPr>
      </w:pPr>
      <w:r>
        <w:rPr>
          <w:rFonts w:hint="eastAsia" w:ascii="宋体" w:hAnsi="宋体" w:cs="宋体"/>
          <w:kern w:val="0"/>
          <w:sz w:val="24"/>
          <w:szCs w:val="24"/>
        </w:rPr>
        <w:t>投标保证金：</w:t>
      </w:r>
      <w:r>
        <w:rPr>
          <w:rFonts w:hint="eastAsia" w:ascii="宋体" w:hAnsi="宋体" w:cs="宋体"/>
          <w:bCs/>
          <w:color w:val="000000"/>
          <w:sz w:val="24"/>
          <w:szCs w:val="24"/>
        </w:rPr>
        <w:t>无</w:t>
      </w:r>
      <w:r>
        <w:rPr>
          <w:rFonts w:hint="eastAsia" w:ascii="宋体" w:hAnsi="宋体" w:cs="宋体"/>
          <w:kern w:val="0"/>
          <w:sz w:val="24"/>
          <w:szCs w:val="24"/>
        </w:rPr>
        <w:t>。</w:t>
      </w:r>
    </w:p>
    <w:p>
      <w:pPr>
        <w:numPr>
          <w:ilvl w:val="0"/>
          <w:numId w:val="4"/>
        </w:numPr>
        <w:snapToGrid w:val="0"/>
        <w:spacing w:line="360" w:lineRule="auto"/>
        <w:ind w:firstLine="480" w:firstLineChars="200"/>
        <w:textAlignment w:val="baseline"/>
        <w:rPr>
          <w:rFonts w:hint="eastAsia" w:ascii="宋体" w:hAnsi="宋体" w:cs="宋体"/>
          <w:kern w:val="0"/>
          <w:sz w:val="24"/>
          <w:szCs w:val="24"/>
        </w:rPr>
      </w:pPr>
      <w:r>
        <w:rPr>
          <w:rFonts w:hint="eastAsia" w:ascii="宋体" w:hAnsi="宋体" w:cs="宋体"/>
          <w:kern w:val="0"/>
          <w:sz w:val="24"/>
          <w:szCs w:val="24"/>
        </w:rPr>
        <w:t>项目磋商活动模式：本项目采用现场开标模式。</w:t>
      </w:r>
    </w:p>
    <w:p>
      <w:pPr>
        <w:numPr>
          <w:ilvl w:val="0"/>
          <w:numId w:val="4"/>
        </w:numPr>
        <w:snapToGrid w:val="0"/>
        <w:spacing w:line="360" w:lineRule="auto"/>
        <w:ind w:firstLine="480" w:firstLineChars="200"/>
        <w:textAlignment w:val="baseline"/>
        <w:rPr>
          <w:rFonts w:hint="eastAsia" w:ascii="宋体" w:hAnsi="宋体" w:cs="宋体"/>
          <w:kern w:val="0"/>
          <w:sz w:val="24"/>
          <w:szCs w:val="24"/>
        </w:rPr>
      </w:pPr>
      <w:r>
        <w:rPr>
          <w:rFonts w:hint="eastAsia" w:ascii="宋体" w:hAnsi="宋体" w:cs="宋体"/>
          <w:kern w:val="0"/>
          <w:sz w:val="24"/>
          <w:szCs w:val="24"/>
        </w:rPr>
        <w:t>对项目需求部分（供应商其他资格要求、项目需求、评分标准）的询问、质疑请向采购人提出，由采购人负责答复；对项目磋商文件其它部分的询问请向采购招标代理机构提出。</w:t>
      </w:r>
    </w:p>
    <w:p>
      <w:pPr>
        <w:numPr>
          <w:ilvl w:val="0"/>
          <w:numId w:val="3"/>
        </w:numPr>
        <w:snapToGrid w:val="0"/>
        <w:spacing w:line="360" w:lineRule="auto"/>
        <w:textAlignment w:val="baseline"/>
        <w:rPr>
          <w:rFonts w:hint="eastAsia" w:ascii="宋体" w:hAnsi="宋体" w:cs="宋体"/>
          <w:b/>
          <w:bCs/>
          <w:sz w:val="24"/>
          <w:szCs w:val="24"/>
        </w:rPr>
      </w:pPr>
      <w:r>
        <w:rPr>
          <w:rFonts w:hint="eastAsia" w:ascii="宋体" w:hAnsi="宋体" w:cs="宋体"/>
          <w:b/>
          <w:bCs/>
          <w:sz w:val="24"/>
          <w:szCs w:val="24"/>
        </w:rPr>
        <w:t>凡对本次采购提出询问，请按以下方式联系。</w:t>
      </w:r>
    </w:p>
    <w:p>
      <w:pPr>
        <w:numPr>
          <w:ilvl w:val="0"/>
          <w:numId w:val="5"/>
        </w:num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采购人信息</w:t>
      </w:r>
    </w:p>
    <w:p>
      <w:pPr>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南通市保安服务有限公司</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 xml:space="preserve">地    址： </w:t>
      </w:r>
      <w:r>
        <w:rPr>
          <w:rFonts w:hint="eastAsia" w:ascii="宋体" w:hAnsi="宋体" w:cs="宋体"/>
          <w:sz w:val="24"/>
          <w:szCs w:val="24"/>
          <w:lang w:eastAsia="zh-CN"/>
        </w:rPr>
        <w:t>南通市崇川区石桥路333号</w:t>
      </w:r>
    </w:p>
    <w:p>
      <w:pPr>
        <w:snapToGrid w:val="0"/>
        <w:spacing w:line="360" w:lineRule="auto"/>
        <w:ind w:firstLine="480" w:firstLineChars="200"/>
        <w:textAlignment w:val="baseline"/>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联系人：小马</w:t>
      </w:r>
    </w:p>
    <w:p>
      <w:pPr>
        <w:snapToGrid w:val="0"/>
        <w:spacing w:line="360" w:lineRule="auto"/>
        <w:ind w:firstLine="480" w:firstLineChars="200"/>
        <w:textAlignment w:val="baseline"/>
        <w:rPr>
          <w:rFonts w:hint="eastAsia" w:ascii="宋体" w:hAnsi="宋体" w:cs="宋体"/>
          <w:sz w:val="24"/>
          <w:szCs w:val="24"/>
        </w:rPr>
      </w:pPr>
      <w:r>
        <w:rPr>
          <w:rFonts w:hint="eastAsia" w:cs="宋体" w:asciiTheme="majorEastAsia" w:hAnsiTheme="majorEastAsia" w:eastAsiaTheme="majorEastAsia"/>
          <w:sz w:val="24"/>
          <w:szCs w:val="24"/>
        </w:rPr>
        <w:t xml:space="preserve">联系方式：0513-80219010/83533190 </w:t>
      </w:r>
      <w:r>
        <w:rPr>
          <w:rFonts w:hint="eastAsia" w:ascii="宋体" w:hAnsi="宋体" w:cs="宋体"/>
          <w:sz w:val="24"/>
          <w:szCs w:val="24"/>
        </w:rPr>
        <w:t xml:space="preserve">   </w:t>
      </w:r>
    </w:p>
    <w:p>
      <w:pPr>
        <w:numPr>
          <w:ilvl w:val="0"/>
          <w:numId w:val="6"/>
        </w:num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采购代理机构信息</w:t>
      </w:r>
    </w:p>
    <w:p>
      <w:pPr>
        <w:snapToGrid w:val="0"/>
        <w:spacing w:line="360" w:lineRule="auto"/>
        <w:ind w:firstLine="480" w:firstLineChars="200"/>
        <w:textAlignment w:val="baseline"/>
        <w:rPr>
          <w:rFonts w:hint="default" w:ascii="宋体" w:hAnsi="宋体" w:eastAsia="宋体"/>
          <w:sz w:val="24"/>
          <w:szCs w:val="24"/>
          <w:lang w:val="en-US" w:eastAsia="zh-CN"/>
        </w:rPr>
      </w:pPr>
      <w:r>
        <w:rPr>
          <w:rFonts w:hint="default" w:ascii="宋体" w:hAnsi="宋体" w:eastAsia="宋体"/>
          <w:sz w:val="24"/>
          <w:szCs w:val="24"/>
          <w:lang w:val="en-US" w:eastAsia="zh-CN"/>
        </w:rPr>
        <w:t>单位：中诚智信工程咨询集团股份有限公司</w:t>
      </w:r>
    </w:p>
    <w:p>
      <w:pPr>
        <w:snapToGrid w:val="0"/>
        <w:spacing w:line="360" w:lineRule="auto"/>
        <w:ind w:firstLine="480" w:firstLineChars="200"/>
        <w:textAlignment w:val="baseline"/>
        <w:rPr>
          <w:rFonts w:hint="default" w:ascii="宋体" w:hAnsi="宋体" w:eastAsia="宋体"/>
          <w:sz w:val="24"/>
          <w:szCs w:val="24"/>
          <w:lang w:val="en-US" w:eastAsia="zh-CN"/>
        </w:rPr>
      </w:pPr>
      <w:r>
        <w:rPr>
          <w:rFonts w:hint="default" w:ascii="宋体" w:hAnsi="宋体" w:eastAsia="宋体"/>
          <w:sz w:val="24"/>
          <w:szCs w:val="24"/>
          <w:lang w:val="en-US" w:eastAsia="zh-CN"/>
        </w:rPr>
        <w:t>地址：南通市恒隆国际B座801</w:t>
      </w:r>
    </w:p>
    <w:p>
      <w:pPr>
        <w:snapToGrid w:val="0"/>
        <w:spacing w:line="360" w:lineRule="auto"/>
        <w:ind w:firstLine="480" w:firstLineChars="200"/>
        <w:textAlignment w:val="baseline"/>
        <w:rPr>
          <w:rFonts w:hint="default" w:ascii="宋体" w:hAnsi="宋体" w:eastAsia="宋体"/>
          <w:sz w:val="24"/>
          <w:szCs w:val="24"/>
          <w:lang w:val="en-US" w:eastAsia="zh-CN"/>
        </w:rPr>
      </w:pPr>
      <w:r>
        <w:rPr>
          <w:rFonts w:hint="default" w:ascii="宋体" w:hAnsi="宋体" w:eastAsia="宋体"/>
          <w:sz w:val="24"/>
          <w:szCs w:val="24"/>
          <w:lang w:val="en-US" w:eastAsia="zh-CN"/>
        </w:rPr>
        <w:t>联系人：单舒</w:t>
      </w:r>
    </w:p>
    <w:p>
      <w:pPr>
        <w:snapToGrid w:val="0"/>
        <w:spacing w:line="360" w:lineRule="auto"/>
        <w:ind w:firstLine="480" w:firstLineChars="200"/>
        <w:textAlignment w:val="baseline"/>
        <w:rPr>
          <w:rFonts w:hint="default" w:ascii="宋体" w:hAnsi="宋体" w:eastAsia="宋体"/>
          <w:sz w:val="24"/>
          <w:szCs w:val="24"/>
          <w:lang w:val="en-US" w:eastAsia="zh-CN"/>
        </w:rPr>
      </w:pPr>
      <w:r>
        <w:rPr>
          <w:rFonts w:hint="default" w:ascii="宋体" w:hAnsi="宋体" w:eastAsia="宋体"/>
          <w:sz w:val="24"/>
          <w:szCs w:val="24"/>
          <w:lang w:val="en-US" w:eastAsia="zh-CN"/>
        </w:rPr>
        <w:t>联系电话：13328094029，0513-85980007</w:t>
      </w:r>
    </w:p>
    <w:p>
      <w:pPr>
        <w:snapToGrid w:val="0"/>
        <w:spacing w:line="360" w:lineRule="auto"/>
        <w:ind w:firstLine="480" w:firstLineChars="200"/>
        <w:textAlignment w:val="baseline"/>
        <w:rPr>
          <w:rFonts w:hint="default" w:ascii="宋体" w:hAnsi="宋体" w:eastAsia="宋体"/>
          <w:sz w:val="24"/>
          <w:szCs w:val="24"/>
          <w:lang w:val="en-US" w:eastAsia="zh-CN"/>
        </w:rPr>
      </w:pPr>
      <w:r>
        <w:rPr>
          <w:rFonts w:hint="default" w:ascii="宋体" w:hAnsi="宋体" w:eastAsia="宋体"/>
          <w:sz w:val="24"/>
          <w:szCs w:val="24"/>
          <w:lang w:val="en-US" w:eastAsia="zh-CN"/>
        </w:rPr>
        <w:t>邮箱：1010491310@qq.com</w:t>
      </w:r>
    </w:p>
    <w:p>
      <w:pPr>
        <w:pStyle w:val="50"/>
        <w:ind w:firstLine="480"/>
        <w:rPr>
          <w:rFonts w:hint="eastAsia" w:ascii="宋体" w:hAnsi="宋体"/>
          <w:sz w:val="24"/>
          <w:szCs w:val="24"/>
        </w:rPr>
      </w:pPr>
    </w:p>
    <w:p>
      <w:pPr>
        <w:pStyle w:val="50"/>
        <w:ind w:firstLine="480"/>
        <w:rPr>
          <w:rFonts w:hint="eastAsia" w:ascii="宋体" w:hAnsi="宋体"/>
          <w:sz w:val="24"/>
          <w:szCs w:val="24"/>
        </w:rPr>
      </w:pPr>
    </w:p>
    <w:p>
      <w:pPr>
        <w:snapToGrid w:val="0"/>
        <w:spacing w:line="360" w:lineRule="auto"/>
        <w:ind w:firstLine="420" w:firstLineChars="200"/>
        <w:rPr>
          <w:rFonts w:hint="eastAsia" w:ascii="宋体" w:hAnsi="宋体" w:cs="宋体"/>
          <w:sz w:val="24"/>
          <w:szCs w:val="24"/>
        </w:rPr>
      </w:pPr>
      <w:r>
        <w:rPr>
          <w:rFonts w:hint="eastAsia" w:ascii="宋体" w:hAnsi="宋体" w:cs="宋体"/>
          <w:szCs w:val="24"/>
        </w:rPr>
        <w:t xml:space="preserve">                                                      </w:t>
      </w:r>
      <w:r>
        <w:rPr>
          <w:rFonts w:hint="eastAsia" w:ascii="宋体" w:hAnsi="宋体" w:cs="宋体"/>
          <w:sz w:val="24"/>
          <w:szCs w:val="24"/>
        </w:rPr>
        <w:t>二0二</w:t>
      </w:r>
      <w:r>
        <w:rPr>
          <w:rFonts w:hint="eastAsia" w:ascii="宋体" w:hAnsi="宋体" w:cs="宋体"/>
          <w:sz w:val="24"/>
          <w:szCs w:val="24"/>
          <w:lang w:val="en-US" w:eastAsia="zh-CN"/>
        </w:rPr>
        <w:t>二</w:t>
      </w:r>
      <w:r>
        <w:rPr>
          <w:rFonts w:hint="eastAsia" w:ascii="宋体" w:hAnsi="宋体" w:cs="宋体"/>
          <w:sz w:val="24"/>
          <w:szCs w:val="24"/>
        </w:rPr>
        <w:t>年</w:t>
      </w:r>
      <w:r>
        <w:rPr>
          <w:rFonts w:hint="eastAsia" w:ascii="宋体" w:hAnsi="宋体" w:cs="宋体"/>
          <w:sz w:val="24"/>
          <w:szCs w:val="24"/>
          <w:lang w:val="en-US" w:eastAsia="zh-CN"/>
        </w:rPr>
        <w:t>十二</w:t>
      </w:r>
      <w:r>
        <w:rPr>
          <w:rFonts w:hint="eastAsia" w:ascii="宋体" w:hAnsi="宋体" w:cs="宋体"/>
          <w:sz w:val="24"/>
          <w:szCs w:val="24"/>
        </w:rPr>
        <w:t>月</w:t>
      </w:r>
      <w:r>
        <w:rPr>
          <w:rFonts w:hint="eastAsia" w:ascii="宋体" w:hAnsi="宋体" w:cs="宋体"/>
          <w:sz w:val="24"/>
          <w:szCs w:val="24"/>
          <w:lang w:val="en-US" w:eastAsia="zh-CN"/>
        </w:rPr>
        <w:t>九</w:t>
      </w:r>
      <w:r>
        <w:rPr>
          <w:rFonts w:hint="eastAsia" w:ascii="宋体" w:hAnsi="宋体" w:cs="宋体"/>
          <w:sz w:val="24"/>
          <w:szCs w:val="24"/>
        </w:rPr>
        <w:t>日</w:t>
      </w:r>
    </w:p>
    <w:p>
      <w:pPr>
        <w:snapToGrid w:val="0"/>
        <w:spacing w:line="360" w:lineRule="auto"/>
        <w:jc w:val="center"/>
        <w:rPr>
          <w:rFonts w:ascii="宋体"/>
          <w:w w:val="80"/>
        </w:rPr>
      </w:pPr>
      <w:bookmarkStart w:id="11" w:name="_Toc94544744"/>
      <w:bookmarkStart w:id="12" w:name="_Toc11500280"/>
      <w:bookmarkStart w:id="13" w:name="_Toc94544828"/>
      <w:bookmarkStart w:id="14" w:name="_Toc11554639"/>
      <w:bookmarkStart w:id="15" w:name="_Toc12670503"/>
      <w:bookmarkStart w:id="16" w:name="_Toc11499584"/>
      <w:bookmarkStart w:id="17" w:name="_Toc94585340"/>
      <w:bookmarkStart w:id="18" w:name="_Toc8895739"/>
      <w:bookmarkStart w:id="19" w:name="_Toc521201597"/>
      <w:bookmarkStart w:id="20" w:name="_Toc521203418"/>
      <w:bookmarkStart w:id="21" w:name="_Toc363573854"/>
      <w:r>
        <w:rPr>
          <w:rFonts w:hint="eastAsia" w:ascii="宋体" w:hAnsi="宋体" w:cs="宋体"/>
          <w:b/>
          <w:bCs/>
          <w:w w:val="80"/>
          <w:sz w:val="44"/>
          <w:szCs w:val="44"/>
        </w:rPr>
        <w:t>第二章</w:t>
      </w:r>
      <w:bookmarkEnd w:id="11"/>
      <w:bookmarkEnd w:id="12"/>
      <w:bookmarkEnd w:id="13"/>
      <w:bookmarkEnd w:id="14"/>
      <w:bookmarkEnd w:id="15"/>
      <w:bookmarkEnd w:id="16"/>
      <w:bookmarkEnd w:id="17"/>
      <w:bookmarkEnd w:id="18"/>
      <w:bookmarkEnd w:id="19"/>
      <w:bookmarkEnd w:id="20"/>
      <w:r>
        <w:rPr>
          <w:rFonts w:hint="eastAsia" w:ascii="宋体" w:hAnsi="宋体" w:cs="宋体"/>
          <w:b/>
          <w:bCs/>
          <w:w w:val="80"/>
          <w:sz w:val="44"/>
          <w:szCs w:val="44"/>
        </w:rPr>
        <w:t xml:space="preserve"> 磋商供应商须知</w:t>
      </w:r>
      <w:bookmarkEnd w:id="21"/>
    </w:p>
    <w:p>
      <w:pPr>
        <w:snapToGrid w:val="0"/>
        <w:spacing w:line="480" w:lineRule="exact"/>
        <w:ind w:firstLine="482" w:firstLineChars="200"/>
        <w:outlineLvl w:val="1"/>
        <w:rPr>
          <w:rFonts w:ascii="宋体"/>
          <w:b/>
          <w:bCs/>
          <w:sz w:val="24"/>
          <w:szCs w:val="24"/>
        </w:rPr>
      </w:pPr>
      <w:bookmarkStart w:id="22" w:name="_Toc8895740"/>
      <w:bookmarkStart w:id="23" w:name="_Toc94585341"/>
      <w:bookmarkStart w:id="24" w:name="_Toc521201598"/>
      <w:bookmarkStart w:id="25" w:name="_Toc94544745"/>
      <w:bookmarkStart w:id="26" w:name="_Toc11500281"/>
      <w:bookmarkStart w:id="27" w:name="_Toc521203419"/>
      <w:bookmarkStart w:id="28" w:name="_Toc11554640"/>
      <w:bookmarkStart w:id="29" w:name="_Toc94544871"/>
      <w:bookmarkStart w:id="30" w:name="_Toc11499585"/>
      <w:bookmarkStart w:id="31" w:name="_Toc12670504"/>
      <w:r>
        <w:rPr>
          <w:rFonts w:hint="eastAsia" w:ascii="宋体" w:hAnsi="宋体" w:cs="宋体"/>
          <w:b/>
          <w:bCs/>
          <w:sz w:val="24"/>
          <w:szCs w:val="24"/>
        </w:rPr>
        <w:t>一、说明</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、本竞争性磋商文件仅适用于</w:t>
      </w:r>
      <w:r>
        <w:rPr>
          <w:rFonts w:hint="eastAsia" w:ascii="宋体" w:hAnsi="宋体" w:cs="宋体"/>
          <w:sz w:val="24"/>
          <w:szCs w:val="24"/>
          <w:lang w:eastAsia="zh-CN"/>
        </w:rPr>
        <w:t>中诚智信工程咨询集团股份有限公司</w:t>
      </w:r>
      <w:r>
        <w:rPr>
          <w:rFonts w:hint="eastAsia" w:ascii="宋体" w:hAnsi="宋体" w:cs="宋体"/>
          <w:sz w:val="24"/>
          <w:szCs w:val="24"/>
        </w:rPr>
        <w:t>组织的竞争性磋商采购活动。</w:t>
      </w:r>
    </w:p>
    <w:p>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、竞争性磋商活动及因本次磋商产生的合同受中国法律制约和保护。</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、竞争性磋商文件的解释权属于采购人。</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、供应商下载磋商文件后，应仔细检查磋商文件的所有内容。如内容中有页码短缺、资格要求以及任何设置有不合理的条件对供应商实行差别待遇或者歧视待遇的，应在磋商文件发布后的</w:t>
      </w:r>
      <w:r>
        <w:rPr>
          <w:rFonts w:ascii="宋体" w:hAnsi="宋体" w:cs="宋体"/>
          <w:sz w:val="24"/>
          <w:szCs w:val="24"/>
        </w:rPr>
        <w:t>4</w:t>
      </w:r>
      <w:r>
        <w:rPr>
          <w:rFonts w:hint="eastAsia" w:ascii="宋体" w:hAnsi="宋体" w:cs="宋体"/>
          <w:sz w:val="24"/>
          <w:szCs w:val="24"/>
        </w:rPr>
        <w:t>日内，以书面形式向代理机构提出询问或疑问，未在规定的时间内提出询问或疑问的，视同理解并接受本磋商文件的所有内容，因此引起的损失由供应商自负，而且供应商不得在磋商结束后针对磋商文件的所有内容提出质疑事项。</w:t>
      </w:r>
      <w:r>
        <w:rPr>
          <w:rFonts w:hint="eastAsia" w:ascii="宋体" w:hAnsi="宋体" w:cs="宋体"/>
          <w:b/>
          <w:bCs/>
          <w:sz w:val="24"/>
          <w:szCs w:val="24"/>
        </w:rPr>
        <w:t>非书面形式的不作为日后质疑提出的依据。</w:t>
      </w:r>
    </w:p>
    <w:p>
      <w:pPr>
        <w:snapToGrid w:val="0"/>
        <w:spacing w:line="360" w:lineRule="auto"/>
        <w:ind w:firstLine="480" w:firstLineChars="200"/>
        <w:textAlignment w:val="baseline"/>
        <w:rPr>
          <w:rFonts w:hint="eastAsia" w:ascii="宋体" w:hAnsi="宋体" w:cs="宋体"/>
          <w:color w:val="000000"/>
          <w:sz w:val="24"/>
          <w:szCs w:val="24"/>
        </w:rPr>
      </w:pPr>
      <w:r>
        <w:rPr>
          <w:rFonts w:hint="eastAsia" w:ascii="宋体" w:hAnsi="宋体" w:cs="宋体"/>
          <w:color w:val="000000"/>
          <w:sz w:val="24"/>
          <w:szCs w:val="24"/>
        </w:rPr>
        <w:t>5、供应商应认真审阅</w:t>
      </w:r>
      <w:r>
        <w:rPr>
          <w:rFonts w:hint="eastAsia" w:ascii="宋体" w:hAnsi="宋体" w:cs="宋体"/>
          <w:sz w:val="24"/>
          <w:szCs w:val="24"/>
        </w:rPr>
        <w:t>磋商文件中</w:t>
      </w:r>
      <w:r>
        <w:rPr>
          <w:rFonts w:hint="eastAsia" w:ascii="宋体" w:hAnsi="宋体" w:cs="宋体"/>
          <w:color w:val="000000"/>
          <w:sz w:val="24"/>
          <w:szCs w:val="24"/>
        </w:rPr>
        <w:t>所有的事项、格式、条款和规范要求等，如果供应商没有按照磋商文件要求提交响应文件，或者响应文件没有对磋商文件做出实质性响应，将被拒绝参与项目的磋商。</w:t>
      </w:r>
    </w:p>
    <w:p>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6、磋商文件项目需求提供的可能涉及到的工艺、材料、设备、商标、样本、技术规范、参数规格、品牌等，仅作为说明并没有限制性，供应商在磋商时可以选用替代，但这些替代的品牌、产品技术标准要优于或相当于项目需求技术规格中要求的标准，以满足采购人的需要。</w:t>
      </w:r>
    </w:p>
    <w:p>
      <w:pPr>
        <w:snapToGrid w:val="0"/>
        <w:spacing w:line="360" w:lineRule="auto"/>
        <w:ind w:firstLine="480" w:firstLineChars="200"/>
        <w:rPr>
          <w:rFonts w:hint="eastAsia"/>
        </w:rPr>
      </w:pPr>
      <w:r>
        <w:rPr>
          <w:sz w:val="24"/>
          <w:szCs w:val="24"/>
        </w:rPr>
        <w:t>7</w:t>
      </w:r>
      <w:r>
        <w:rPr>
          <w:rFonts w:hint="eastAsia"/>
          <w:sz w:val="24"/>
          <w:szCs w:val="24"/>
        </w:rPr>
        <w:t>、</w:t>
      </w:r>
      <w:r>
        <w:rPr>
          <w:rFonts w:hint="eastAsia" w:cs="宋体"/>
          <w:sz w:val="24"/>
          <w:szCs w:val="24"/>
        </w:rPr>
        <w:t>本磋商文件内所称的</w:t>
      </w:r>
      <w:r>
        <w:rPr>
          <w:sz w:val="24"/>
          <w:szCs w:val="24"/>
        </w:rPr>
        <w:t>“</w:t>
      </w:r>
      <w:r>
        <w:rPr>
          <w:rFonts w:hint="eastAsia" w:cs="宋体"/>
          <w:sz w:val="24"/>
          <w:szCs w:val="24"/>
        </w:rPr>
        <w:t>以上</w:t>
      </w:r>
      <w:r>
        <w:rPr>
          <w:sz w:val="24"/>
          <w:szCs w:val="24"/>
        </w:rPr>
        <w:t>”</w:t>
      </w:r>
      <w:r>
        <w:rPr>
          <w:rFonts w:hint="eastAsia" w:cs="宋体"/>
          <w:sz w:val="24"/>
          <w:szCs w:val="24"/>
        </w:rPr>
        <w:t>、</w:t>
      </w:r>
      <w:r>
        <w:rPr>
          <w:sz w:val="24"/>
          <w:szCs w:val="24"/>
        </w:rPr>
        <w:t>“</w:t>
      </w:r>
      <w:r>
        <w:rPr>
          <w:rFonts w:hint="eastAsia" w:cs="宋体"/>
          <w:sz w:val="24"/>
          <w:szCs w:val="24"/>
        </w:rPr>
        <w:t>以下</w:t>
      </w:r>
      <w:r>
        <w:rPr>
          <w:sz w:val="24"/>
          <w:szCs w:val="24"/>
        </w:rPr>
        <w:t>”</w:t>
      </w:r>
      <w:r>
        <w:rPr>
          <w:rFonts w:hint="eastAsia" w:cs="宋体"/>
          <w:sz w:val="24"/>
          <w:szCs w:val="24"/>
        </w:rPr>
        <w:t>、</w:t>
      </w:r>
      <w:r>
        <w:rPr>
          <w:sz w:val="24"/>
          <w:szCs w:val="24"/>
        </w:rPr>
        <w:t>“</w:t>
      </w:r>
      <w:r>
        <w:rPr>
          <w:rFonts w:hint="eastAsia" w:cs="宋体"/>
          <w:sz w:val="24"/>
          <w:szCs w:val="24"/>
        </w:rPr>
        <w:t>内</w:t>
      </w:r>
      <w:r>
        <w:rPr>
          <w:sz w:val="24"/>
          <w:szCs w:val="24"/>
        </w:rPr>
        <w:t>”</w:t>
      </w:r>
      <w:r>
        <w:rPr>
          <w:rFonts w:hint="eastAsia" w:cs="宋体"/>
          <w:sz w:val="24"/>
          <w:szCs w:val="24"/>
        </w:rPr>
        <w:t>、</w:t>
      </w:r>
      <w:r>
        <w:rPr>
          <w:sz w:val="24"/>
          <w:szCs w:val="24"/>
        </w:rPr>
        <w:t>“</w:t>
      </w:r>
      <w:r>
        <w:rPr>
          <w:rFonts w:hint="eastAsia" w:cs="宋体"/>
          <w:sz w:val="24"/>
          <w:szCs w:val="24"/>
        </w:rPr>
        <w:t>以内</w:t>
      </w:r>
      <w:r>
        <w:rPr>
          <w:sz w:val="24"/>
          <w:szCs w:val="24"/>
        </w:rPr>
        <w:t>”</w:t>
      </w:r>
      <w:r>
        <w:rPr>
          <w:rFonts w:hint="eastAsia" w:cs="宋体"/>
          <w:sz w:val="24"/>
          <w:szCs w:val="24"/>
        </w:rPr>
        <w:t>，包括本数；所称的</w:t>
      </w:r>
      <w:r>
        <w:rPr>
          <w:sz w:val="24"/>
          <w:szCs w:val="24"/>
        </w:rPr>
        <w:t>“</w:t>
      </w:r>
      <w:r>
        <w:rPr>
          <w:rFonts w:hint="eastAsia" w:cs="宋体"/>
          <w:sz w:val="24"/>
          <w:szCs w:val="24"/>
        </w:rPr>
        <w:t>不足</w:t>
      </w:r>
      <w:r>
        <w:rPr>
          <w:sz w:val="24"/>
          <w:szCs w:val="24"/>
        </w:rPr>
        <w:t>”</w:t>
      </w:r>
      <w:r>
        <w:rPr>
          <w:rFonts w:hint="eastAsia" w:cs="宋体"/>
          <w:sz w:val="24"/>
          <w:szCs w:val="24"/>
        </w:rPr>
        <w:t>、</w:t>
      </w:r>
      <w:r>
        <w:rPr>
          <w:sz w:val="24"/>
          <w:szCs w:val="24"/>
        </w:rPr>
        <w:t>“</w:t>
      </w:r>
      <w:r>
        <w:rPr>
          <w:rFonts w:hint="eastAsia" w:cs="宋体"/>
          <w:sz w:val="24"/>
          <w:szCs w:val="24"/>
        </w:rPr>
        <w:t>少于</w:t>
      </w:r>
      <w:r>
        <w:rPr>
          <w:sz w:val="24"/>
          <w:szCs w:val="24"/>
        </w:rPr>
        <w:t>”</w:t>
      </w:r>
      <w:r>
        <w:rPr>
          <w:rFonts w:hint="eastAsia" w:cs="宋体"/>
          <w:sz w:val="24"/>
          <w:szCs w:val="24"/>
        </w:rPr>
        <w:t>，不包括本数。</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二、磋商文件的澄清、修改、答疑</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、代理机构有权对发出的磋商文件进行必要的澄清、修改或补充。</w:t>
      </w:r>
    </w:p>
    <w:p>
      <w:pPr>
        <w:snapToGrid w:val="0"/>
        <w:spacing w:line="360" w:lineRule="auto"/>
        <w:ind w:firstLine="480" w:firstLineChars="200"/>
        <w:jc w:val="left"/>
        <w:rPr>
          <w:rFonts w:ascii="宋体"/>
          <w:sz w:val="24"/>
          <w:szCs w:val="24"/>
        </w:rPr>
      </w:pPr>
      <w:r>
        <w:rPr>
          <w:rFonts w:ascii="宋体" w:hAnsi="宋体" w:cs="宋体"/>
          <w:sz w:val="24"/>
          <w:szCs w:val="24"/>
        </w:rPr>
        <w:t>2</w:t>
      </w:r>
      <w:r>
        <w:rPr>
          <w:rFonts w:hint="eastAsia" w:ascii="宋体" w:hAnsi="宋体" w:cs="宋体"/>
          <w:sz w:val="24"/>
          <w:szCs w:val="24"/>
        </w:rPr>
        <w:t>、磋商文件的澄清、修改、补充等内容均以书面明确的形式发布，并以</w:t>
      </w:r>
      <w:r>
        <w:rPr>
          <w:rFonts w:hint="eastAsia" w:asciiTheme="minorEastAsia" w:hAnsiTheme="minorEastAsia" w:eastAsiaTheme="minorEastAsia"/>
          <w:sz w:val="24"/>
          <w:szCs w:val="24"/>
          <w:highlight w:val="none"/>
          <w:lang w:eastAsia="zh-CN"/>
        </w:rPr>
        <w:t>南通市保安服务有限公司</w:t>
      </w:r>
      <w:r>
        <w:rPr>
          <w:rFonts w:hint="eastAsia" w:ascii="宋体" w:hAnsi="宋体" w:cs="宋体"/>
          <w:sz w:val="24"/>
          <w:szCs w:val="24"/>
        </w:rPr>
        <w:t>官网发布的信息为准。</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、代理机构对磋商文件的澄清、修改将构成磋商文件的一部分，对响应磋商的供应商具有约束力。</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、澄清或者修改的内容可能影响到响应文件编制的，代理机构将在提交响应文件接收截止之日</w:t>
      </w:r>
      <w:r>
        <w:rPr>
          <w:rFonts w:ascii="宋体" w:hAnsi="宋体" w:cs="宋体"/>
          <w:sz w:val="24"/>
          <w:szCs w:val="24"/>
        </w:rPr>
        <w:t>5</w:t>
      </w:r>
      <w:r>
        <w:rPr>
          <w:rFonts w:hint="eastAsia" w:ascii="宋体" w:hAnsi="宋体" w:cs="宋体"/>
          <w:sz w:val="24"/>
          <w:szCs w:val="24"/>
        </w:rPr>
        <w:t>日前，发布澄清或者修改公告，不足</w:t>
      </w:r>
      <w:r>
        <w:rPr>
          <w:rFonts w:ascii="宋体" w:hAnsi="宋体" w:cs="宋体"/>
          <w:sz w:val="24"/>
          <w:szCs w:val="24"/>
        </w:rPr>
        <w:t>5</w:t>
      </w:r>
      <w:r>
        <w:rPr>
          <w:rFonts w:hint="eastAsia" w:ascii="宋体" w:hAnsi="宋体" w:cs="宋体"/>
          <w:sz w:val="24"/>
          <w:szCs w:val="24"/>
        </w:rPr>
        <w:t>日的，当顺延提交响应文件接收截止时间。</w:t>
      </w:r>
    </w:p>
    <w:p>
      <w:pPr>
        <w:snapToGrid w:val="0"/>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、除非代理机构以书面的形式对磋商文件作出澄清、修改及补充，供应商对涉及磋商文件的任何推论、理解和结论所造成的结果，均由供应商自负。</w:t>
      </w:r>
    </w:p>
    <w:p>
      <w:pPr>
        <w:snapToGrid w:val="0"/>
        <w:spacing w:line="360" w:lineRule="auto"/>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、采购单位视情组织答疑会。如有产生答疑且对磋商文件内容有修改，代理机构将按照本须知有关规定，以补充通知（公告）的方式发出。</w:t>
      </w:r>
    </w:p>
    <w:p>
      <w:pPr>
        <w:snapToGrid w:val="0"/>
        <w:spacing w:line="360" w:lineRule="auto"/>
        <w:ind w:firstLine="482" w:firstLineChars="200"/>
        <w:outlineLvl w:val="1"/>
        <w:rPr>
          <w:rFonts w:ascii="宋体" w:hAnsi="宋体" w:cs="宋体"/>
          <w:b/>
          <w:color w:val="000000"/>
          <w:sz w:val="24"/>
          <w:szCs w:val="24"/>
        </w:rPr>
      </w:pPr>
      <w:r>
        <w:rPr>
          <w:rFonts w:hint="eastAsia" w:ascii="宋体" w:hAnsi="宋体" w:cs="宋体"/>
          <w:b/>
          <w:color w:val="000000"/>
          <w:sz w:val="24"/>
          <w:szCs w:val="24"/>
        </w:rPr>
        <w:t>三、磋商项目涉及到的现场勘察</w:t>
      </w:r>
    </w:p>
    <w:p>
      <w:pPr>
        <w:snapToGrid w:val="0"/>
        <w:spacing w:line="360" w:lineRule="auto"/>
        <w:ind w:firstLine="484" w:firstLineChars="202"/>
        <w:rPr>
          <w:rFonts w:ascii="宋体"/>
          <w:sz w:val="24"/>
          <w:szCs w:val="24"/>
        </w:rPr>
      </w:pPr>
      <w:r>
        <w:rPr>
          <w:rFonts w:ascii="宋体" w:hAnsi="宋体" w:cs="宋体"/>
          <w:sz w:val="24"/>
          <w:szCs w:val="24"/>
        </w:rPr>
        <w:t>1</w:t>
      </w:r>
      <w:r>
        <w:rPr>
          <w:rFonts w:hint="eastAsia" w:ascii="宋体" w:hAnsi="宋体" w:cs="宋体"/>
          <w:sz w:val="24"/>
          <w:szCs w:val="24"/>
        </w:rPr>
        <w:t>、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pPr>
        <w:snapToGrid w:val="0"/>
        <w:spacing w:line="360" w:lineRule="auto"/>
        <w:ind w:firstLine="484" w:firstLineChars="202"/>
        <w:rPr>
          <w:rFonts w:ascii="宋体"/>
          <w:sz w:val="24"/>
          <w:szCs w:val="24"/>
        </w:rPr>
      </w:pPr>
      <w:r>
        <w:rPr>
          <w:rFonts w:ascii="宋体" w:hAnsi="宋体" w:cs="宋体"/>
          <w:sz w:val="24"/>
          <w:szCs w:val="24"/>
        </w:rPr>
        <w:t>2</w:t>
      </w:r>
      <w:r>
        <w:rPr>
          <w:rFonts w:hint="eastAsia" w:ascii="宋体" w:hAnsi="宋体" w:cs="宋体"/>
          <w:sz w:val="24"/>
          <w:szCs w:val="24"/>
        </w:rPr>
        <w:t>、采购人向供应商提供的有关现场的资料和数据，是采购人现有的并认为能使供应商可利用的资料。采购人对供应商由此而做出的推论、理解和结论概不负责。</w:t>
      </w:r>
    </w:p>
    <w:p>
      <w:pPr>
        <w:snapToGrid w:val="0"/>
        <w:spacing w:line="360" w:lineRule="auto"/>
        <w:ind w:firstLine="484" w:firstLineChars="202"/>
        <w:rPr>
          <w:rFonts w:ascii="宋体"/>
          <w:sz w:val="24"/>
          <w:szCs w:val="24"/>
        </w:rPr>
      </w:pPr>
      <w:r>
        <w:rPr>
          <w:rFonts w:ascii="宋体" w:hAnsi="宋体" w:cs="宋体"/>
          <w:sz w:val="24"/>
          <w:szCs w:val="24"/>
        </w:rPr>
        <w:t>3</w:t>
      </w:r>
      <w:r>
        <w:rPr>
          <w:rFonts w:hint="eastAsia" w:ascii="宋体" w:hAnsi="宋体" w:cs="宋体"/>
          <w:sz w:val="24"/>
          <w:szCs w:val="24"/>
        </w:rPr>
        <w:t>、经采购人允许，供应商可为勘察目的进入采购人的项目现场，但供应商不得因此使采购人承担有关的责任和蒙受损失。供应商应承担勘察现场的责任和风险。</w:t>
      </w:r>
    </w:p>
    <w:p>
      <w:pPr>
        <w:snapToGrid w:val="0"/>
        <w:spacing w:line="360" w:lineRule="auto"/>
        <w:ind w:firstLine="484" w:firstLineChars="202"/>
        <w:rPr>
          <w:rFonts w:ascii="宋体" w:hAnsi="宋体" w:cs="宋体"/>
          <w:sz w:val="24"/>
          <w:szCs w:val="24"/>
        </w:rPr>
      </w:pPr>
      <w:r>
        <w:rPr>
          <w:rFonts w:ascii="宋体" w:hAnsi="宋体" w:cs="宋体"/>
          <w:sz w:val="24"/>
          <w:szCs w:val="24"/>
        </w:rPr>
        <w:t>4</w:t>
      </w:r>
      <w:r>
        <w:rPr>
          <w:rFonts w:hint="eastAsia" w:ascii="宋体" w:hAnsi="宋体" w:cs="宋体"/>
          <w:sz w:val="24"/>
          <w:szCs w:val="24"/>
        </w:rPr>
        <w:t>、供应商应认真踏勘现场。在现场勘察时，熟悉服务及作业现场、现场周围交通道路等情况，以获得一切可能影响其投标的直接资料。供应商成交后，不得以不完全了解现场情况为理由而向采购人提出任何索赔的要求，对此采购人不承担任何责任并将不作任何答复与考虑。</w:t>
      </w:r>
    </w:p>
    <w:p>
      <w:pPr>
        <w:pStyle w:val="50"/>
        <w:ind w:firstLine="482"/>
        <w:rPr>
          <w:rFonts w:hint="eastAsia" w:ascii="宋体" w:hAnsi="宋体" w:eastAsia="宋体" w:cs="宋体"/>
          <w:b/>
          <w:bCs/>
          <w:color w:val="000000"/>
          <w:sz w:val="24"/>
          <w:szCs w:val="24"/>
          <w:lang w:eastAsia="zh-CN"/>
        </w:rPr>
      </w:pPr>
      <w:r>
        <w:rPr>
          <w:rFonts w:hint="eastAsia" w:ascii="宋体" w:hAnsi="宋体" w:cs="宋体"/>
          <w:b/>
          <w:bCs/>
          <w:color w:val="000000"/>
          <w:sz w:val="24"/>
          <w:szCs w:val="24"/>
        </w:rPr>
        <w:t xml:space="preserve">现场踏勘联系人：小马      联系电话：0513-80219010/83533190 </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四、响应文件的编制及装订</w:t>
      </w:r>
    </w:p>
    <w:p>
      <w:pPr>
        <w:snapToGrid w:val="0"/>
        <w:spacing w:line="360" w:lineRule="auto"/>
        <w:ind w:firstLine="487" w:firstLineChars="202"/>
        <w:rPr>
          <w:rFonts w:ascii="宋体"/>
          <w:b/>
          <w:bCs/>
          <w:sz w:val="24"/>
          <w:szCs w:val="24"/>
        </w:rPr>
      </w:pPr>
      <w:r>
        <w:rPr>
          <w:rFonts w:hint="eastAsia" w:ascii="宋体" w:hAnsi="宋体" w:cs="宋体"/>
          <w:b/>
          <w:bCs/>
          <w:sz w:val="24"/>
          <w:szCs w:val="24"/>
        </w:rPr>
        <w:t>供应商按磋商文件要求编写响应文件，并牢固装订成册。响应文件均需采用</w:t>
      </w:r>
      <w:r>
        <w:rPr>
          <w:rFonts w:ascii="宋体" w:hAnsi="宋体" w:cs="宋体"/>
          <w:b/>
          <w:bCs/>
          <w:sz w:val="24"/>
          <w:szCs w:val="24"/>
        </w:rPr>
        <w:t>A4</w:t>
      </w:r>
      <w:r>
        <w:rPr>
          <w:rFonts w:hint="eastAsia" w:ascii="宋体" w:hAnsi="宋体" w:cs="宋体"/>
          <w:b/>
          <w:bCs/>
          <w:sz w:val="24"/>
          <w:szCs w:val="24"/>
        </w:rPr>
        <w:t>纸（图纸等除外），不允许使用活页夹、拉杆夹、文件夹、塑料方便式书脊（插入式或穿孔式）装订。响应文件不得行间插字、涂改、增删，如修改错漏处，须经响应文件签署人签字并加盖公章。</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五、响应文件的份数和签署</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、响应文件由：</w:t>
      </w:r>
      <w:r>
        <w:rPr>
          <w:rFonts w:ascii="宋体" w:hAnsi="宋体" w:cs="宋体"/>
          <w:sz w:val="24"/>
          <w:szCs w:val="24"/>
        </w:rPr>
        <w:fldChar w:fldCharType="begin"/>
      </w:r>
      <w:r>
        <w:rPr>
          <w:rFonts w:ascii="宋体" w:hAnsi="宋体" w:cs="宋体"/>
          <w:sz w:val="24"/>
          <w:szCs w:val="24"/>
        </w:rPr>
        <w:instrText xml:space="preserve"> = 1 \* GB3 </w:instrText>
      </w:r>
      <w:r>
        <w:rPr>
          <w:rFonts w:ascii="宋体" w:hAnsi="宋体" w:cs="宋体"/>
          <w:sz w:val="24"/>
          <w:szCs w:val="24"/>
        </w:rPr>
        <w:fldChar w:fldCharType="separate"/>
      </w:r>
      <w:r>
        <w:rPr>
          <w:rFonts w:hint="eastAsia" w:ascii="宋体" w:hAnsi="宋体" w:cs="宋体"/>
          <w:sz w:val="24"/>
          <w:szCs w:val="24"/>
        </w:rPr>
        <w:t>①</w:t>
      </w:r>
      <w:r>
        <w:rPr>
          <w:rFonts w:ascii="宋体" w:hAnsi="宋体" w:cs="宋体"/>
          <w:sz w:val="24"/>
          <w:szCs w:val="24"/>
        </w:rPr>
        <w:fldChar w:fldCharType="end"/>
      </w:r>
      <w:r>
        <w:rPr>
          <w:rFonts w:hint="eastAsia" w:ascii="宋体" w:hAnsi="宋体" w:cs="宋体"/>
          <w:sz w:val="24"/>
          <w:szCs w:val="24"/>
        </w:rPr>
        <w:t>资格审查文件、</w:t>
      </w:r>
      <w:r>
        <w:rPr>
          <w:rFonts w:ascii="宋体" w:hAnsi="宋体" w:cs="宋体"/>
          <w:sz w:val="24"/>
          <w:szCs w:val="24"/>
        </w:rPr>
        <w:fldChar w:fldCharType="begin"/>
      </w:r>
      <w:r>
        <w:rPr>
          <w:rFonts w:ascii="宋体" w:hAnsi="宋体" w:cs="宋体"/>
          <w:sz w:val="24"/>
          <w:szCs w:val="24"/>
        </w:rPr>
        <w:instrText xml:space="preserve"> = 2 \* GB3 </w:instrText>
      </w:r>
      <w:r>
        <w:rPr>
          <w:rFonts w:ascii="宋体" w:hAnsi="宋体" w:cs="宋体"/>
          <w:sz w:val="24"/>
          <w:szCs w:val="24"/>
        </w:rPr>
        <w:fldChar w:fldCharType="separate"/>
      </w:r>
      <w:r>
        <w:rPr>
          <w:rFonts w:hint="eastAsia" w:ascii="宋体" w:hAnsi="宋体" w:cs="宋体"/>
          <w:sz w:val="24"/>
          <w:szCs w:val="24"/>
        </w:rPr>
        <w:t>②</w:t>
      </w:r>
      <w:r>
        <w:rPr>
          <w:rFonts w:ascii="宋体" w:hAnsi="宋体" w:cs="宋体"/>
          <w:sz w:val="24"/>
          <w:szCs w:val="24"/>
        </w:rPr>
        <w:fldChar w:fldCharType="end"/>
      </w:r>
      <w:r>
        <w:rPr>
          <w:rFonts w:hint="eastAsia" w:ascii="宋体" w:hAnsi="宋体" w:cs="宋体"/>
          <w:sz w:val="24"/>
          <w:szCs w:val="24"/>
        </w:rPr>
        <w:t>技术响应文件、</w:t>
      </w:r>
      <w:r>
        <w:rPr>
          <w:rFonts w:ascii="宋体" w:hAnsi="宋体" w:cs="宋体"/>
          <w:sz w:val="24"/>
          <w:szCs w:val="24"/>
        </w:rPr>
        <w:fldChar w:fldCharType="begin"/>
      </w:r>
      <w:r>
        <w:rPr>
          <w:rFonts w:ascii="宋体" w:hAnsi="宋体" w:cs="宋体"/>
          <w:sz w:val="24"/>
          <w:szCs w:val="24"/>
        </w:rPr>
        <w:instrText xml:space="preserve"> = 3 \* GB3 </w:instrText>
      </w:r>
      <w:r>
        <w:rPr>
          <w:rFonts w:ascii="宋体" w:hAnsi="宋体" w:cs="宋体"/>
          <w:sz w:val="24"/>
          <w:szCs w:val="24"/>
        </w:rPr>
        <w:fldChar w:fldCharType="separate"/>
      </w:r>
      <w:r>
        <w:rPr>
          <w:rFonts w:hint="eastAsia" w:ascii="宋体" w:hAnsi="宋体" w:cs="宋体"/>
          <w:sz w:val="24"/>
          <w:szCs w:val="24"/>
        </w:rPr>
        <w:t>③</w:t>
      </w:r>
      <w:r>
        <w:rPr>
          <w:rFonts w:ascii="宋体" w:hAnsi="宋体" w:cs="宋体"/>
          <w:sz w:val="24"/>
          <w:szCs w:val="24"/>
        </w:rPr>
        <w:fldChar w:fldCharType="end"/>
      </w:r>
      <w:r>
        <w:rPr>
          <w:rFonts w:hint="eastAsia" w:ascii="宋体" w:hAnsi="宋体" w:cs="宋体"/>
          <w:sz w:val="24"/>
          <w:szCs w:val="24"/>
        </w:rPr>
        <w:t>商务报价响应文件，共</w:t>
      </w:r>
      <w:r>
        <w:rPr>
          <w:rFonts w:ascii="宋体" w:hAnsi="宋体" w:cs="宋体"/>
          <w:sz w:val="24"/>
          <w:szCs w:val="24"/>
        </w:rPr>
        <w:t>3</w:t>
      </w:r>
      <w:r>
        <w:rPr>
          <w:rFonts w:hint="eastAsia" w:ascii="宋体" w:hAnsi="宋体" w:cs="宋体"/>
          <w:sz w:val="24"/>
          <w:szCs w:val="24"/>
        </w:rPr>
        <w:t>部分组成（以下由文件序号代称）。</w:t>
      </w:r>
    </w:p>
    <w:p>
      <w:pPr>
        <w:snapToGrid w:val="0"/>
        <w:spacing w:line="360" w:lineRule="auto"/>
        <w:ind w:firstLine="480" w:firstLineChars="200"/>
        <w:rPr>
          <w:rFonts w:ascii="宋体"/>
          <w:sz w:val="24"/>
          <w:szCs w:val="24"/>
          <w:u w:val="single"/>
        </w:rPr>
      </w:pPr>
      <w:r>
        <w:rPr>
          <w:rFonts w:ascii="宋体" w:hAnsi="宋体" w:cs="宋体"/>
          <w:sz w:val="24"/>
          <w:szCs w:val="24"/>
        </w:rPr>
        <w:t>2</w:t>
      </w:r>
      <w:r>
        <w:rPr>
          <w:rFonts w:hint="eastAsia" w:ascii="宋体" w:hAnsi="宋体" w:cs="宋体"/>
          <w:sz w:val="24"/>
          <w:szCs w:val="24"/>
        </w:rPr>
        <w:t>、响应文件均为壹式叁份，其中“正本”壹份和“副本”贰份。</w:t>
      </w:r>
    </w:p>
    <w:p>
      <w:pPr>
        <w:snapToGrid w:val="0"/>
        <w:spacing w:line="360" w:lineRule="auto"/>
        <w:ind w:firstLine="470" w:firstLineChars="196"/>
        <w:rPr>
          <w:rFonts w:ascii="宋体"/>
          <w:sz w:val="24"/>
          <w:szCs w:val="24"/>
        </w:rPr>
      </w:pPr>
      <w:r>
        <w:rPr>
          <w:rFonts w:ascii="宋体" w:hAnsi="宋体" w:cs="宋体"/>
          <w:sz w:val="24"/>
          <w:szCs w:val="24"/>
        </w:rPr>
        <w:t>3</w:t>
      </w:r>
      <w:r>
        <w:rPr>
          <w:rFonts w:hint="eastAsia" w:ascii="宋体" w:hAnsi="宋体" w:cs="宋体"/>
          <w:sz w:val="24"/>
          <w:szCs w:val="24"/>
        </w:rPr>
        <w:t>、在每份响应文件上要明确标注项目名称、项目编号、对应的响应文件名称、供应商的全称、日期、“正本”、“副本”字样。“正本”和“副本”若有差异，概以“正本”为准。</w:t>
      </w:r>
    </w:p>
    <w:p>
      <w:pPr>
        <w:snapToGrid w:val="0"/>
        <w:spacing w:line="360" w:lineRule="auto"/>
        <w:ind w:firstLine="470" w:firstLineChars="196"/>
        <w:rPr>
          <w:rFonts w:ascii="宋体"/>
          <w:sz w:val="24"/>
          <w:szCs w:val="24"/>
        </w:rPr>
      </w:pPr>
      <w:r>
        <w:rPr>
          <w:rFonts w:ascii="宋体" w:hAnsi="宋体" w:cs="宋体"/>
          <w:sz w:val="24"/>
          <w:szCs w:val="24"/>
        </w:rPr>
        <w:t>4</w:t>
      </w:r>
      <w:r>
        <w:rPr>
          <w:rFonts w:hint="eastAsia" w:ascii="宋体" w:hAnsi="宋体" w:cs="宋体"/>
          <w:sz w:val="24"/>
          <w:szCs w:val="24"/>
        </w:rPr>
        <w:t>、供应商可将响应文件正副本统一密封或分别密封，如正本和副本分别密封的，应在封袋上标明正、副本字样。</w:t>
      </w:r>
    </w:p>
    <w:p>
      <w:pPr>
        <w:snapToGrid w:val="0"/>
        <w:spacing w:line="360" w:lineRule="auto"/>
        <w:ind w:firstLine="470" w:firstLineChars="196"/>
        <w:rPr>
          <w:rFonts w:ascii="宋体"/>
          <w:sz w:val="24"/>
          <w:szCs w:val="24"/>
        </w:rPr>
      </w:pPr>
      <w:r>
        <w:rPr>
          <w:rFonts w:ascii="宋体" w:hAnsi="宋体" w:cs="宋体"/>
          <w:sz w:val="24"/>
          <w:szCs w:val="24"/>
        </w:rPr>
        <w:t>5</w:t>
      </w:r>
      <w:r>
        <w:rPr>
          <w:rFonts w:hint="eastAsia" w:ascii="宋体" w:hAnsi="宋体" w:cs="宋体"/>
          <w:sz w:val="24"/>
          <w:szCs w:val="24"/>
        </w:rPr>
        <w:t>、响应文件中的所有“正本”，其正文内容须按磋商文件要求由供应商法定代表人或被授权人签字（或盖章）并加盖单位公章。“副本”可复印，但须加盖单位公章。</w:t>
      </w:r>
    </w:p>
    <w:p>
      <w:pPr>
        <w:snapToGrid w:val="0"/>
        <w:spacing w:line="360" w:lineRule="auto"/>
        <w:ind w:firstLine="472" w:firstLineChars="196"/>
        <w:rPr>
          <w:rFonts w:ascii="宋体"/>
          <w:b/>
          <w:bCs/>
          <w:sz w:val="24"/>
          <w:szCs w:val="24"/>
        </w:rPr>
      </w:pPr>
      <w:r>
        <w:rPr>
          <w:rFonts w:hint="eastAsia" w:ascii="宋体" w:hAnsi="宋体" w:cs="宋体"/>
          <w:b/>
          <w:bCs/>
          <w:sz w:val="24"/>
          <w:szCs w:val="24"/>
        </w:rPr>
        <w:t>六、响应文件的密封及标记</w:t>
      </w:r>
    </w:p>
    <w:p>
      <w:pPr>
        <w:snapToGrid w:val="0"/>
        <w:spacing w:line="360" w:lineRule="auto"/>
        <w:ind w:firstLine="480" w:firstLineChars="200"/>
        <w:rPr>
          <w:rFonts w:ascii="宋体"/>
          <w:sz w:val="24"/>
          <w:szCs w:val="24"/>
          <w:u w:val="single"/>
        </w:rPr>
      </w:pPr>
      <w:r>
        <w:rPr>
          <w:rFonts w:ascii="宋体" w:hAnsi="宋体" w:cs="宋体"/>
          <w:sz w:val="24"/>
          <w:szCs w:val="24"/>
        </w:rPr>
        <w:t>1</w:t>
      </w:r>
      <w:r>
        <w:rPr>
          <w:rFonts w:hint="eastAsia" w:ascii="宋体" w:hAnsi="宋体" w:cs="宋体"/>
          <w:sz w:val="24"/>
          <w:szCs w:val="24"/>
        </w:rPr>
        <w:t>、供应商须将本项目响应文件：</w:t>
      </w:r>
      <w:r>
        <w:rPr>
          <w:rFonts w:hint="eastAsia" w:ascii="宋体" w:hAnsi="宋体" w:cs="宋体"/>
          <w:b/>
          <w:bCs/>
          <w:color w:val="000000"/>
          <w:sz w:val="24"/>
          <w:szCs w:val="24"/>
        </w:rPr>
        <w:t>资格审查文件、技术响应文件、商务报价响应文件</w:t>
      </w:r>
      <w:r>
        <w:rPr>
          <w:rFonts w:hint="eastAsia" w:ascii="宋体" w:hAnsi="宋体" w:cs="宋体"/>
          <w:b/>
          <w:sz w:val="24"/>
          <w:szCs w:val="24"/>
        </w:rPr>
        <w:t>单独密封</w:t>
      </w:r>
      <w:r>
        <w:rPr>
          <w:rFonts w:hint="eastAsia" w:ascii="宋体" w:hAnsi="宋体" w:cs="宋体"/>
          <w:sz w:val="24"/>
          <w:szCs w:val="24"/>
        </w:rPr>
        <w:t>。</w:t>
      </w:r>
    </w:p>
    <w:p>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、密封后，应在每一密封的响应文件上明确标注磋商项目名称、响应文件各自对应的名称、供应商的全称及日期。</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、在边缝处加盖供应商公章或骑缝签字。</w:t>
      </w:r>
    </w:p>
    <w:p>
      <w:pPr>
        <w:snapToGrid w:val="0"/>
        <w:spacing w:line="360" w:lineRule="auto"/>
        <w:ind w:firstLine="482" w:firstLineChars="200"/>
        <w:textAlignment w:val="baseline"/>
        <w:rPr>
          <w:rFonts w:ascii="宋体" w:hAnsi="宋体" w:cs="宋体"/>
          <w:sz w:val="24"/>
          <w:szCs w:val="24"/>
        </w:rPr>
      </w:pPr>
      <w:r>
        <w:rPr>
          <w:rFonts w:hint="eastAsia" w:ascii="宋体" w:hAnsi="宋体" w:cs="宋体"/>
          <w:b/>
          <w:bCs/>
          <w:sz w:val="24"/>
          <w:szCs w:val="24"/>
        </w:rPr>
        <w:t>【特别提醒】</w:t>
      </w:r>
      <w:r>
        <w:rPr>
          <w:rFonts w:hint="eastAsia" w:ascii="宋体" w:hAnsi="宋体" w:cs="宋体"/>
          <w:sz w:val="24"/>
          <w:szCs w:val="24"/>
        </w:rPr>
        <w:t>响应文件中的</w:t>
      </w:r>
      <w:r>
        <w:rPr>
          <w:rFonts w:hint="eastAsia" w:ascii="宋体" w:hAnsi="宋体" w:cs="宋体"/>
          <w:b/>
          <w:bCs/>
          <w:color w:val="000000"/>
          <w:sz w:val="24"/>
          <w:szCs w:val="24"/>
        </w:rPr>
        <w:t>资格审查文件、技术响应文件</w:t>
      </w:r>
      <w:r>
        <w:rPr>
          <w:rFonts w:hint="eastAsia" w:ascii="宋体" w:hAnsi="宋体" w:cs="宋体"/>
          <w:sz w:val="24"/>
          <w:szCs w:val="24"/>
        </w:rPr>
        <w:t>的“正本”或“副本”中，均不得含有商务报价响应文件中报价表（报价单）内的任何项目价格，否则作无效响应处理。</w:t>
      </w:r>
    </w:p>
    <w:p>
      <w:pPr>
        <w:snapToGrid w:val="0"/>
        <w:spacing w:line="360" w:lineRule="auto"/>
        <w:ind w:firstLine="496" w:firstLineChars="206"/>
        <w:outlineLvl w:val="1"/>
        <w:rPr>
          <w:rFonts w:ascii="宋体"/>
          <w:b/>
          <w:bCs/>
          <w:sz w:val="24"/>
          <w:szCs w:val="24"/>
        </w:rPr>
      </w:pPr>
      <w:r>
        <w:rPr>
          <w:rFonts w:hint="eastAsia" w:ascii="宋体" w:hAnsi="宋体" w:cs="宋体"/>
          <w:b/>
          <w:bCs/>
          <w:sz w:val="24"/>
          <w:szCs w:val="24"/>
        </w:rPr>
        <w:t>七、</w:t>
      </w:r>
      <w:r>
        <w:rPr>
          <w:rFonts w:hint="eastAsia" w:ascii="宋体" w:hAnsi="宋体" w:cs="宋体"/>
          <w:b/>
          <w:bCs/>
          <w:color w:val="000000"/>
          <w:sz w:val="24"/>
          <w:szCs w:val="24"/>
        </w:rPr>
        <w:t>磋商报价</w:t>
      </w:r>
    </w:p>
    <w:p>
      <w:pPr>
        <w:snapToGrid w:val="0"/>
        <w:spacing w:line="360" w:lineRule="auto"/>
        <w:ind w:firstLine="494" w:firstLineChars="206"/>
        <w:rPr>
          <w:rFonts w:ascii="宋体"/>
          <w:sz w:val="24"/>
          <w:szCs w:val="24"/>
        </w:rPr>
      </w:pPr>
      <w:r>
        <w:rPr>
          <w:rFonts w:ascii="宋体" w:hAnsi="宋体" w:cs="宋体"/>
          <w:sz w:val="24"/>
          <w:szCs w:val="24"/>
        </w:rPr>
        <w:t>1</w:t>
      </w:r>
      <w:r>
        <w:rPr>
          <w:rFonts w:hint="eastAsia" w:ascii="宋体" w:hAnsi="宋体" w:cs="宋体"/>
          <w:sz w:val="24"/>
          <w:szCs w:val="24"/>
        </w:rPr>
        <w:t>、本项目不接受任何有选择的报价。</w:t>
      </w:r>
    </w:p>
    <w:p>
      <w:pPr>
        <w:snapToGrid w:val="0"/>
        <w:spacing w:line="360" w:lineRule="auto"/>
        <w:ind w:firstLine="494" w:firstLineChars="206"/>
        <w:rPr>
          <w:rFonts w:ascii="宋体"/>
          <w:sz w:val="24"/>
          <w:szCs w:val="24"/>
        </w:rPr>
      </w:pPr>
      <w:r>
        <w:rPr>
          <w:rFonts w:ascii="宋体" w:hAnsi="宋体" w:cs="宋体"/>
          <w:sz w:val="24"/>
          <w:szCs w:val="24"/>
        </w:rPr>
        <w:t>2</w:t>
      </w:r>
      <w:r>
        <w:rPr>
          <w:rFonts w:hint="eastAsia" w:ascii="宋体" w:hAnsi="宋体" w:cs="宋体"/>
          <w:sz w:val="24"/>
          <w:szCs w:val="24"/>
        </w:rPr>
        <w:t>、磋商报价均以人民币为报价的币种。</w:t>
      </w:r>
    </w:p>
    <w:p>
      <w:pPr>
        <w:snapToGrid w:val="0"/>
        <w:spacing w:line="360" w:lineRule="auto"/>
        <w:ind w:firstLine="494" w:firstLineChars="206"/>
        <w:rPr>
          <w:rFonts w:hint="eastAsia" w:ascii="宋体" w:hAnsi="宋体" w:eastAsia="宋体" w:cs="宋体"/>
          <w:snapToGrid/>
          <w:kern w:val="2"/>
          <w:sz w:val="24"/>
        </w:rPr>
      </w:pPr>
      <w:r>
        <w:rPr>
          <w:rFonts w:ascii="宋体" w:hAnsi="宋体" w:eastAsia="宋体" w:cs="宋体"/>
          <w:snapToGrid/>
          <w:kern w:val="2"/>
          <w:sz w:val="24"/>
        </w:rPr>
        <w:t>3</w:t>
      </w:r>
      <w:r>
        <w:rPr>
          <w:rFonts w:hint="eastAsia" w:ascii="宋体" w:hAnsi="宋体" w:eastAsia="宋体" w:cs="宋体"/>
          <w:snapToGrid/>
          <w:kern w:val="2"/>
          <w:sz w:val="24"/>
        </w:rPr>
        <w:t>、磋商报价表必须加盖单位公章且必须经法定代表人或被授权人签字或 盖章。</w:t>
      </w:r>
      <w:r>
        <w:rPr>
          <w:rFonts w:hint="eastAsia" w:ascii="宋体" w:hAnsi="宋体" w:eastAsia="宋体" w:cs="宋体"/>
          <w:snapToGrid/>
          <w:kern w:val="2"/>
          <w:sz w:val="24"/>
          <w:lang w:val="en-US" w:eastAsia="zh-CN"/>
        </w:rPr>
        <w:t>报价</w:t>
      </w:r>
      <w:r>
        <w:rPr>
          <w:rFonts w:hint="eastAsia" w:ascii="宋体" w:hAnsi="宋体" w:eastAsia="宋体" w:cs="宋体"/>
          <w:snapToGrid/>
          <w:kern w:val="2"/>
          <w:sz w:val="24"/>
        </w:rPr>
        <w:t>表中的报价出现前后不一致的，将执行财政部第 87 号令《政府采购货物和服务招标投标管理办法》第 59 条的规定修正:</w:t>
      </w:r>
    </w:p>
    <w:p>
      <w:pPr>
        <w:snapToGrid w:val="0"/>
        <w:spacing w:line="360" w:lineRule="auto"/>
        <w:ind w:firstLine="494" w:firstLineChars="206"/>
        <w:rPr>
          <w:rFonts w:hint="eastAsia" w:ascii="宋体" w:hAnsi="宋体" w:eastAsia="宋体" w:cs="宋体"/>
          <w:snapToGrid/>
          <w:kern w:val="2"/>
          <w:sz w:val="24"/>
        </w:rPr>
      </w:pPr>
      <w:r>
        <w:rPr>
          <w:rFonts w:hint="eastAsia" w:ascii="宋体" w:hAnsi="宋体" w:eastAsia="宋体" w:cs="宋体"/>
          <w:snapToGrid/>
          <w:kern w:val="2"/>
          <w:sz w:val="24"/>
        </w:rPr>
        <w:t>3.1开标一览表(报价表)内容与投标文件中相应内容不一致的，以开标一览表(报价表)为准;</w:t>
      </w:r>
    </w:p>
    <w:p>
      <w:pPr>
        <w:snapToGrid w:val="0"/>
        <w:spacing w:line="360" w:lineRule="auto"/>
        <w:ind w:firstLine="494" w:firstLineChars="206"/>
        <w:rPr>
          <w:rFonts w:hint="eastAsia" w:ascii="宋体" w:hAnsi="宋体" w:eastAsia="宋体" w:cs="宋体"/>
          <w:snapToGrid/>
          <w:kern w:val="2"/>
          <w:sz w:val="24"/>
        </w:rPr>
      </w:pPr>
      <w:r>
        <w:rPr>
          <w:rFonts w:hint="eastAsia" w:ascii="宋体" w:hAnsi="宋体" w:eastAsia="宋体" w:cs="宋体"/>
          <w:snapToGrid/>
          <w:kern w:val="2"/>
          <w:sz w:val="24"/>
        </w:rPr>
        <w:t>3.2 大写金额和小写金额不一致的，以大写金额为准;</w:t>
      </w:r>
    </w:p>
    <w:p>
      <w:pPr>
        <w:snapToGrid w:val="0"/>
        <w:spacing w:line="360" w:lineRule="auto"/>
        <w:ind w:firstLine="494" w:firstLineChars="206"/>
        <w:rPr>
          <w:rFonts w:hint="eastAsia" w:ascii="宋体" w:hAnsi="宋体" w:eastAsia="宋体" w:cs="宋体"/>
          <w:snapToGrid/>
          <w:kern w:val="2"/>
          <w:sz w:val="24"/>
        </w:rPr>
      </w:pPr>
      <w:r>
        <w:rPr>
          <w:rFonts w:hint="eastAsia" w:ascii="宋体" w:hAnsi="宋体" w:eastAsia="宋体" w:cs="宋体"/>
          <w:snapToGrid/>
          <w:kern w:val="2"/>
          <w:sz w:val="24"/>
        </w:rPr>
        <w:t>3.3单价金额小数点或者百分比有明显错位的，以开标一览表(报价表)的总价为准，并修改单价;</w:t>
      </w:r>
    </w:p>
    <w:p>
      <w:pPr>
        <w:snapToGrid w:val="0"/>
        <w:spacing w:line="360" w:lineRule="auto"/>
        <w:ind w:firstLine="494" w:firstLineChars="206"/>
        <w:rPr>
          <w:rFonts w:hint="eastAsia" w:ascii="宋体" w:hAnsi="宋体" w:eastAsia="宋体" w:cs="宋体"/>
          <w:snapToGrid/>
          <w:kern w:val="2"/>
          <w:sz w:val="24"/>
        </w:rPr>
      </w:pPr>
      <w:r>
        <w:rPr>
          <w:rFonts w:hint="eastAsia" w:ascii="宋体" w:hAnsi="宋体" w:eastAsia="宋体" w:cs="宋体"/>
          <w:snapToGrid/>
          <w:kern w:val="2"/>
          <w:sz w:val="24"/>
        </w:rPr>
        <w:t>3.4总价金额与按单价汇总金额不一致的，以单价金额计算结果为准。</w:t>
      </w:r>
    </w:p>
    <w:p>
      <w:pPr>
        <w:snapToGrid w:val="0"/>
        <w:spacing w:line="360" w:lineRule="auto"/>
        <w:ind w:firstLine="480" w:firstLineChars="200"/>
        <w:rPr>
          <w:rFonts w:hint="eastAsia" w:ascii="宋体" w:hAnsi="宋体" w:eastAsia="宋体" w:cs="宋体"/>
          <w:snapToGrid/>
          <w:kern w:val="2"/>
          <w:sz w:val="24"/>
          <w:lang w:val="en-US" w:eastAsia="zh-CN"/>
        </w:rPr>
      </w:pPr>
      <w:r>
        <w:rPr>
          <w:rFonts w:hint="eastAsia" w:ascii="宋体" w:hAnsi="宋体" w:eastAsia="宋体" w:cs="宋体"/>
          <w:snapToGrid/>
          <w:kern w:val="2"/>
          <w:sz w:val="24"/>
          <w:lang w:val="en-US" w:eastAsia="zh-CN"/>
        </w:rPr>
        <w:t>同</w:t>
      </w:r>
      <w:r>
        <w:rPr>
          <w:rFonts w:hint="eastAsia" w:ascii="宋体" w:hAnsi="宋体" w:eastAsia="宋体" w:cs="宋体"/>
          <w:snapToGrid/>
          <w:kern w:val="2"/>
          <w:sz w:val="24"/>
        </w:rPr>
        <w:t>时出现两种以上不一至致的，按照前款规定的顺序修正。修正后的报价按照本办法第五十一条第二款的规定经供应商确认后产生约束力，供应商不确认的，其响应无效。</w:t>
      </w:r>
      <w:r>
        <w:rPr>
          <w:rFonts w:hint="eastAsia" w:ascii="宋体" w:hAnsi="宋体" w:eastAsia="宋体" w:cs="宋体"/>
          <w:snapToGrid/>
          <w:kern w:val="2"/>
          <w:sz w:val="24"/>
          <w:lang w:val="en-US" w:eastAsia="zh-CN"/>
        </w:rPr>
        <w:t xml:space="preserve"> </w:t>
      </w:r>
    </w:p>
    <w:p>
      <w:pPr>
        <w:snapToGrid w:val="0"/>
        <w:spacing w:line="360" w:lineRule="auto"/>
        <w:ind w:firstLine="480" w:firstLineChars="200"/>
        <w:rPr>
          <w:rFonts w:hint="eastAsia" w:ascii="宋体" w:hAnsi="宋体" w:eastAsia="宋体" w:cs="宋体"/>
          <w:sz w:val="24"/>
          <w:szCs w:val="24"/>
          <w:lang w:eastAsia="zh-CN"/>
        </w:rPr>
      </w:pPr>
      <w:r>
        <w:rPr>
          <w:rFonts w:ascii="宋体" w:hAnsi="宋体" w:cs="宋体"/>
          <w:sz w:val="24"/>
          <w:szCs w:val="24"/>
        </w:rPr>
        <w:t>4</w:t>
      </w:r>
      <w:r>
        <w:rPr>
          <w:rFonts w:hint="eastAsia" w:ascii="宋体" w:hAnsi="宋体" w:cs="宋体"/>
          <w:sz w:val="24"/>
          <w:szCs w:val="24"/>
        </w:rPr>
        <w:t>、</w:t>
      </w:r>
      <w:r>
        <w:rPr>
          <w:rFonts w:hint="eastAsia" w:ascii="宋体" w:hAnsi="宋体" w:eastAsia="宋体" w:cs="宋体"/>
          <w:bCs/>
          <w:color w:val="000000"/>
          <w:sz w:val="24"/>
          <w:highlight w:val="none"/>
        </w:rPr>
        <w:t>本项目</w:t>
      </w:r>
      <w:r>
        <w:rPr>
          <w:rFonts w:hint="eastAsia" w:ascii="宋体" w:hAnsi="宋体" w:eastAsia="宋体" w:cs="宋体"/>
          <w:sz w:val="24"/>
          <w:highlight w:val="none"/>
        </w:rPr>
        <w:t>磋商报价</w:t>
      </w:r>
      <w:r>
        <w:rPr>
          <w:rFonts w:hint="eastAsia" w:ascii="宋体" w:hAnsi="宋体" w:eastAsia="宋体" w:cs="宋体"/>
          <w:bCs/>
          <w:color w:val="000000"/>
          <w:sz w:val="24"/>
          <w:highlight w:val="none"/>
        </w:rPr>
        <w:t>为</w:t>
      </w:r>
      <w:r>
        <w:rPr>
          <w:rFonts w:hint="eastAsia" w:ascii="宋体" w:hAnsi="宋体" w:eastAsia="宋体" w:cs="宋体"/>
          <w:bCs/>
          <w:color w:val="000000"/>
          <w:sz w:val="24"/>
          <w:highlight w:val="none"/>
          <w:lang w:val="zh-CN"/>
        </w:rPr>
        <w:t>固定总价报价</w:t>
      </w:r>
      <w:r>
        <w:rPr>
          <w:rFonts w:hint="eastAsia" w:ascii="宋体" w:hAnsi="宋体" w:eastAsia="宋体" w:cs="宋体"/>
          <w:sz w:val="24"/>
          <w:highlight w:val="none"/>
        </w:rPr>
        <w:t>，该价格一次性包定</w:t>
      </w:r>
      <w:r>
        <w:rPr>
          <w:rFonts w:hint="eastAsia" w:ascii="宋体" w:hAnsi="宋体" w:cs="宋体"/>
          <w:sz w:val="24"/>
          <w:szCs w:val="24"/>
        </w:rPr>
        <w:t>，</w:t>
      </w:r>
      <w:r>
        <w:rPr>
          <w:rFonts w:hint="eastAsia" w:ascii="宋体" w:hAnsi="宋体" w:cs="宋体"/>
          <w:sz w:val="24"/>
          <w:szCs w:val="24"/>
          <w:lang w:val="en-US" w:eastAsia="zh-CN"/>
        </w:rPr>
        <w:t>成交供应商须考虑</w:t>
      </w:r>
      <w:r>
        <w:rPr>
          <w:rFonts w:hint="eastAsia" w:ascii="宋体" w:hAnsi="宋体" w:cs="宋体"/>
          <w:sz w:val="24"/>
          <w:szCs w:val="24"/>
        </w:rPr>
        <w:t>合同期内最低工资标准上涨</w:t>
      </w:r>
      <w:r>
        <w:rPr>
          <w:rFonts w:hint="eastAsia" w:ascii="宋体" w:hAnsi="宋体" w:cs="宋体"/>
          <w:sz w:val="24"/>
          <w:szCs w:val="24"/>
          <w:lang w:eastAsia="zh-CN"/>
        </w:rPr>
        <w:t>、</w:t>
      </w:r>
      <w:r>
        <w:rPr>
          <w:rFonts w:hint="eastAsia" w:ascii="宋体" w:hAnsi="宋体" w:cs="宋体"/>
          <w:sz w:val="24"/>
          <w:szCs w:val="24"/>
          <w:lang w:val="en-US" w:eastAsia="zh-CN"/>
        </w:rPr>
        <w:t>加班费等费用</w:t>
      </w:r>
      <w:r>
        <w:rPr>
          <w:rFonts w:hint="eastAsia" w:ascii="宋体" w:hAnsi="宋体" w:cs="宋体"/>
          <w:sz w:val="24"/>
          <w:szCs w:val="24"/>
        </w:rPr>
        <w:t>，</w:t>
      </w:r>
      <w:r>
        <w:rPr>
          <w:rFonts w:hint="eastAsia" w:ascii="宋体" w:hAnsi="宋体" w:cs="宋体"/>
          <w:sz w:val="24"/>
          <w:szCs w:val="24"/>
          <w:lang w:val="en-US" w:eastAsia="zh-CN"/>
        </w:rPr>
        <w:t>服务期内</w:t>
      </w:r>
      <w:r>
        <w:rPr>
          <w:rFonts w:hint="eastAsia" w:ascii="宋体" w:hAnsi="宋体" w:cs="宋体"/>
          <w:sz w:val="24"/>
          <w:szCs w:val="24"/>
        </w:rPr>
        <w:t>合同价不调整</w:t>
      </w:r>
      <w:r>
        <w:rPr>
          <w:rFonts w:hint="eastAsia" w:ascii="宋体" w:hAnsi="宋体" w:cs="宋体"/>
          <w:sz w:val="24"/>
          <w:szCs w:val="24"/>
          <w:lang w:eastAsia="zh-CN"/>
        </w:rPr>
        <w:t>。</w:t>
      </w:r>
    </w:p>
    <w:p>
      <w:pPr>
        <w:snapToGrid w:val="0"/>
        <w:spacing w:line="360" w:lineRule="auto"/>
        <w:ind w:left="0" w:leftChars="0" w:firstLine="468" w:firstLineChars="195"/>
        <w:outlineLvl w:val="1"/>
        <w:rPr>
          <w:rFonts w:hint="eastAsia" w:ascii="宋体" w:hAnsi="宋体" w:cs="宋体"/>
          <w:b/>
          <w:bCs/>
          <w:color w:val="auto"/>
          <w:sz w:val="24"/>
          <w:szCs w:val="24"/>
        </w:rPr>
      </w:pPr>
      <w:r>
        <w:rPr>
          <w:rFonts w:hint="eastAsia" w:ascii="宋体" w:hAnsi="宋体" w:cs="宋体"/>
          <w:sz w:val="24"/>
          <w:szCs w:val="24"/>
          <w:lang w:val="en-US" w:eastAsia="zh-CN"/>
        </w:rPr>
        <w:t>5、</w:t>
      </w:r>
      <w:r>
        <w:rPr>
          <w:rFonts w:hint="eastAsia" w:ascii="宋体" w:hAnsi="宋体" w:cs="宋体"/>
          <w:b/>
          <w:bCs/>
          <w:sz w:val="24"/>
          <w:szCs w:val="24"/>
        </w:rPr>
        <w:t>磋商报价（以人民币计价</w:t>
      </w:r>
      <w:r>
        <w:rPr>
          <w:rFonts w:hint="eastAsia" w:ascii="宋体" w:hAnsi="宋体" w:cs="宋体"/>
          <w:b/>
          <w:bCs/>
          <w:color w:val="auto"/>
          <w:sz w:val="24"/>
          <w:szCs w:val="24"/>
        </w:rPr>
        <w:t>）应包括但不限于所有与本项目实施有关的所有费用包括：材料费（涉及到电梯维保的所有配件）、设备费、设备维修或更换费、上门服务费（含业主临时或应急要求）、人员工资（含保险费）、管理费、利润、税金、政策性文件规定及为达到采购人要求所包含的所有风险、责任等各项费用。但不包括</w:t>
      </w:r>
      <w:r>
        <w:rPr>
          <w:rFonts w:hint="eastAsia" w:ascii="宋体" w:hAnsi="宋体" w:cs="宋体"/>
          <w:b/>
          <w:bCs/>
          <w:color w:val="auto"/>
          <w:sz w:val="24"/>
          <w:szCs w:val="24"/>
          <w:lang w:eastAsia="zh-CN"/>
        </w:rPr>
        <w:t>：</w:t>
      </w:r>
      <w:r>
        <w:rPr>
          <w:rFonts w:hint="eastAsia" w:ascii="宋体" w:hAnsi="宋体" w:cs="宋体"/>
          <w:b/>
          <w:bCs/>
          <w:color w:val="auto"/>
          <w:sz w:val="24"/>
          <w:szCs w:val="24"/>
        </w:rPr>
        <w:t>国家新规定的为电梯进行改造、重大维修工作所需要的材料和人工费用</w:t>
      </w:r>
      <w:r>
        <w:rPr>
          <w:rFonts w:hint="eastAsia" w:ascii="宋体" w:hAnsi="宋体" w:cs="宋体"/>
          <w:b/>
          <w:bCs/>
          <w:color w:val="auto"/>
          <w:sz w:val="24"/>
          <w:szCs w:val="24"/>
          <w:lang w:eastAsia="zh-CN"/>
        </w:rPr>
        <w:t>以及</w:t>
      </w:r>
      <w:r>
        <w:rPr>
          <w:rFonts w:hint="eastAsia" w:ascii="宋体" w:hAnsi="宋体" w:cs="宋体"/>
          <w:b/>
          <w:bCs/>
          <w:color w:val="auto"/>
          <w:sz w:val="24"/>
          <w:szCs w:val="24"/>
        </w:rPr>
        <w:t>国家特种设备检验机构在电梯检验时的相关配合费用和年检费。</w:t>
      </w:r>
    </w:p>
    <w:p>
      <w:pPr>
        <w:snapToGrid w:val="0"/>
        <w:spacing w:line="360" w:lineRule="auto"/>
        <w:ind w:left="0" w:leftChars="0" w:firstLine="468" w:firstLineChars="195"/>
        <w:outlineLvl w:val="1"/>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供应商应详细阅读磋商文件的全部内容，根据采购项目需求，准确制定相关工作方案等，必须对本采购项目全部进行报价，如有漏项，视同对本项目的优惠。不按磋商文件的要求提供响应文件，导致报价无效，按无效标处理。</w:t>
      </w:r>
    </w:p>
    <w:p>
      <w:pPr>
        <w:snapToGrid w:val="0"/>
        <w:spacing w:line="360" w:lineRule="auto"/>
        <w:ind w:firstLine="480" w:firstLineChars="200"/>
        <w:textAlignment w:val="baseline"/>
      </w:pPr>
      <w:r>
        <w:rPr>
          <w:rFonts w:hint="eastAsia" w:ascii="宋体" w:hAnsi="宋体" w:eastAsia="宋体" w:cs="宋体"/>
          <w:sz w:val="24"/>
          <w:lang w:val="en-US" w:eastAsia="zh-CN"/>
        </w:rPr>
        <w:t>7</w:t>
      </w:r>
      <w:r>
        <w:rPr>
          <w:rFonts w:hint="eastAsia" w:ascii="宋体" w:hAnsi="宋体" w:eastAsia="宋体" w:cs="宋体"/>
          <w:sz w:val="24"/>
        </w:rPr>
        <w:t>、</w:t>
      </w:r>
      <w:r>
        <w:rPr>
          <w:rFonts w:hint="eastAsia" w:ascii="宋体" w:hAnsi="宋体" w:eastAsia="宋体" w:cs="宋体"/>
          <w:bCs/>
          <w:sz w:val="24"/>
        </w:rPr>
        <w:t>本次磋商项目的报价采用两轮报价，首次报价不得超过项目预算金额。除非在磋商中磋商小组对采购人需求内容作了调整增加，或对采购内容作了实质性变更，否则采购人不接受供应商高于自己前一轮的磋商报价，并作无效报价处理。最终报价将作为磋商小组评定成交供应商的依据。</w:t>
      </w:r>
    </w:p>
    <w:p>
      <w:pPr>
        <w:snapToGrid w:val="0"/>
        <w:spacing w:line="360" w:lineRule="auto"/>
        <w:ind w:left="0" w:leftChars="0" w:firstLine="468" w:firstLineChars="195"/>
        <w:outlineLvl w:val="1"/>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、本项目竞争性</w:t>
      </w:r>
      <w:r>
        <w:rPr>
          <w:rFonts w:hint="eastAsia" w:ascii="宋体" w:hAnsi="宋体" w:eastAsia="宋体" w:cs="宋体"/>
          <w:sz w:val="24"/>
          <w:szCs w:val="24"/>
        </w:rPr>
        <w:t>磋商的最终报价作为成交价。同时，供应商的最终成交价在合同实施期间不因市场变化因素而变动。</w:t>
      </w:r>
    </w:p>
    <w:p>
      <w:pPr>
        <w:snapToGrid w:val="0"/>
        <w:spacing w:line="360" w:lineRule="auto"/>
        <w:ind w:left="0" w:leftChars="0" w:firstLine="468" w:firstLineChars="195"/>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bCs/>
          <w:sz w:val="24"/>
        </w:rPr>
        <w:t>由于新型冠状肺炎疫情的影响，因卫生防疫要求采取的措施、物资等一切费用包含在投标报价（即合同价）中，结算时不予调整。</w:t>
      </w:r>
    </w:p>
    <w:p>
      <w:pPr>
        <w:snapToGrid w:val="0"/>
        <w:spacing w:line="360" w:lineRule="auto"/>
        <w:ind w:firstLine="470" w:firstLineChars="196"/>
        <w:outlineLvl w:val="1"/>
        <w:rPr>
          <w:rFonts w:ascii="宋体"/>
          <w:sz w:val="24"/>
          <w:szCs w:val="24"/>
        </w:rPr>
      </w:pPr>
      <w:r>
        <w:rPr>
          <w:rFonts w:hint="eastAsia" w:ascii="宋体" w:hAnsi="宋体" w:cs="宋体"/>
          <w:sz w:val="24"/>
          <w:szCs w:val="24"/>
          <w:lang w:val="en-US" w:eastAsia="zh-CN"/>
        </w:rPr>
        <w:t>10</w:t>
      </w:r>
      <w:r>
        <w:rPr>
          <w:rFonts w:hint="eastAsia" w:ascii="宋体" w:hAnsi="宋体" w:cs="宋体"/>
          <w:sz w:val="24"/>
          <w:szCs w:val="24"/>
        </w:rPr>
        <w:t>、最低的磋商总价报价是成交的重要条件，但不是成交的唯一条件。</w:t>
      </w:r>
    </w:p>
    <w:p>
      <w:pPr>
        <w:snapToGrid w:val="0"/>
        <w:spacing w:line="360" w:lineRule="auto"/>
        <w:ind w:firstLine="496" w:firstLineChars="206"/>
        <w:outlineLvl w:val="1"/>
        <w:rPr>
          <w:rFonts w:ascii="宋体"/>
          <w:b/>
          <w:bCs/>
          <w:sz w:val="24"/>
          <w:szCs w:val="24"/>
        </w:rPr>
      </w:pPr>
      <w:r>
        <w:rPr>
          <w:rFonts w:hint="eastAsia" w:ascii="宋体" w:hAnsi="宋体" w:cs="宋体"/>
          <w:b/>
          <w:bCs/>
          <w:sz w:val="24"/>
          <w:szCs w:val="24"/>
        </w:rPr>
        <w:t>八、联合体参与磋商</w:t>
      </w:r>
    </w:p>
    <w:p>
      <w:pPr>
        <w:snapToGrid w:val="0"/>
        <w:spacing w:line="360" w:lineRule="auto"/>
        <w:ind w:firstLine="470" w:firstLineChars="196"/>
        <w:outlineLvl w:val="1"/>
        <w:rPr>
          <w:rFonts w:hint="eastAsia" w:ascii="宋体" w:hAnsi="宋体" w:cs="宋体"/>
          <w:sz w:val="24"/>
          <w:szCs w:val="24"/>
        </w:rPr>
      </w:pPr>
      <w:r>
        <w:rPr>
          <w:rFonts w:hint="eastAsia" w:ascii="宋体" w:hAnsi="宋体" w:cs="宋体"/>
          <w:sz w:val="24"/>
          <w:szCs w:val="24"/>
        </w:rPr>
        <w:t>不接受任何形式的联合体参与本项目的竞争性磋商。</w:t>
      </w:r>
    </w:p>
    <w:p>
      <w:pPr>
        <w:snapToGrid w:val="0"/>
        <w:spacing w:line="360" w:lineRule="auto"/>
        <w:ind w:firstLine="496" w:firstLineChars="206"/>
        <w:outlineLvl w:val="1"/>
        <w:rPr>
          <w:sz w:val="24"/>
          <w:szCs w:val="24"/>
        </w:rPr>
      </w:pPr>
      <w:r>
        <w:rPr>
          <w:rFonts w:hint="eastAsia" w:cs="宋体"/>
          <w:b/>
          <w:bCs/>
          <w:sz w:val="24"/>
          <w:szCs w:val="24"/>
        </w:rPr>
        <w:t>九、磋商响应文件的有效期</w:t>
      </w:r>
    </w:p>
    <w:p>
      <w:pPr>
        <w:snapToGrid w:val="0"/>
        <w:spacing w:line="360" w:lineRule="auto"/>
        <w:ind w:firstLine="480" w:firstLineChars="200"/>
        <w:rPr>
          <w:sz w:val="24"/>
          <w:szCs w:val="24"/>
        </w:rPr>
      </w:pPr>
      <w:r>
        <w:rPr>
          <w:rFonts w:hint="eastAsia" w:ascii="Times New Roman" w:hAnsi="Times New Roman" w:eastAsia="宋体" w:cs="宋体"/>
          <w:sz w:val="24"/>
          <w:szCs w:val="24"/>
        </w:rPr>
        <w:t>1、从磋商响应</w:t>
      </w:r>
      <w:r>
        <w:rPr>
          <w:rFonts w:hint="eastAsia" w:cs="宋体"/>
          <w:sz w:val="24"/>
          <w:szCs w:val="24"/>
        </w:rPr>
        <w:t>文件接收截止之日算起，</w:t>
      </w:r>
      <w:r>
        <w:rPr>
          <w:b/>
          <w:bCs/>
          <w:sz w:val="24"/>
          <w:szCs w:val="24"/>
        </w:rPr>
        <w:t>45</w:t>
      </w:r>
      <w:r>
        <w:rPr>
          <w:rFonts w:hint="eastAsia" w:cs="宋体"/>
          <w:sz w:val="24"/>
          <w:szCs w:val="24"/>
        </w:rPr>
        <w:t>个</w:t>
      </w:r>
      <w:r>
        <w:rPr>
          <w:sz w:val="24"/>
          <w:szCs w:val="24"/>
        </w:rPr>
        <w:t>“</w:t>
      </w:r>
      <w:r>
        <w:rPr>
          <w:rFonts w:hint="eastAsia" w:cs="宋体"/>
          <w:sz w:val="24"/>
          <w:szCs w:val="24"/>
        </w:rPr>
        <w:t>日历天</w:t>
      </w:r>
      <w:r>
        <w:rPr>
          <w:sz w:val="24"/>
          <w:szCs w:val="24"/>
        </w:rPr>
        <w:t>”</w:t>
      </w:r>
      <w:r>
        <w:rPr>
          <w:rFonts w:hint="eastAsia" w:cs="宋体"/>
          <w:sz w:val="24"/>
          <w:szCs w:val="24"/>
        </w:rPr>
        <w:t>内磋商响应书应保持有效。有效期短于这个规定期限的磋商响应，将被拒绝。</w:t>
      </w:r>
    </w:p>
    <w:p>
      <w:pPr>
        <w:snapToGrid w:val="0"/>
        <w:spacing w:line="360" w:lineRule="auto"/>
        <w:ind w:firstLine="480" w:firstLineChars="200"/>
        <w:textAlignment w:val="baseline"/>
      </w:pPr>
      <w:r>
        <w:rPr>
          <w:sz w:val="24"/>
          <w:szCs w:val="24"/>
        </w:rPr>
        <w:t>2</w:t>
      </w:r>
      <w:r>
        <w:rPr>
          <w:rFonts w:hint="eastAsia"/>
          <w:sz w:val="24"/>
          <w:szCs w:val="24"/>
        </w:rPr>
        <w:t>、</w:t>
      </w:r>
      <w:r>
        <w:rPr>
          <w:rFonts w:hint="eastAsia" w:cs="宋体"/>
          <w:sz w:val="24"/>
          <w:szCs w:val="24"/>
        </w:rPr>
        <w:t>在特殊情况下，采购代理机构可与磋商响应供应商协商延长磋商响应书的有效期。这种要求和答复都应以书面、传真、或电报的形式进行。同意延长有效期的磋商响应供应商不能修改磋商响应文件。拒绝接受延期要求的磋商响应供应商的磋商响应将被拒绝。</w:t>
      </w:r>
    </w:p>
    <w:p>
      <w:pPr>
        <w:snapToGrid w:val="0"/>
        <w:spacing w:line="360" w:lineRule="auto"/>
        <w:ind w:firstLine="482" w:firstLineChars="200"/>
        <w:outlineLvl w:val="1"/>
        <w:rPr>
          <w:rFonts w:ascii="宋体"/>
          <w:sz w:val="24"/>
          <w:szCs w:val="24"/>
        </w:rPr>
      </w:pPr>
      <w:r>
        <w:rPr>
          <w:rFonts w:hint="eastAsia" w:ascii="宋体" w:hAnsi="宋体" w:cs="宋体"/>
          <w:b/>
          <w:bCs/>
          <w:sz w:val="24"/>
          <w:szCs w:val="24"/>
        </w:rPr>
        <w:t>十、响应文件及</w:t>
      </w:r>
      <w:r>
        <w:rPr>
          <w:rFonts w:hint="eastAsia" w:ascii="宋体" w:hAnsi="宋体" w:cs="宋体"/>
          <w:b/>
          <w:bCs/>
          <w:kern w:val="0"/>
          <w:sz w:val="24"/>
          <w:szCs w:val="24"/>
        </w:rPr>
        <w:t>磋商</w:t>
      </w:r>
      <w:r>
        <w:rPr>
          <w:rFonts w:hint="eastAsia" w:ascii="宋体" w:hAnsi="宋体" w:cs="宋体"/>
          <w:b/>
          <w:bCs/>
          <w:sz w:val="24"/>
          <w:szCs w:val="24"/>
        </w:rPr>
        <w:t>费用</w:t>
      </w:r>
    </w:p>
    <w:p>
      <w:pPr>
        <w:snapToGrid w:val="0"/>
        <w:spacing w:line="360" w:lineRule="auto"/>
        <w:ind w:firstLine="480" w:firstLineChars="200"/>
        <w:rPr>
          <w:rFonts w:hint="eastAsia" w:cs="宋体"/>
          <w:sz w:val="24"/>
          <w:szCs w:val="24"/>
        </w:rPr>
      </w:pPr>
      <w:r>
        <w:rPr>
          <w:rFonts w:hint="eastAsia" w:cs="宋体"/>
          <w:sz w:val="24"/>
          <w:szCs w:val="24"/>
        </w:rPr>
        <w:t>1</w:t>
      </w:r>
      <w:r>
        <w:rPr>
          <w:rFonts w:hint="eastAsia" w:cs="宋体"/>
          <w:sz w:val="24"/>
          <w:szCs w:val="24"/>
          <w:lang w:eastAsia="zh-CN"/>
        </w:rPr>
        <w:t>、</w:t>
      </w:r>
      <w:r>
        <w:rPr>
          <w:rFonts w:hint="eastAsia" w:cs="宋体"/>
          <w:sz w:val="24"/>
          <w:szCs w:val="24"/>
        </w:rPr>
        <w:t>各投标供应商应承担其报名投标项目、编制</w:t>
      </w:r>
      <w:r>
        <w:rPr>
          <w:rFonts w:hint="eastAsia" w:cs="宋体"/>
          <w:sz w:val="24"/>
          <w:szCs w:val="24"/>
          <w:lang w:val="en-US" w:eastAsia="zh-CN"/>
        </w:rPr>
        <w:t>磋商响应</w:t>
      </w:r>
      <w:r>
        <w:rPr>
          <w:rFonts w:hint="eastAsia" w:cs="宋体"/>
          <w:sz w:val="24"/>
          <w:szCs w:val="24"/>
        </w:rPr>
        <w:t>文件以及递交</w:t>
      </w:r>
      <w:r>
        <w:rPr>
          <w:rFonts w:hint="eastAsia" w:cs="宋体"/>
          <w:sz w:val="24"/>
          <w:szCs w:val="24"/>
          <w:lang w:val="en-US" w:eastAsia="zh-CN"/>
        </w:rPr>
        <w:t>磋商响应</w:t>
      </w:r>
      <w:r>
        <w:rPr>
          <w:rFonts w:hint="eastAsia" w:cs="宋体"/>
          <w:sz w:val="24"/>
          <w:szCs w:val="24"/>
        </w:rPr>
        <w:t>文件所涉及的一切费用。无论投标结果如何，招标人对上述费用不负任何责任。</w:t>
      </w:r>
    </w:p>
    <w:p>
      <w:pPr>
        <w:snapToGrid w:val="0"/>
        <w:spacing w:line="360" w:lineRule="auto"/>
        <w:ind w:firstLine="472" w:firstLineChars="196"/>
        <w:outlineLvl w:val="1"/>
        <w:rPr>
          <w:rFonts w:hint="default" w:ascii="宋体" w:hAnsi="宋体" w:eastAsia="宋体" w:cs="宋体"/>
          <w:b/>
          <w:sz w:val="24"/>
          <w:szCs w:val="24"/>
          <w:lang w:val="en-US" w:eastAsia="zh-CN"/>
        </w:rPr>
      </w:pPr>
      <w:r>
        <w:rPr>
          <w:rFonts w:hint="eastAsia" w:ascii="宋体" w:hAnsi="宋体" w:cs="宋体"/>
          <w:b/>
          <w:sz w:val="24"/>
          <w:szCs w:val="24"/>
          <w:lang w:val="en-US" w:eastAsia="zh-CN"/>
        </w:rPr>
        <w:t>2、本项目的招标代理服务费2500元，评审费按时结算，</w:t>
      </w:r>
      <w:r>
        <w:rPr>
          <w:rFonts w:hint="eastAsia" w:ascii="宋体" w:hAnsi="宋体" w:cs="宋体"/>
          <w:sz w:val="24"/>
          <w:szCs w:val="24"/>
        </w:rPr>
        <w:t>成交供应商</w:t>
      </w:r>
      <w:r>
        <w:rPr>
          <w:rFonts w:hint="eastAsia" w:ascii="宋体" w:hAnsi="宋体" w:cs="宋体"/>
          <w:sz w:val="24"/>
          <w:szCs w:val="24"/>
          <w:lang w:val="en-US" w:eastAsia="zh-CN"/>
        </w:rPr>
        <w:t>在领取成交通知书时一次性支付给招标代理单位。</w:t>
      </w:r>
    </w:p>
    <w:p>
      <w:pPr>
        <w:snapToGrid w:val="0"/>
        <w:spacing w:line="360" w:lineRule="auto"/>
        <w:ind w:firstLine="472" w:firstLineChars="196"/>
        <w:outlineLvl w:val="1"/>
        <w:rPr>
          <w:rFonts w:ascii="宋体" w:hAnsi="宋体" w:cs="宋体"/>
          <w:b/>
          <w:sz w:val="24"/>
          <w:szCs w:val="24"/>
        </w:rPr>
      </w:pPr>
      <w:r>
        <w:rPr>
          <w:rFonts w:hint="eastAsia" w:ascii="宋体" w:hAnsi="宋体" w:cs="宋体"/>
          <w:b/>
          <w:sz w:val="24"/>
          <w:szCs w:val="24"/>
        </w:rPr>
        <w:t>十一、履约保证金</w:t>
      </w:r>
    </w:p>
    <w:p>
      <w:pPr>
        <w:snapToGrid w:val="0"/>
        <w:spacing w:line="360" w:lineRule="auto"/>
        <w:ind w:firstLine="470" w:firstLineChars="196"/>
        <w:outlineLvl w:val="1"/>
        <w:rPr>
          <w:rFonts w:ascii="宋体" w:hAnsi="宋体" w:cs="宋体"/>
          <w:sz w:val="24"/>
          <w:szCs w:val="24"/>
        </w:rPr>
      </w:pPr>
      <w:r>
        <w:rPr>
          <w:rFonts w:ascii="宋体" w:hAnsi="宋体" w:cs="宋体"/>
          <w:sz w:val="24"/>
          <w:szCs w:val="24"/>
        </w:rPr>
        <w:t>1</w:t>
      </w:r>
      <w:r>
        <w:rPr>
          <w:rFonts w:hint="eastAsia" w:ascii="宋体" w:hAnsi="宋体" w:cs="宋体"/>
          <w:sz w:val="24"/>
          <w:szCs w:val="24"/>
        </w:rPr>
        <w:t>、本项目成交后的履约保证金为项目中标价的</w:t>
      </w:r>
      <w:r>
        <w:rPr>
          <w:rFonts w:hint="eastAsia" w:ascii="宋体" w:hAnsi="宋体" w:cs="宋体"/>
          <w:sz w:val="24"/>
          <w:szCs w:val="24"/>
          <w:lang w:val="en-US" w:eastAsia="zh-CN"/>
        </w:rPr>
        <w:t>10</w:t>
      </w:r>
      <w:r>
        <w:rPr>
          <w:rFonts w:ascii="宋体" w:hAnsi="宋体" w:cs="宋体"/>
          <w:sz w:val="24"/>
          <w:szCs w:val="24"/>
        </w:rPr>
        <w:t>%</w:t>
      </w:r>
      <w:r>
        <w:rPr>
          <w:rFonts w:hint="eastAsia" w:ascii="宋体" w:hAnsi="宋体" w:cs="宋体"/>
          <w:sz w:val="24"/>
          <w:szCs w:val="24"/>
        </w:rPr>
        <w:t>。</w:t>
      </w:r>
    </w:p>
    <w:p>
      <w:pPr>
        <w:snapToGrid w:val="0"/>
        <w:spacing w:line="360" w:lineRule="auto"/>
        <w:ind w:firstLine="470" w:firstLineChars="196"/>
        <w:outlineLvl w:val="1"/>
        <w:rPr>
          <w:rFonts w:ascii="宋体"/>
          <w:sz w:val="24"/>
          <w:szCs w:val="24"/>
        </w:rPr>
      </w:pPr>
      <w:r>
        <w:rPr>
          <w:rFonts w:ascii="宋体" w:hAnsi="宋体" w:cs="宋体"/>
          <w:sz w:val="24"/>
          <w:szCs w:val="24"/>
        </w:rPr>
        <w:t>2</w:t>
      </w:r>
      <w:r>
        <w:rPr>
          <w:rFonts w:hint="eastAsia" w:ascii="宋体" w:hAnsi="宋体" w:cs="宋体"/>
          <w:sz w:val="24"/>
          <w:szCs w:val="24"/>
        </w:rPr>
        <w:t>、成交供应商的履约保证金须在采购代理通知发成交通知书之日起</w:t>
      </w:r>
      <w:r>
        <w:rPr>
          <w:rFonts w:ascii="宋体" w:hAnsi="宋体" w:cs="宋体"/>
          <w:sz w:val="24"/>
          <w:szCs w:val="24"/>
        </w:rPr>
        <w:t>3</w:t>
      </w:r>
      <w:r>
        <w:rPr>
          <w:rFonts w:hint="eastAsia" w:ascii="宋体" w:hAnsi="宋体" w:cs="宋体"/>
          <w:sz w:val="24"/>
          <w:szCs w:val="24"/>
        </w:rPr>
        <w:t>个工作日内汇入采购人账户，成交供应商凭“成交通知书”和已经汇至采购人账上的“履约保证金”凭证，并在采购代理通知发成交通知书之日起1</w:t>
      </w:r>
      <w:r>
        <w:rPr>
          <w:rFonts w:ascii="宋体" w:hAnsi="宋体" w:cs="宋体"/>
          <w:sz w:val="24"/>
          <w:szCs w:val="24"/>
        </w:rPr>
        <w:t>5</w:t>
      </w:r>
      <w:r>
        <w:rPr>
          <w:rFonts w:hint="eastAsia" w:ascii="宋体" w:hAnsi="宋体" w:cs="宋体"/>
          <w:sz w:val="24"/>
          <w:szCs w:val="24"/>
        </w:rPr>
        <w:t>日内与采购人签订合同。</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、成交供应商在按要求保质保量的完成该项目合同并通过验收后，采购人凭成交供应商提交的申请，一次性无息退还该合同项目的履约保证金。</w:t>
      </w:r>
    </w:p>
    <w:p>
      <w:pPr>
        <w:snapToGrid w:val="0"/>
        <w:spacing w:line="360" w:lineRule="auto"/>
        <w:ind w:firstLine="480" w:firstLineChars="200"/>
        <w:rPr>
          <w:rFonts w:hint="eastAsia" w:ascii="宋体" w:hAnsi="宋体" w:cs="宋体"/>
          <w:sz w:val="24"/>
          <w:szCs w:val="24"/>
        </w:rPr>
      </w:pPr>
      <w:r>
        <w:rPr>
          <w:rFonts w:ascii="宋体" w:hAnsi="宋体" w:cs="宋体"/>
          <w:sz w:val="24"/>
          <w:szCs w:val="24"/>
        </w:rPr>
        <w:t>4</w:t>
      </w:r>
      <w:r>
        <w:rPr>
          <w:rFonts w:hint="eastAsia" w:ascii="宋体" w:hAnsi="宋体" w:cs="宋体"/>
          <w:sz w:val="24"/>
          <w:szCs w:val="24"/>
        </w:rPr>
        <w:t>、由于成交供应商原因，在签订合同后出现不按合同履行的情况，采购人有权将履约保证金作为违约金，全额不予退还，同时采购人亦有权终止合同，成交供应商还须承担相应的法律赔偿责任。</w:t>
      </w:r>
    </w:p>
    <w:p>
      <w:pPr>
        <w:snapToGrid w:val="0"/>
        <w:spacing w:line="360" w:lineRule="auto"/>
        <w:ind w:firstLine="496" w:firstLineChars="206"/>
        <w:textAlignment w:val="baseline"/>
        <w:rPr>
          <w:rFonts w:hint="eastAsia" w:ascii="宋体" w:hAnsi="宋体" w:cs="宋体"/>
          <w:b/>
          <w:color w:val="000000"/>
          <w:sz w:val="24"/>
          <w:szCs w:val="24"/>
        </w:rPr>
      </w:pPr>
      <w:r>
        <w:rPr>
          <w:rFonts w:hint="eastAsia" w:ascii="宋体" w:hAnsi="宋体" w:cs="宋体"/>
          <w:b/>
          <w:color w:val="000000"/>
          <w:sz w:val="24"/>
          <w:szCs w:val="24"/>
        </w:rPr>
        <w:t>十二、付款方式</w:t>
      </w:r>
    </w:p>
    <w:p>
      <w:pPr>
        <w:snapToGrid w:val="0"/>
        <w:spacing w:line="360" w:lineRule="auto"/>
        <w:ind w:firstLine="494" w:firstLineChars="206"/>
        <w:outlineLvl w:val="1"/>
        <w:rPr>
          <w:rFonts w:hint="eastAsia" w:asciiTheme="minorEastAsia" w:hAnsiTheme="minorEastAsia" w:eastAsiaTheme="minorEastAsia" w:cstheme="minorEastAsia"/>
          <w:b w:val="0"/>
          <w:bCs w:val="0"/>
          <w:kern w:val="0"/>
          <w:sz w:val="24"/>
          <w:highlight w:val="none"/>
          <w:lang w:eastAsia="zh-CN"/>
        </w:rPr>
      </w:pPr>
      <w:r>
        <w:rPr>
          <w:rFonts w:hint="eastAsia" w:asciiTheme="minorEastAsia" w:hAnsiTheme="minorEastAsia" w:eastAsiaTheme="minorEastAsia" w:cstheme="minorEastAsia"/>
          <w:b w:val="0"/>
          <w:bCs w:val="0"/>
          <w:kern w:val="0"/>
          <w:sz w:val="24"/>
          <w:highlight w:val="none"/>
        </w:rPr>
        <w:t>本合同签订之日起每满半年结算一次，</w:t>
      </w:r>
      <w:r>
        <w:rPr>
          <w:rFonts w:hint="eastAsia" w:asciiTheme="minorEastAsia" w:hAnsiTheme="minorEastAsia" w:eastAsiaTheme="minorEastAsia" w:cstheme="minorEastAsia"/>
          <w:b w:val="0"/>
          <w:bCs w:val="0"/>
          <w:kern w:val="0"/>
          <w:sz w:val="24"/>
          <w:highlight w:val="none"/>
          <w:lang w:eastAsia="zh-CN"/>
        </w:rPr>
        <w:t>付至合同总价的</w:t>
      </w:r>
      <w:r>
        <w:rPr>
          <w:rFonts w:hint="eastAsia" w:asciiTheme="minorEastAsia" w:hAnsiTheme="minorEastAsia" w:eastAsiaTheme="minorEastAsia" w:cstheme="minorEastAsia"/>
          <w:b w:val="0"/>
          <w:bCs w:val="0"/>
          <w:kern w:val="0"/>
          <w:sz w:val="24"/>
          <w:highlight w:val="none"/>
          <w:lang w:val="en-US" w:eastAsia="zh-CN"/>
        </w:rPr>
        <w:t>50%，</w:t>
      </w:r>
      <w:r>
        <w:rPr>
          <w:rFonts w:hint="eastAsia" w:asciiTheme="minorEastAsia" w:hAnsiTheme="minorEastAsia" w:eastAsiaTheme="minorEastAsia" w:cstheme="minorEastAsia"/>
          <w:b w:val="0"/>
          <w:bCs w:val="0"/>
          <w:kern w:val="0"/>
          <w:sz w:val="24"/>
          <w:highlight w:val="none"/>
        </w:rPr>
        <w:t>甲方应在本合同签订之日起每满半年后一个月内且在收到乙方向甲方提供的合法有效、与付款金额等额的财务发票后向乙方支付前述款项</w:t>
      </w:r>
      <w:r>
        <w:rPr>
          <w:rFonts w:hint="eastAsia" w:asciiTheme="minorEastAsia" w:hAnsiTheme="minorEastAsia" w:eastAsiaTheme="minorEastAsia" w:cstheme="minorEastAsia"/>
          <w:b w:val="0"/>
          <w:bCs w:val="0"/>
          <w:kern w:val="0"/>
          <w:sz w:val="24"/>
          <w:highlight w:val="none"/>
          <w:lang w:eastAsia="zh-CN"/>
        </w:rPr>
        <w:t>。</w:t>
      </w:r>
    </w:p>
    <w:p>
      <w:pPr>
        <w:snapToGrid w:val="0"/>
        <w:spacing w:line="360" w:lineRule="auto"/>
        <w:ind w:firstLine="496" w:firstLineChars="206"/>
        <w:outlineLvl w:val="1"/>
        <w:rPr>
          <w:rFonts w:ascii="宋体" w:hAnsi="宋体" w:cs="宋体"/>
          <w:b/>
          <w:color w:val="auto"/>
          <w:sz w:val="24"/>
          <w:szCs w:val="24"/>
        </w:rPr>
      </w:pPr>
      <w:r>
        <w:rPr>
          <w:rFonts w:hint="eastAsia" w:ascii="宋体" w:hAnsi="宋体" w:cs="宋体"/>
          <w:b/>
          <w:bCs/>
          <w:color w:val="auto"/>
          <w:sz w:val="24"/>
          <w:szCs w:val="24"/>
        </w:rPr>
        <w:t>十三、</w:t>
      </w:r>
      <w:r>
        <w:rPr>
          <w:rFonts w:hint="eastAsia" w:ascii="宋体" w:hAnsi="宋体" w:cs="宋体"/>
          <w:b/>
          <w:color w:val="auto"/>
          <w:sz w:val="24"/>
          <w:szCs w:val="24"/>
        </w:rPr>
        <w:t>未尽事宜</w:t>
      </w:r>
    </w:p>
    <w:p>
      <w:pPr>
        <w:snapToGrid w:val="0"/>
        <w:spacing w:line="360" w:lineRule="auto"/>
        <w:ind w:firstLine="470" w:firstLineChars="196"/>
        <w:outlineLvl w:val="1"/>
        <w:rPr>
          <w:rFonts w:ascii="宋体" w:hAnsi="宋体" w:cs="宋体"/>
          <w:color w:val="auto"/>
          <w:sz w:val="24"/>
          <w:szCs w:val="24"/>
        </w:rPr>
        <w:sectPr>
          <w:headerReference r:id="rId4" w:type="first"/>
          <w:headerReference r:id="rId3" w:type="default"/>
          <w:footerReference r:id="rId5" w:type="default"/>
          <w:type w:val="continuous"/>
          <w:pgSz w:w="11906" w:h="16838"/>
          <w:pgMar w:top="1440" w:right="1361" w:bottom="1440" w:left="1361" w:header="851" w:footer="992" w:gutter="0"/>
          <w:pgNumType w:fmt="numberInDash"/>
          <w:cols w:space="720" w:num="1"/>
          <w:titlePg/>
          <w:docGrid w:linePitch="312" w:charSpace="0"/>
        </w:sectPr>
      </w:pPr>
      <w:r>
        <w:rPr>
          <w:rFonts w:hint="eastAsia" w:ascii="宋体" w:hAnsi="宋体" w:cs="宋体"/>
          <w:color w:val="auto"/>
          <w:sz w:val="24"/>
          <w:szCs w:val="24"/>
        </w:rPr>
        <w:t>按《中华人民共和国政府采购法》、《政府采</w:t>
      </w:r>
      <w:bookmarkStart w:id="32" w:name="_Toc363573855"/>
      <w:r>
        <w:rPr>
          <w:rFonts w:hint="eastAsia" w:ascii="宋体" w:hAnsi="宋体" w:cs="宋体"/>
          <w:color w:val="auto"/>
          <w:sz w:val="24"/>
          <w:szCs w:val="24"/>
        </w:rPr>
        <w:t>购竞争性磋商采购方式管理暂行办法》及其他有关法律法规的规定执行。</w:t>
      </w:r>
    </w:p>
    <w:bookmarkEnd w:id="22"/>
    <w:bookmarkEnd w:id="23"/>
    <w:bookmarkEnd w:id="24"/>
    <w:bookmarkEnd w:id="25"/>
    <w:bookmarkEnd w:id="26"/>
    <w:bookmarkEnd w:id="27"/>
    <w:bookmarkEnd w:id="28"/>
    <w:bookmarkEnd w:id="29"/>
    <w:bookmarkEnd w:id="30"/>
    <w:bookmarkEnd w:id="31"/>
    <w:bookmarkEnd w:id="32"/>
    <w:p>
      <w:pPr>
        <w:spacing w:line="460" w:lineRule="exact"/>
        <w:jc w:val="center"/>
        <w:rPr>
          <w:rFonts w:ascii="宋体" w:hAnsi="宋体" w:cs="宋体"/>
          <w:b/>
          <w:bCs/>
          <w:w w:val="80"/>
          <w:sz w:val="44"/>
          <w:szCs w:val="44"/>
        </w:rPr>
      </w:pPr>
      <w:bookmarkStart w:id="33" w:name="_Toc521203420"/>
      <w:bookmarkStart w:id="34" w:name="_Toc94544872"/>
      <w:bookmarkStart w:id="35" w:name="_Toc13803483"/>
      <w:bookmarkStart w:id="36" w:name="_Toc94544746"/>
      <w:bookmarkStart w:id="37" w:name="_Toc94585342"/>
      <w:bookmarkStart w:id="38" w:name="_Toc11554641"/>
      <w:bookmarkStart w:id="39" w:name="_Toc521201599"/>
      <w:bookmarkStart w:id="40" w:name="_Toc12670505"/>
      <w:bookmarkStart w:id="41" w:name="_Toc11499586"/>
      <w:bookmarkStart w:id="42" w:name="_Toc8895741"/>
      <w:bookmarkStart w:id="43" w:name="_Toc11500282"/>
      <w:bookmarkStart w:id="44" w:name="_Toc363573856"/>
      <w:r>
        <w:rPr>
          <w:rFonts w:hint="eastAsia" w:ascii="宋体" w:hAnsi="宋体" w:cs="宋体"/>
          <w:b/>
          <w:bCs/>
          <w:w w:val="80"/>
          <w:sz w:val="44"/>
          <w:szCs w:val="44"/>
        </w:rPr>
        <w:t>第三章  项目需求</w:t>
      </w:r>
    </w:p>
    <w:p>
      <w:pPr>
        <w:pStyle w:val="2"/>
      </w:pPr>
    </w:p>
    <w:p>
      <w:pPr>
        <w:snapToGrid w:val="0"/>
        <w:spacing w:line="360" w:lineRule="auto"/>
        <w:ind w:left="-210" w:leftChars="-100" w:firstLine="520" w:firstLineChars="216"/>
        <w:rPr>
          <w:rFonts w:ascii="宋体" w:hAnsi="宋体" w:cs="宋体"/>
          <w:kern w:val="0"/>
          <w:sz w:val="24"/>
          <w:szCs w:val="24"/>
          <w:lang w:val="zh-CN"/>
        </w:rPr>
      </w:pPr>
      <w:r>
        <w:rPr>
          <w:rFonts w:hint="eastAsia" w:ascii="宋体" w:hAnsi="宋体" w:cs="宋体"/>
          <w:b/>
          <w:sz w:val="24"/>
          <w:szCs w:val="24"/>
        </w:rPr>
        <w:t>特别提醒：</w:t>
      </w:r>
      <w:r>
        <w:rPr>
          <w:rFonts w:hint="eastAsia" w:ascii="宋体" w:hAnsi="宋体" w:cs="宋体"/>
          <w:b/>
          <w:kern w:val="0"/>
          <w:sz w:val="24"/>
          <w:szCs w:val="24"/>
          <w:lang w:val="zh-CN"/>
        </w:rPr>
        <w:t>请供应商制作投标响应文件时仔细研究项目需求说明。</w:t>
      </w:r>
      <w:r>
        <w:rPr>
          <w:rFonts w:hint="eastAsia" w:ascii="宋体" w:hAnsi="宋体" w:cs="宋体"/>
          <w:kern w:val="0"/>
          <w:sz w:val="24"/>
          <w:szCs w:val="24"/>
          <w:lang w:val="zh-CN"/>
        </w:rPr>
        <w:t>供应商不能简单照搬照抄采购单位项目需求说明中的技术要求，必须作实事求是的响应。如照搬照抄项目需求说明中的技术要求，成交后供应商在同采购单位签订合同和履约环节中不得提出异议，一切后果和损失由成交供应商承担。如供应商提供的货物和服务同采购单位提出的项目需求说明中的技术要求不同的，必须在《技术条款响应一览表》上明示，如不明示的视同完全响应。</w:t>
      </w:r>
    </w:p>
    <w:p>
      <w:pPr>
        <w:snapToGrid w:val="0"/>
        <w:spacing w:line="440" w:lineRule="exact"/>
        <w:rPr>
          <w:rFonts w:hint="eastAsia"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lang w:val="en-US" w:eastAsia="zh-CN"/>
        </w:rPr>
        <w:t>一、本项目</w:t>
      </w:r>
      <w:r>
        <w:rPr>
          <w:rFonts w:hint="eastAsia" w:cs="Times New Roman" w:asciiTheme="minorEastAsia" w:hAnsiTheme="minorEastAsia" w:eastAsiaTheme="minorEastAsia"/>
          <w:b/>
          <w:bCs/>
          <w:sz w:val="24"/>
          <w:szCs w:val="24"/>
        </w:rPr>
        <w:t>维保电梯</w:t>
      </w:r>
      <w:r>
        <w:rPr>
          <w:rFonts w:hint="eastAsia" w:cs="Times New Roman" w:asciiTheme="minorEastAsia" w:hAnsiTheme="minorEastAsia" w:eastAsiaTheme="minorEastAsia"/>
          <w:b/>
          <w:bCs/>
          <w:sz w:val="24"/>
          <w:szCs w:val="24"/>
          <w:lang w:val="en-US" w:eastAsia="zh-CN"/>
        </w:rPr>
        <w:t>信息</w:t>
      </w:r>
      <w:r>
        <w:rPr>
          <w:rFonts w:hint="eastAsia" w:cs="Times New Roman" w:asciiTheme="minorEastAsia" w:hAnsiTheme="minorEastAsia" w:eastAsiaTheme="minorEastAsia"/>
          <w:b/>
          <w:bCs/>
          <w:sz w:val="24"/>
          <w:szCs w:val="24"/>
        </w:rPr>
        <w:t>如下：</w:t>
      </w:r>
    </w:p>
    <w:tbl>
      <w:tblPr>
        <w:tblStyle w:val="51"/>
        <w:tblpPr w:leftFromText="180" w:rightFromText="180" w:vertAnchor="text" w:horzAnchor="page" w:tblpX="1301" w:tblpY="40"/>
        <w:tblOverlap w:val="never"/>
        <w:tblW w:w="93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36"/>
        <w:gridCol w:w="1178"/>
        <w:gridCol w:w="1178"/>
        <w:gridCol w:w="1178"/>
        <w:gridCol w:w="1976"/>
        <w:gridCol w:w="11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63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使用单位</w:t>
            </w:r>
          </w:p>
        </w:tc>
        <w:tc>
          <w:tcPr>
            <w:tcW w:w="117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层数</w:t>
            </w:r>
          </w:p>
        </w:tc>
        <w:tc>
          <w:tcPr>
            <w:tcW w:w="117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载重量</w:t>
            </w:r>
          </w:p>
        </w:tc>
        <w:tc>
          <w:tcPr>
            <w:tcW w:w="117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速度</w:t>
            </w:r>
          </w:p>
        </w:tc>
        <w:tc>
          <w:tcPr>
            <w:tcW w:w="19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设备名称</w:t>
            </w:r>
          </w:p>
        </w:tc>
        <w:tc>
          <w:tcPr>
            <w:tcW w:w="117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0000"/>
                <w:sz w:val="20"/>
                <w:szCs w:val="20"/>
                <w:u w:val="none"/>
              </w:rPr>
            </w:pPr>
            <w:r>
              <w:rPr>
                <w:rFonts w:hint="eastAsia" w:ascii="微软雅黑" w:hAnsi="微软雅黑" w:eastAsia="微软雅黑" w:cs="微软雅黑"/>
                <w:b/>
                <w:bCs/>
                <w:i w:val="0"/>
                <w:iCs w:val="0"/>
                <w:color w:val="FF0000"/>
                <w:kern w:val="0"/>
                <w:sz w:val="20"/>
                <w:szCs w:val="20"/>
                <w:u w:val="none"/>
                <w:lang w:val="en-US" w:eastAsia="zh-CN" w:bidi="ar"/>
              </w:rPr>
              <w:t>电梯品牌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9/9/9</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1.75m/s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曳引驱动乘客电梯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9/9/9</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1.75m/s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曳引驱动乘客电梯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2/2/2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曳引驱动乘客电梯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4/3/3</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曳引驱动载货电梯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4/3/3</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曳引驱动载货电梯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2/2/2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曳引驱动载货电梯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2/2/2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曳引驱动载货电梯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2/2/2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曳引驱动载货电梯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2/2/2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曳引驱动载货电梯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4/4/4</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曳引驱动载货电梯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3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南通市保安服务有限公司</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4/4/4</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2000kg</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0.5m/s</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曳引驱动载货电梯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通力</w:t>
            </w:r>
          </w:p>
        </w:tc>
      </w:tr>
    </w:tbl>
    <w:p>
      <w:pPr>
        <w:spacing w:line="420" w:lineRule="exact"/>
        <w:rPr>
          <w:rFonts w:ascii="宋体" w:hAnsi="宋体" w:cs="宋体"/>
          <w:b/>
          <w:bCs/>
          <w:color w:val="000000"/>
          <w:w w:val="80"/>
          <w:sz w:val="44"/>
          <w:szCs w:val="44"/>
          <w:highlight w:val="none"/>
        </w:rPr>
      </w:pP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bCs/>
          <w:sz w:val="24"/>
          <w:lang w:val="en-US" w:eastAsia="zh-CN"/>
        </w:rPr>
      </w:pPr>
      <w:bookmarkStart w:id="45" w:name="_Toc4983"/>
      <w:r>
        <w:rPr>
          <w:rFonts w:hint="eastAsia" w:asciiTheme="minorEastAsia" w:hAnsiTheme="minorEastAsia" w:eastAsiaTheme="minorEastAsia" w:cstheme="minorEastAsia"/>
          <w:b/>
          <w:bCs/>
          <w:sz w:val="24"/>
          <w:lang w:val="en-US" w:eastAsia="zh-CN"/>
        </w:rPr>
        <w:t>二、服务标准</w:t>
      </w:r>
      <w:bookmarkEnd w:id="45"/>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①电梯使用管理与维修保养规则TSGT5001-2009</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②电梯维修保养安全管理规范DB33/728—2009</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③电梯维修规范GB/T18775-2002</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④电梯安装使用维护说明书</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⑤维保合同</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bCs/>
          <w:sz w:val="24"/>
          <w:lang w:val="en-US" w:eastAsia="zh-CN"/>
        </w:rPr>
      </w:pPr>
      <w:bookmarkStart w:id="46" w:name="_Toc1428"/>
      <w:r>
        <w:rPr>
          <w:rFonts w:hint="eastAsia" w:asciiTheme="minorEastAsia" w:hAnsiTheme="minorEastAsia" w:eastAsiaTheme="minorEastAsia" w:cstheme="minorEastAsia"/>
          <w:b/>
          <w:bCs/>
          <w:sz w:val="24"/>
          <w:lang w:val="en-US" w:eastAsia="zh-CN"/>
        </w:rPr>
        <w:t>三、检验标准</w:t>
      </w:r>
      <w:bookmarkEnd w:id="46"/>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①电梯监督检验和定期检验规则TSG7001-2009</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②自动扶梯与自动人行道监督检验规程</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以上规章、标准不论有无年代号，除有特别说明的以外，均以最新有效版本为准。</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bCs/>
          <w:sz w:val="24"/>
          <w:lang w:val="en-US" w:eastAsia="zh-CN"/>
        </w:rPr>
      </w:pPr>
      <w:bookmarkStart w:id="47" w:name="_Toc9779"/>
      <w:r>
        <w:rPr>
          <w:rFonts w:hint="eastAsia" w:asciiTheme="minorEastAsia" w:hAnsiTheme="minorEastAsia" w:eastAsiaTheme="minorEastAsia" w:cstheme="minorEastAsia"/>
          <w:b/>
          <w:bCs/>
          <w:sz w:val="24"/>
          <w:lang w:val="en-US" w:eastAsia="zh-CN"/>
        </w:rPr>
        <w:t>四、电梯维护保养服务要求</w:t>
      </w:r>
      <w:bookmarkEnd w:id="47"/>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1、保证电梯安全运行。</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2、在保证电梯安全运行的前提下满足正常维护保养的需要。</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3、在保证电梯安全运行的前提下降低电梯维护保养成本。</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4、日常维护保养应遵守的标准：</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 xml:space="preserve">①、电梯使用管理与维修保养规则        </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②、江苏省电梯安全监察办法</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 xml:space="preserve">③、电梯维修规范             </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④、电梯安装使用维护说明书</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⑤、维保合同</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5、对所维保电梯的保养计划书。</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6、要求维护保养驻点服务，驻点服务的人员应固定且数量不少于2人标准配备，并提供驻点人员的姓名、通迅号码并提供他们有效的特种设备作业人员资格证书复印件。（须加盖聘用单位印章）</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7、须提供24小时的应急响应服务，且能在接到故障或事故报警后30分钟内到达现场，并能提供正常连续的服务直至故障或事故排除；发生电梯困人事故接警后在30分钟内到达现场，在到达现场后30分钟内把乘客从轿厢中救出；对非电子板原因的常见故障要求在60分钟内排除，对电子板原因的故障应在普遍认可的合理时间内解决。</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8、对更换下来的电子器件应由招标单位保管或由招标单位与维保单位共同销毁。</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9、在日常维护保养期届满时，须经法定定期检验并无因维护保养原因的不合格项目存在。</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10、如因使用不当造成电梯故障或损坏，维保单位有责任负责及时将其修复或更换，使电梯恢复安全、正常运行，费用双方另行协商确定。</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13、使用单位保留是否签署续签保养合同的权力。</w:t>
      </w:r>
    </w:p>
    <w:p>
      <w:pPr>
        <w:pStyle w:val="24"/>
        <w:tabs>
          <w:tab w:val="left" w:pos="0"/>
        </w:tabs>
        <w:snapToGrid w:val="0"/>
        <w:spacing w:line="360" w:lineRule="auto"/>
        <w:ind w:left="142"/>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lang w:val="en-US" w:eastAsia="zh-CN"/>
        </w:rPr>
        <w:t>五、</w:t>
      </w:r>
      <w:r>
        <w:rPr>
          <w:rFonts w:hint="eastAsia" w:asciiTheme="minorEastAsia" w:hAnsiTheme="minorEastAsia" w:eastAsiaTheme="minorEastAsia" w:cstheme="minorEastAsia"/>
          <w:b/>
          <w:bCs/>
          <w:kern w:val="2"/>
          <w:sz w:val="24"/>
          <w:szCs w:val="24"/>
        </w:rPr>
        <w:t>付款方式</w:t>
      </w:r>
    </w:p>
    <w:p>
      <w:pPr>
        <w:spacing w:line="460" w:lineRule="exact"/>
        <w:ind w:firstLine="480" w:firstLineChars="200"/>
        <w:rPr>
          <w:rFonts w:ascii="宋体" w:hAnsi="宋体" w:cs="宋体"/>
          <w:b/>
          <w:bCs/>
          <w:w w:val="80"/>
          <w:sz w:val="44"/>
          <w:szCs w:val="44"/>
          <w:highlight w:val="none"/>
        </w:rPr>
      </w:pPr>
      <w:r>
        <w:rPr>
          <w:rFonts w:hint="eastAsia" w:asciiTheme="minorEastAsia" w:hAnsiTheme="minorEastAsia" w:eastAsiaTheme="minorEastAsia" w:cstheme="minorEastAsia"/>
          <w:b w:val="0"/>
          <w:bCs w:val="0"/>
          <w:kern w:val="0"/>
          <w:sz w:val="24"/>
          <w:highlight w:val="none"/>
        </w:rPr>
        <w:t>1、本合同签订之日起每满半年结算一次，</w:t>
      </w:r>
      <w:r>
        <w:rPr>
          <w:rFonts w:hint="eastAsia" w:asciiTheme="minorEastAsia" w:hAnsiTheme="minorEastAsia" w:eastAsiaTheme="minorEastAsia" w:cstheme="minorEastAsia"/>
          <w:b w:val="0"/>
          <w:bCs w:val="0"/>
          <w:kern w:val="0"/>
          <w:sz w:val="24"/>
          <w:highlight w:val="none"/>
          <w:lang w:eastAsia="zh-CN"/>
        </w:rPr>
        <w:t>付至合同总价的</w:t>
      </w:r>
      <w:r>
        <w:rPr>
          <w:rFonts w:hint="eastAsia" w:asciiTheme="minorEastAsia" w:hAnsiTheme="minorEastAsia" w:eastAsiaTheme="minorEastAsia" w:cstheme="minorEastAsia"/>
          <w:b w:val="0"/>
          <w:bCs w:val="0"/>
          <w:kern w:val="0"/>
          <w:sz w:val="24"/>
          <w:highlight w:val="none"/>
          <w:lang w:val="en-US" w:eastAsia="zh-CN"/>
        </w:rPr>
        <w:t>50%，</w:t>
      </w:r>
      <w:r>
        <w:rPr>
          <w:rFonts w:hint="eastAsia" w:asciiTheme="minorEastAsia" w:hAnsiTheme="minorEastAsia" w:eastAsiaTheme="minorEastAsia" w:cstheme="minorEastAsia"/>
          <w:b w:val="0"/>
          <w:bCs w:val="0"/>
          <w:kern w:val="0"/>
          <w:sz w:val="24"/>
          <w:highlight w:val="none"/>
        </w:rPr>
        <w:t>甲方应在本合同签订之日起每满半年后一个月内且在收到乙方向甲方提供的合法有效、与付款金额等额的财务发票后向乙方支付前述款项</w:t>
      </w:r>
      <w:r>
        <w:rPr>
          <w:rFonts w:hint="eastAsia" w:asciiTheme="minorEastAsia" w:hAnsiTheme="minorEastAsia" w:eastAsiaTheme="minorEastAsia" w:cstheme="minorEastAsia"/>
          <w:b w:val="0"/>
          <w:bCs w:val="0"/>
          <w:kern w:val="0"/>
          <w:sz w:val="24"/>
          <w:highlight w:val="none"/>
          <w:lang w:eastAsia="zh-CN"/>
        </w:rPr>
        <w:t>。</w:t>
      </w:r>
    </w:p>
    <w:p>
      <w:pPr>
        <w:pStyle w:val="62"/>
        <w:sectPr>
          <w:pgSz w:w="11906" w:h="16838"/>
          <w:pgMar w:top="1440" w:right="1361" w:bottom="1440" w:left="1361" w:header="851" w:footer="992" w:gutter="0"/>
          <w:cols w:space="720" w:num="1"/>
          <w:docGrid w:type="lines" w:linePitch="312" w:charSpace="0"/>
        </w:sectPr>
      </w:pPr>
    </w:p>
    <w:p>
      <w:pPr>
        <w:spacing w:line="460" w:lineRule="exact"/>
        <w:jc w:val="center"/>
        <w:rPr>
          <w:rFonts w:ascii="宋体"/>
          <w:kern w:val="0"/>
          <w:sz w:val="32"/>
          <w:szCs w:val="32"/>
        </w:rPr>
      </w:pPr>
      <w:r>
        <w:rPr>
          <w:rFonts w:hint="eastAsia" w:ascii="宋体" w:hAnsi="宋体" w:cs="宋体"/>
          <w:b/>
          <w:bCs/>
          <w:w w:val="80"/>
          <w:sz w:val="44"/>
          <w:szCs w:val="44"/>
        </w:rPr>
        <w:t>第四章</w:t>
      </w:r>
      <w:bookmarkEnd w:id="33"/>
      <w:bookmarkEnd w:id="34"/>
      <w:bookmarkEnd w:id="35"/>
      <w:bookmarkEnd w:id="36"/>
      <w:bookmarkEnd w:id="37"/>
      <w:bookmarkEnd w:id="38"/>
      <w:bookmarkEnd w:id="39"/>
      <w:bookmarkEnd w:id="40"/>
      <w:bookmarkEnd w:id="41"/>
      <w:bookmarkEnd w:id="42"/>
      <w:bookmarkEnd w:id="43"/>
      <w:bookmarkStart w:id="48" w:name="_Toc43217893"/>
      <w:bookmarkStart w:id="49" w:name="_Toc85627670"/>
      <w:bookmarkStart w:id="50" w:name="_Toc37322565"/>
      <w:bookmarkStart w:id="51" w:name="_Toc182848996"/>
      <w:bookmarkStart w:id="52" w:name="_Toc38121794"/>
      <w:bookmarkStart w:id="53" w:name="_Toc94544747"/>
      <w:bookmarkStart w:id="54" w:name="_Toc11499587"/>
      <w:bookmarkStart w:id="55" w:name="_Toc11500283"/>
      <w:bookmarkStart w:id="56" w:name="_Toc8895742"/>
      <w:bookmarkStart w:id="57" w:name="_Toc11554642"/>
      <w:bookmarkStart w:id="58" w:name="_Toc12670506"/>
      <w:bookmarkStart w:id="59" w:name="_Toc94544873"/>
      <w:bookmarkStart w:id="60" w:name="_Toc13803484"/>
      <w:r>
        <w:rPr>
          <w:rFonts w:hint="eastAsia" w:ascii="宋体" w:hAnsi="宋体" w:cs="宋体"/>
          <w:b/>
          <w:bCs/>
          <w:w w:val="80"/>
          <w:sz w:val="44"/>
          <w:szCs w:val="44"/>
        </w:rPr>
        <w:t xml:space="preserve">  评审方法和程序</w:t>
      </w:r>
      <w:bookmarkEnd w:id="44"/>
    </w:p>
    <w:bookmarkEnd w:id="48"/>
    <w:bookmarkEnd w:id="49"/>
    <w:bookmarkEnd w:id="50"/>
    <w:bookmarkEnd w:id="51"/>
    <w:bookmarkEnd w:id="52"/>
    <w:p>
      <w:pPr>
        <w:snapToGrid w:val="0"/>
        <w:spacing w:line="480" w:lineRule="exact"/>
        <w:ind w:firstLine="482" w:firstLineChars="200"/>
        <w:outlineLvl w:val="1"/>
        <w:rPr>
          <w:rFonts w:ascii="宋体"/>
          <w:b/>
          <w:bCs/>
          <w:sz w:val="24"/>
          <w:szCs w:val="24"/>
        </w:rPr>
      </w:pPr>
      <w:bookmarkStart w:id="61" w:name="_Toc363573857"/>
      <w:bookmarkEnd w:id="61"/>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一、代理机构组织磋商</w:t>
      </w:r>
    </w:p>
    <w:p>
      <w:pPr>
        <w:snapToGrid w:val="0"/>
        <w:spacing w:line="360" w:lineRule="auto"/>
        <w:ind w:firstLine="480"/>
        <w:rPr>
          <w:rFonts w:hint="eastAsia" w:ascii="宋体"/>
          <w:sz w:val="24"/>
          <w:szCs w:val="24"/>
        </w:rPr>
      </w:pPr>
      <w:r>
        <w:rPr>
          <w:rFonts w:ascii="宋体" w:hAnsi="宋体" w:cs="宋体"/>
          <w:sz w:val="24"/>
          <w:szCs w:val="24"/>
        </w:rPr>
        <w:t>1</w:t>
      </w:r>
      <w:r>
        <w:rPr>
          <w:rFonts w:hint="eastAsia" w:ascii="宋体" w:hAnsi="宋体" w:cs="宋体"/>
          <w:sz w:val="24"/>
          <w:szCs w:val="24"/>
        </w:rPr>
        <w:t>、本次竞争性磋商依据《中华人民共和国政府采购法》、《政府采购竞争性磋商采购方式管理暂行办法》及有关法规成立磋商小组。</w:t>
      </w:r>
    </w:p>
    <w:p>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采用竞争性磋商方式的政府采购项目，评审专家应当从政府采购评审专家库内相关专业的专家名单中随机抽取。情况特殊、通过随机方式难以确定合适的评审专家的，经主管预算单位同意，可以自行选定评审专家。</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、磋商小组的职责：</w:t>
      </w:r>
    </w:p>
    <w:p>
      <w:pPr>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）磋商小组成员应当按照客观、公正、审慎的原则，根据磋商文件规定的评审程序、评审方法和评审标准进行独立评审。</w:t>
      </w:r>
    </w:p>
    <w:p>
      <w:pPr>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）磋商小组成员应当遵守评审工作纪律，不得泄露评审情况和评审中获悉的商业秘密，对个人的评审意见承担法律责任。</w:t>
      </w:r>
    </w:p>
    <w:p>
      <w:pPr>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）磋商小组成员在评审过程中发现供应商有行贿、提供虚假材料或者串通等违法行为的，应当及时向财政部门报告</w:t>
      </w:r>
      <w:r>
        <w:rPr>
          <w:rFonts w:ascii="宋体" w:cs="宋体"/>
          <w:sz w:val="24"/>
          <w:szCs w:val="24"/>
        </w:rPr>
        <w:t>,</w:t>
      </w:r>
      <w:r>
        <w:rPr>
          <w:rFonts w:hint="eastAsia" w:ascii="宋体" w:hAnsi="宋体" w:cs="宋体"/>
          <w:sz w:val="24"/>
          <w:szCs w:val="24"/>
        </w:rPr>
        <w:t>并建议将其列入政府采购黑名单。</w:t>
      </w:r>
    </w:p>
    <w:p>
      <w:pPr>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）磋商小组成员在评审过程中受到非法干涉的，应当及时向财政、监察等部门举报。</w:t>
      </w:r>
    </w:p>
    <w:p>
      <w:pPr>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）配合采购单位答复供应商提出的质疑；配合财政部门的投诉处理和监督检查工作。</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、评审有关记录由磋商小组成员签名，存档备查。</w:t>
      </w:r>
    </w:p>
    <w:p>
      <w:pPr>
        <w:snapToGrid w:val="0"/>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、供应商的法定代表人或被授权人须持身份证准时参加磋商开标会。</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二、磋商的原则及方法</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、磋商小组依据《中华人民共和国政府采购法》、《政府采购竞争性磋商采购方式管理暂行办法》以及有关政府采购的相关法规，遵循“公开、公平、公正、择优、信用”的原则进行磋商评审。</w:t>
      </w:r>
    </w:p>
    <w:p>
      <w:pPr>
        <w:snapToGrid w:val="0"/>
        <w:spacing w:line="360" w:lineRule="auto"/>
        <w:ind w:firstLine="484" w:firstLineChars="202"/>
        <w:rPr>
          <w:rFonts w:ascii="宋体"/>
          <w:sz w:val="24"/>
          <w:szCs w:val="24"/>
        </w:rPr>
      </w:pPr>
      <w:r>
        <w:rPr>
          <w:rFonts w:ascii="宋体" w:hAnsi="宋体" w:cs="宋体"/>
          <w:sz w:val="24"/>
          <w:szCs w:val="24"/>
        </w:rPr>
        <w:t>2</w:t>
      </w:r>
      <w:r>
        <w:rPr>
          <w:rFonts w:hint="eastAsia" w:ascii="宋体" w:hAnsi="宋体" w:cs="宋体"/>
          <w:sz w:val="24"/>
          <w:szCs w:val="24"/>
        </w:rPr>
        <w:t>、磋商小组将按照竞争性磋商文件的规定，独立对每个进入打分程序的有效投标供应商的响应文件的技术部分以打分的形式进行评估和评价。技术分是所有评委打分的算术平均值（计算结果均四舍五入保留两位小数）。</w:t>
      </w:r>
    </w:p>
    <w:p>
      <w:pPr>
        <w:snapToGrid w:val="0"/>
        <w:spacing w:line="360" w:lineRule="auto"/>
        <w:ind w:firstLine="484" w:firstLineChars="202"/>
        <w:rPr>
          <w:rFonts w:ascii="宋体"/>
          <w:sz w:val="24"/>
          <w:szCs w:val="24"/>
        </w:rPr>
      </w:pPr>
      <w:r>
        <w:rPr>
          <w:rFonts w:ascii="宋体" w:hAnsi="宋体" w:cs="宋体"/>
          <w:sz w:val="24"/>
          <w:szCs w:val="24"/>
        </w:rPr>
        <w:t>3</w:t>
      </w:r>
      <w:r>
        <w:rPr>
          <w:rFonts w:hint="eastAsia" w:ascii="宋体" w:hAnsi="宋体" w:cs="宋体"/>
          <w:sz w:val="24"/>
          <w:szCs w:val="24"/>
        </w:rPr>
        <w:t>、磋商小组根据磋商文件规定的程序、评定成交的标准等事项与实质性响应磋商文件要求的供应商进行磋商。未实质性响应磋商文件要求的响应文件按无效处理，磋商小组应当告知提交响应文件的供应商。</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、磋商小组所有成员应当集中与单一供应商分别进行磋商，并给予所有参加磋商的供应商平等的磋商机会。</w:t>
      </w:r>
    </w:p>
    <w:p>
      <w:pPr>
        <w:snapToGrid w:val="0"/>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、在磋商过程中，磋商小组可以根据磋商文件和磋商情况实质性变动采购需求中的技术、服务要求以及合同草案条款，但不得变动磋商文件中的其他内容。实质性变动的内容，须经采购单位代表确认。</w:t>
      </w:r>
    </w:p>
    <w:p>
      <w:pPr>
        <w:snapToGrid w:val="0"/>
        <w:spacing w:line="360" w:lineRule="auto"/>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、对磋商文件作出的实质性变动是磋商文件的有效组成部分，磋商小组应当及时以书面形式同时通知所有参加磋商的供应商。</w:t>
      </w:r>
    </w:p>
    <w:p>
      <w:pPr>
        <w:snapToGrid w:val="0"/>
        <w:spacing w:line="360" w:lineRule="auto"/>
        <w:ind w:firstLine="480" w:firstLineChars="200"/>
        <w:rPr>
          <w:rFonts w:ascii="宋体"/>
          <w:sz w:val="24"/>
          <w:szCs w:val="24"/>
        </w:rPr>
      </w:pPr>
      <w:r>
        <w:rPr>
          <w:rFonts w:ascii="宋体" w:hAnsi="宋体" w:cs="宋体"/>
          <w:sz w:val="24"/>
          <w:szCs w:val="24"/>
        </w:rPr>
        <w:t>7</w:t>
      </w:r>
      <w:r>
        <w:rPr>
          <w:rFonts w:hint="eastAsia" w:ascii="宋体" w:hAnsi="宋体" w:cs="宋体"/>
          <w:sz w:val="24"/>
          <w:szCs w:val="24"/>
        </w:rPr>
        <w:t>、供应商应当按照磋商文件的变动情况和磋商小组的要求重新提交响应文件，并由其法定代表人或被授权人签字或者加盖公章。由被授权人签字的，应当附法定代表人授权书。供应商为自然人的，应当由本人签字并附身份证明。</w:t>
      </w:r>
    </w:p>
    <w:p>
      <w:pPr>
        <w:snapToGrid w:val="0"/>
        <w:spacing w:line="360" w:lineRule="auto"/>
        <w:ind w:firstLine="480" w:firstLineChars="200"/>
        <w:rPr>
          <w:rFonts w:ascii="宋体"/>
          <w:sz w:val="24"/>
          <w:szCs w:val="24"/>
        </w:rPr>
      </w:pPr>
      <w:r>
        <w:rPr>
          <w:rFonts w:ascii="宋体" w:hAnsi="宋体" w:cs="宋体"/>
          <w:sz w:val="24"/>
          <w:szCs w:val="24"/>
        </w:rPr>
        <w:t>8</w:t>
      </w:r>
      <w:r>
        <w:rPr>
          <w:rFonts w:hint="eastAsia" w:ascii="宋体" w:hAnsi="宋体" w:cs="宋体"/>
          <w:sz w:val="24"/>
          <w:szCs w:val="24"/>
        </w:rPr>
        <w:t>、经磋商确定最终采购需求和提交最后报价的供应商：磋商文件能够详细列明采购标的的技术、服务要求的，磋商结束后，磋商小组应当要求所有实质性响应的供应商在规定时间内提交最后报价。</w:t>
      </w:r>
    </w:p>
    <w:p>
      <w:pPr>
        <w:snapToGrid w:val="0"/>
        <w:spacing w:line="360" w:lineRule="auto"/>
        <w:ind w:firstLine="480" w:firstLineChars="200"/>
        <w:rPr>
          <w:rFonts w:ascii="宋体"/>
          <w:sz w:val="24"/>
          <w:szCs w:val="24"/>
        </w:rPr>
      </w:pPr>
      <w:r>
        <w:rPr>
          <w:rFonts w:ascii="宋体" w:hAnsi="宋体" w:cs="宋体"/>
          <w:sz w:val="24"/>
          <w:szCs w:val="24"/>
        </w:rPr>
        <w:t>9</w:t>
      </w:r>
      <w:r>
        <w:rPr>
          <w:rFonts w:hint="eastAsia" w:ascii="宋体" w:hAnsi="宋体" w:cs="宋体"/>
          <w:sz w:val="24"/>
          <w:szCs w:val="24"/>
        </w:rPr>
        <w:t>、除非在磋商中磋商小组对采购人需求内容作了调整增加，或对采购内容作了实质性变更，否则</w:t>
      </w:r>
      <w:r>
        <w:rPr>
          <w:rFonts w:hint="eastAsia" w:ascii="宋体" w:hAnsi="宋体" w:cs="宋体"/>
          <w:b/>
          <w:bCs/>
          <w:sz w:val="24"/>
          <w:szCs w:val="24"/>
        </w:rPr>
        <w:t>采购人不接受供应商高于自己前一轮的磋商报价</w:t>
      </w:r>
      <w:r>
        <w:rPr>
          <w:rFonts w:hint="eastAsia" w:ascii="宋体" w:hAnsi="宋体" w:cs="宋体"/>
          <w:sz w:val="24"/>
          <w:szCs w:val="24"/>
        </w:rPr>
        <w:t>。</w:t>
      </w:r>
    </w:p>
    <w:p>
      <w:pPr>
        <w:snapToGrid w:val="0"/>
        <w:spacing w:line="360" w:lineRule="auto"/>
        <w:ind w:firstLine="480" w:firstLineChars="200"/>
        <w:rPr>
          <w:rFonts w:ascii="宋体"/>
          <w:sz w:val="24"/>
          <w:szCs w:val="24"/>
        </w:rPr>
      </w:pPr>
      <w:r>
        <w:rPr>
          <w:rFonts w:ascii="宋体" w:hAnsi="宋体" w:cs="宋体"/>
          <w:sz w:val="24"/>
          <w:szCs w:val="24"/>
        </w:rPr>
        <w:t>1</w:t>
      </w:r>
      <w:r>
        <w:rPr>
          <w:rFonts w:ascii="宋体" w:cs="宋体"/>
          <w:sz w:val="24"/>
          <w:szCs w:val="24"/>
        </w:rPr>
        <w:t>0</w:t>
      </w:r>
      <w:r>
        <w:rPr>
          <w:rFonts w:hint="eastAsia" w:ascii="宋体" w:hAnsi="宋体" w:cs="宋体"/>
          <w:sz w:val="24"/>
          <w:szCs w:val="24"/>
        </w:rPr>
        <w:t>、对于在磋商顺利开始后至最终报价前，根据磋商情况退出磋商的供应商，须以书面形式说明退出磋商的原因，经磋商小组同意可以退出磋商。</w:t>
      </w:r>
    </w:p>
    <w:p>
      <w:pPr>
        <w:snapToGrid w:val="0"/>
        <w:spacing w:line="360" w:lineRule="auto"/>
        <w:ind w:firstLine="480" w:firstLineChars="200"/>
        <w:rPr>
          <w:rFonts w:ascii="宋体"/>
          <w:sz w:val="24"/>
          <w:szCs w:val="24"/>
        </w:rPr>
      </w:pPr>
      <w:r>
        <w:rPr>
          <w:rFonts w:ascii="宋体" w:hAnsi="宋体" w:cs="宋体"/>
          <w:sz w:val="24"/>
          <w:szCs w:val="24"/>
        </w:rPr>
        <w:t>11</w:t>
      </w:r>
      <w:r>
        <w:rPr>
          <w:rFonts w:hint="eastAsia" w:ascii="宋体" w:hAnsi="宋体" w:cs="宋体"/>
          <w:sz w:val="24"/>
          <w:szCs w:val="24"/>
        </w:rPr>
        <w:t>、在磋商中，磋商的任何一方不得透露与磋商有关的其他响应磋商的供应商的技术资料、价格及其他信息。</w:t>
      </w:r>
    </w:p>
    <w:p>
      <w:pPr>
        <w:snapToGrid w:val="0"/>
        <w:spacing w:line="360" w:lineRule="auto"/>
        <w:ind w:firstLine="480" w:firstLineChars="200"/>
        <w:rPr>
          <w:rFonts w:ascii="宋体"/>
          <w:sz w:val="24"/>
          <w:szCs w:val="24"/>
        </w:rPr>
      </w:pPr>
      <w:r>
        <w:rPr>
          <w:rFonts w:ascii="宋体" w:hAnsi="宋体" w:cs="宋体"/>
          <w:sz w:val="24"/>
          <w:szCs w:val="24"/>
        </w:rPr>
        <w:t>12</w:t>
      </w:r>
      <w:r>
        <w:rPr>
          <w:rFonts w:hint="eastAsia" w:ascii="宋体" w:hAnsi="宋体" w:cs="宋体"/>
          <w:sz w:val="24"/>
          <w:szCs w:val="24"/>
        </w:rPr>
        <w:t>、凡两家或以上公司同一法人代表或其中一家公司为另一家公司单一最大股东的，不能同时参与同一采购项目相同标段的磋商采购活动，一经发现，将视同串标处理。</w:t>
      </w:r>
    </w:p>
    <w:p>
      <w:pPr>
        <w:snapToGrid w:val="0"/>
        <w:spacing w:line="360" w:lineRule="auto"/>
        <w:ind w:firstLine="480" w:firstLineChars="200"/>
        <w:rPr>
          <w:rFonts w:hint="eastAsia" w:ascii="宋体" w:hAnsi="宋体" w:cs="宋体"/>
          <w:b/>
          <w:bCs/>
          <w:sz w:val="24"/>
          <w:szCs w:val="24"/>
        </w:rPr>
      </w:pPr>
      <w:r>
        <w:rPr>
          <w:rFonts w:ascii="宋体" w:hAnsi="宋体" w:cs="宋体"/>
          <w:sz w:val="24"/>
          <w:szCs w:val="24"/>
        </w:rPr>
        <w:t>13</w:t>
      </w:r>
      <w:r>
        <w:rPr>
          <w:rFonts w:hint="eastAsia" w:ascii="宋体" w:hAnsi="宋体" w:cs="宋体"/>
          <w:sz w:val="24"/>
          <w:szCs w:val="24"/>
        </w:rPr>
        <w:t>、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作无效报价，按无效响应处理。</w:t>
      </w:r>
    </w:p>
    <w:p>
      <w:pPr>
        <w:snapToGrid w:val="0"/>
        <w:spacing w:line="360" w:lineRule="auto"/>
        <w:ind w:firstLine="482" w:firstLineChars="200"/>
        <w:rPr>
          <w:rFonts w:ascii="宋体"/>
          <w:b/>
          <w:bCs/>
          <w:sz w:val="24"/>
          <w:szCs w:val="24"/>
        </w:rPr>
      </w:pPr>
      <w:r>
        <w:rPr>
          <w:rFonts w:hint="eastAsia" w:ascii="宋体" w:hAnsi="宋体" w:cs="宋体"/>
          <w:b/>
          <w:bCs/>
          <w:sz w:val="24"/>
          <w:szCs w:val="24"/>
        </w:rPr>
        <w:t>三、评估步骤</w:t>
      </w:r>
    </w:p>
    <w:p>
      <w:pPr>
        <w:snapToGrid w:val="0"/>
        <w:spacing w:line="360" w:lineRule="auto"/>
        <w:ind w:firstLine="482" w:firstLineChars="200"/>
        <w:rPr>
          <w:rFonts w:ascii="宋体"/>
          <w:b/>
          <w:bCs/>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、评审步骤规定：</w:t>
      </w:r>
    </w:p>
    <w:p>
      <w:pPr>
        <w:snapToGrid w:val="0"/>
        <w:spacing w:line="360" w:lineRule="auto"/>
        <w:ind w:firstLine="482" w:firstLineChars="200"/>
        <w:rPr>
          <w:rFonts w:ascii="宋体"/>
          <w:b/>
          <w:bCs/>
          <w:sz w:val="24"/>
          <w:szCs w:val="24"/>
          <w:lang w:val="zh-CN"/>
        </w:rPr>
      </w:pPr>
      <w:r>
        <w:rPr>
          <w:rFonts w:hint="eastAsia" w:ascii="宋体" w:hAnsi="宋体" w:cs="宋体"/>
          <w:b/>
          <w:bCs/>
          <w:sz w:val="24"/>
          <w:szCs w:val="24"/>
          <w:lang w:val="zh-CN"/>
        </w:rPr>
        <w:t>本次资格审查采用资格后审，各供应商资格审查通过后方能进入技术标的开标。先开技术标，技术标打分结束后再开商务标。</w:t>
      </w:r>
    </w:p>
    <w:p>
      <w:pPr>
        <w:snapToGrid w:val="0"/>
        <w:spacing w:line="360" w:lineRule="auto"/>
        <w:ind w:firstLine="480" w:firstLineChars="200"/>
        <w:rPr>
          <w:rFonts w:ascii="宋体"/>
          <w:sz w:val="24"/>
          <w:szCs w:val="24"/>
          <w:lang w:val="zh-CN"/>
        </w:rPr>
      </w:pPr>
      <w:r>
        <w:rPr>
          <w:rFonts w:hint="eastAsia" w:ascii="宋体" w:hAnsi="宋体" w:cs="宋体"/>
          <w:sz w:val="24"/>
          <w:szCs w:val="24"/>
          <w:lang w:val="zh-CN"/>
        </w:rPr>
        <w:t>第一阶段：</w:t>
      </w:r>
      <w:r>
        <w:rPr>
          <w:rFonts w:hint="eastAsia" w:ascii="宋体" w:hAnsi="宋体" w:cs="宋体"/>
          <w:sz w:val="24"/>
          <w:szCs w:val="24"/>
        </w:rPr>
        <w:t>磋商小组</w:t>
      </w:r>
      <w:r>
        <w:rPr>
          <w:rFonts w:hint="eastAsia" w:ascii="宋体" w:hAnsi="宋体" w:cs="宋体"/>
          <w:sz w:val="24"/>
          <w:szCs w:val="24"/>
          <w:lang w:val="zh-CN"/>
        </w:rPr>
        <w:t>对每个供应商的资格进行审查。</w:t>
      </w:r>
    </w:p>
    <w:p>
      <w:pPr>
        <w:snapToGrid w:val="0"/>
        <w:spacing w:line="360" w:lineRule="auto"/>
        <w:ind w:firstLine="480" w:firstLineChars="200"/>
        <w:rPr>
          <w:rFonts w:ascii="宋体"/>
          <w:sz w:val="24"/>
          <w:szCs w:val="24"/>
          <w:lang w:val="zh-CN"/>
        </w:rPr>
      </w:pPr>
      <w:r>
        <w:rPr>
          <w:rFonts w:hint="eastAsia" w:ascii="宋体" w:hAnsi="宋体" w:cs="宋体"/>
          <w:sz w:val="24"/>
          <w:szCs w:val="24"/>
          <w:lang w:val="zh-CN"/>
        </w:rPr>
        <w:t>第二阶段：</w:t>
      </w:r>
      <w:r>
        <w:rPr>
          <w:rFonts w:hint="eastAsia" w:ascii="宋体" w:hAnsi="宋体" w:cs="宋体"/>
          <w:sz w:val="24"/>
          <w:szCs w:val="24"/>
        </w:rPr>
        <w:t>磋商小组</w:t>
      </w:r>
      <w:r>
        <w:rPr>
          <w:rFonts w:hint="eastAsia" w:ascii="宋体" w:hAnsi="宋体" w:cs="宋体"/>
          <w:sz w:val="24"/>
          <w:szCs w:val="24"/>
          <w:lang w:val="zh-CN"/>
        </w:rPr>
        <w:t>对每个符合资格要求的供应商的技术标进行</w:t>
      </w:r>
      <w:r>
        <w:rPr>
          <w:rFonts w:hint="eastAsia" w:ascii="宋体" w:hAnsi="宋体" w:cs="宋体"/>
          <w:sz w:val="24"/>
          <w:szCs w:val="24"/>
        </w:rPr>
        <w:t>评估</w:t>
      </w:r>
      <w:r>
        <w:rPr>
          <w:rFonts w:hint="eastAsia" w:ascii="宋体" w:hAnsi="宋体" w:cs="宋体"/>
          <w:sz w:val="24"/>
          <w:szCs w:val="24"/>
          <w:lang w:val="zh-CN"/>
        </w:rPr>
        <w:t>。主要审查技术标提交的内容是否齐全，技术方案及项目实施是否完全满足采购文件的要求。</w:t>
      </w:r>
      <w:r>
        <w:rPr>
          <w:rFonts w:hint="eastAsia" w:ascii="宋体" w:hAnsi="宋体" w:cs="宋体"/>
          <w:sz w:val="24"/>
          <w:szCs w:val="24"/>
        </w:rPr>
        <w:t>磋商小组严格按照磋商文件的要求、条件、评分标准，对供应商所提供货物或服务的先进性、可靠性、售后服务承诺、质量保证承诺等实质性响应内容进行比较。</w:t>
      </w:r>
    </w:p>
    <w:p>
      <w:pPr>
        <w:snapToGrid w:val="0"/>
        <w:spacing w:line="360" w:lineRule="auto"/>
        <w:ind w:firstLine="480" w:firstLineChars="200"/>
        <w:rPr>
          <w:rFonts w:ascii="宋体"/>
          <w:sz w:val="24"/>
          <w:szCs w:val="24"/>
          <w:lang w:val="zh-CN"/>
        </w:rPr>
      </w:pPr>
      <w:r>
        <w:rPr>
          <w:rFonts w:hint="eastAsia" w:ascii="宋体" w:hAnsi="宋体" w:cs="宋体"/>
          <w:sz w:val="24"/>
          <w:szCs w:val="24"/>
          <w:lang w:val="zh-CN"/>
        </w:rPr>
        <w:t>第三阶段：以供应商价格标文件内的</w:t>
      </w:r>
      <w:r>
        <w:rPr>
          <w:rFonts w:hint="eastAsia" w:ascii="宋体" w:hAnsi="宋体" w:cs="宋体"/>
          <w:sz w:val="24"/>
          <w:szCs w:val="24"/>
        </w:rPr>
        <w:t>竞争性磋商</w:t>
      </w:r>
      <w:r>
        <w:rPr>
          <w:rFonts w:hint="eastAsia" w:ascii="宋体" w:hAnsi="宋体" w:cs="宋体"/>
          <w:sz w:val="24"/>
          <w:szCs w:val="24"/>
          <w:lang w:val="zh-CN"/>
        </w:rPr>
        <w:t>报价（即首次报价）为基础，</w:t>
      </w:r>
      <w:r>
        <w:rPr>
          <w:rFonts w:hint="eastAsia" w:ascii="宋体" w:hAnsi="宋体" w:cs="宋体"/>
          <w:sz w:val="24"/>
          <w:szCs w:val="24"/>
        </w:rPr>
        <w:t>磋商小组与</w:t>
      </w:r>
      <w:r>
        <w:rPr>
          <w:rFonts w:hint="eastAsia" w:ascii="宋体" w:hAnsi="宋体" w:cs="宋体"/>
          <w:sz w:val="24"/>
          <w:szCs w:val="24"/>
          <w:lang w:val="zh-CN"/>
        </w:rPr>
        <w:t>供应商单一分别进行</w:t>
      </w:r>
      <w:r>
        <w:rPr>
          <w:rFonts w:hint="eastAsia" w:ascii="宋体" w:hAnsi="宋体" w:cs="宋体"/>
          <w:sz w:val="24"/>
          <w:szCs w:val="24"/>
        </w:rPr>
        <w:t>磋商</w:t>
      </w:r>
      <w:r>
        <w:rPr>
          <w:rFonts w:hint="eastAsia" w:ascii="宋体" w:hAnsi="宋体" w:cs="宋体"/>
          <w:sz w:val="24"/>
          <w:szCs w:val="24"/>
          <w:lang w:val="zh-CN"/>
        </w:rPr>
        <w:t>：内容主要是对</w:t>
      </w:r>
      <w:r>
        <w:rPr>
          <w:rFonts w:hint="eastAsia" w:ascii="宋体" w:hAnsi="宋体" w:cs="宋体"/>
          <w:sz w:val="24"/>
          <w:szCs w:val="24"/>
        </w:rPr>
        <w:t>竞争性磋商</w:t>
      </w:r>
      <w:r>
        <w:rPr>
          <w:rFonts w:hint="eastAsia" w:ascii="宋体" w:hAnsi="宋体" w:cs="宋体"/>
          <w:sz w:val="24"/>
          <w:szCs w:val="24"/>
          <w:lang w:val="zh-CN"/>
        </w:rPr>
        <w:t>响应文件中的项目方案的澄清、修正、补充、确认以及价格调整等。如</w:t>
      </w:r>
      <w:r>
        <w:rPr>
          <w:rFonts w:hint="eastAsia" w:ascii="宋体" w:hAnsi="宋体" w:cs="宋体"/>
          <w:sz w:val="24"/>
          <w:szCs w:val="24"/>
        </w:rPr>
        <w:t>磋商</w:t>
      </w:r>
      <w:r>
        <w:rPr>
          <w:rFonts w:hint="eastAsia" w:ascii="宋体" w:hAnsi="宋体" w:cs="宋体"/>
          <w:sz w:val="24"/>
          <w:szCs w:val="24"/>
          <w:lang w:val="zh-CN"/>
        </w:rPr>
        <w:t>内容导致</w:t>
      </w:r>
      <w:r>
        <w:rPr>
          <w:rFonts w:hint="eastAsia" w:ascii="宋体" w:hAnsi="宋体" w:cs="宋体"/>
          <w:sz w:val="24"/>
          <w:szCs w:val="24"/>
        </w:rPr>
        <w:t>竞争性磋商</w:t>
      </w:r>
      <w:r>
        <w:rPr>
          <w:rFonts w:hint="eastAsia" w:ascii="宋体" w:hAnsi="宋体" w:cs="宋体"/>
          <w:sz w:val="24"/>
          <w:szCs w:val="24"/>
          <w:lang w:val="zh-CN"/>
        </w:rPr>
        <w:t>文件有实质性变动的，</w:t>
      </w:r>
      <w:r>
        <w:rPr>
          <w:rFonts w:hint="eastAsia" w:ascii="宋体" w:hAnsi="宋体" w:cs="宋体"/>
          <w:sz w:val="24"/>
          <w:szCs w:val="24"/>
        </w:rPr>
        <w:t>磋商小组</w:t>
      </w:r>
      <w:r>
        <w:rPr>
          <w:rFonts w:hint="eastAsia" w:ascii="宋体" w:hAnsi="宋体" w:cs="宋体"/>
          <w:sz w:val="24"/>
          <w:szCs w:val="24"/>
          <w:lang w:val="zh-CN"/>
        </w:rPr>
        <w:t>应当以书面形式通知所有供应商。</w:t>
      </w:r>
    </w:p>
    <w:p>
      <w:pPr>
        <w:snapToGrid w:val="0"/>
        <w:spacing w:line="360" w:lineRule="auto"/>
        <w:ind w:firstLine="480" w:firstLineChars="200"/>
        <w:rPr>
          <w:rFonts w:ascii="宋体"/>
          <w:sz w:val="24"/>
          <w:szCs w:val="24"/>
          <w:lang w:val="zh-CN"/>
        </w:rPr>
      </w:pPr>
      <w:r>
        <w:rPr>
          <w:rFonts w:hint="eastAsia" w:ascii="宋体" w:hAnsi="宋体" w:cs="宋体"/>
          <w:sz w:val="24"/>
          <w:szCs w:val="24"/>
          <w:lang w:val="zh-CN"/>
        </w:rPr>
        <w:t>第四阶段：单一分别</w:t>
      </w:r>
      <w:r>
        <w:rPr>
          <w:rFonts w:hint="eastAsia" w:ascii="宋体" w:hAnsi="宋体" w:cs="宋体"/>
          <w:sz w:val="24"/>
          <w:szCs w:val="24"/>
        </w:rPr>
        <w:t>磋商</w:t>
      </w:r>
      <w:r>
        <w:rPr>
          <w:rFonts w:hint="eastAsia" w:ascii="宋体" w:hAnsi="宋体" w:cs="宋体"/>
          <w:sz w:val="24"/>
          <w:szCs w:val="24"/>
          <w:lang w:val="zh-CN"/>
        </w:rPr>
        <w:t>结束后，</w:t>
      </w:r>
      <w:r>
        <w:rPr>
          <w:rFonts w:hint="eastAsia" w:ascii="宋体" w:hAnsi="宋体" w:cs="宋体"/>
          <w:sz w:val="24"/>
          <w:szCs w:val="24"/>
        </w:rPr>
        <w:t>磋商小组</w:t>
      </w:r>
      <w:r>
        <w:rPr>
          <w:rFonts w:hint="eastAsia" w:ascii="宋体" w:hAnsi="宋体" w:cs="宋体"/>
          <w:sz w:val="24"/>
          <w:szCs w:val="24"/>
          <w:lang w:val="zh-CN"/>
        </w:rPr>
        <w:t>告知所有供应商的项目二次（最终）报价，并要求所有作出实质性响应的有效供应商在规定的时间内，在</w:t>
      </w:r>
      <w:r>
        <w:rPr>
          <w:rFonts w:hint="eastAsia" w:ascii="宋体" w:hAnsi="宋体" w:cs="宋体"/>
          <w:sz w:val="24"/>
          <w:szCs w:val="24"/>
        </w:rPr>
        <w:t>磋商</w:t>
      </w:r>
      <w:r>
        <w:rPr>
          <w:rFonts w:hint="eastAsia" w:ascii="宋体" w:hAnsi="宋体" w:cs="宋体"/>
          <w:sz w:val="24"/>
          <w:szCs w:val="24"/>
          <w:lang w:val="zh-CN"/>
        </w:rPr>
        <w:t>现场集体给出最终报价，同时最终报价中可包括但不限于如最终澄清方案、有关优惠承诺等。</w:t>
      </w:r>
    </w:p>
    <w:p>
      <w:pPr>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第五阶段：</w:t>
      </w:r>
      <w:r>
        <w:rPr>
          <w:rFonts w:hint="eastAsia" w:ascii="宋体" w:hAnsi="宋体" w:cs="宋体"/>
          <w:sz w:val="24"/>
          <w:szCs w:val="24"/>
        </w:rPr>
        <w:t>磋商小组</w:t>
      </w:r>
      <w:r>
        <w:rPr>
          <w:rFonts w:hint="eastAsia" w:ascii="宋体" w:hAnsi="宋体" w:cs="宋体"/>
          <w:sz w:val="24"/>
          <w:szCs w:val="24"/>
          <w:lang w:val="zh-CN"/>
        </w:rPr>
        <w:t>对供应商的最终报价进行评议和比较，在实质性响应</w:t>
      </w:r>
      <w:r>
        <w:rPr>
          <w:rFonts w:hint="eastAsia" w:ascii="宋体" w:hAnsi="宋体" w:cs="宋体"/>
          <w:sz w:val="24"/>
          <w:szCs w:val="24"/>
        </w:rPr>
        <w:t>竞争性磋商</w:t>
      </w:r>
      <w:r>
        <w:rPr>
          <w:rFonts w:hint="eastAsia" w:ascii="宋体" w:hAnsi="宋体" w:cs="宋体"/>
          <w:sz w:val="24"/>
          <w:szCs w:val="24"/>
          <w:lang w:val="zh-CN"/>
        </w:rPr>
        <w:t>文件，技术标和价格标部分都能满足</w:t>
      </w:r>
      <w:r>
        <w:rPr>
          <w:rFonts w:hint="eastAsia" w:ascii="宋体" w:hAnsi="宋体" w:cs="宋体"/>
          <w:sz w:val="24"/>
          <w:szCs w:val="24"/>
        </w:rPr>
        <w:t>竞争性磋商</w:t>
      </w:r>
      <w:r>
        <w:rPr>
          <w:rFonts w:hint="eastAsia" w:ascii="宋体" w:hAnsi="宋体" w:cs="宋体"/>
          <w:sz w:val="24"/>
          <w:szCs w:val="24"/>
          <w:lang w:val="zh-CN"/>
        </w:rPr>
        <w:t>文件的前提下，</w:t>
      </w:r>
      <w:r>
        <w:rPr>
          <w:rFonts w:hint="eastAsia" w:ascii="宋体" w:hAnsi="宋体" w:cs="宋体"/>
          <w:sz w:val="24"/>
          <w:szCs w:val="24"/>
        </w:rPr>
        <w:t>磋商小组</w:t>
      </w:r>
      <w:r>
        <w:rPr>
          <w:rFonts w:hint="eastAsia" w:ascii="宋体" w:hAnsi="宋体" w:cs="宋体"/>
          <w:sz w:val="24"/>
          <w:szCs w:val="24"/>
          <w:lang w:val="zh-CN"/>
        </w:rPr>
        <w:t>将校核后的各供应商的报价从低到高排序（</w:t>
      </w:r>
      <w:r>
        <w:rPr>
          <w:rFonts w:hint="eastAsia" w:ascii="宋体" w:hAnsi="宋体" w:cs="宋体"/>
          <w:sz w:val="24"/>
          <w:szCs w:val="24"/>
        </w:rPr>
        <w:t>明显低于成本的，且供应商不能合理说明或者不能提供相关证明材料的报价除外）</w:t>
      </w:r>
      <w:r>
        <w:rPr>
          <w:rFonts w:hint="eastAsia" w:ascii="宋体" w:hAnsi="宋体" w:cs="宋体"/>
          <w:sz w:val="24"/>
          <w:szCs w:val="24"/>
          <w:lang w:val="zh-CN"/>
        </w:rPr>
        <w:t>。</w:t>
      </w:r>
    </w:p>
    <w:p>
      <w:pPr>
        <w:snapToGrid w:val="0"/>
        <w:spacing w:line="360" w:lineRule="auto"/>
        <w:ind w:firstLine="480" w:firstLineChars="200"/>
        <w:rPr>
          <w:rFonts w:ascii="宋体"/>
          <w:sz w:val="24"/>
          <w:szCs w:val="24"/>
        </w:rPr>
      </w:pPr>
      <w:r>
        <w:rPr>
          <w:rFonts w:ascii="宋体" w:hAnsi="宋体" w:cs="宋体"/>
          <w:sz w:val="24"/>
          <w:szCs w:val="24"/>
          <w:lang w:val="zh-CN"/>
        </w:rPr>
        <w:t>2</w:t>
      </w:r>
      <w:r>
        <w:rPr>
          <w:rFonts w:hint="eastAsia" w:ascii="宋体" w:hAnsi="宋体" w:cs="宋体"/>
          <w:sz w:val="24"/>
          <w:szCs w:val="24"/>
          <w:lang w:val="zh-CN"/>
        </w:rPr>
        <w:t>、在</w:t>
      </w:r>
      <w:r>
        <w:rPr>
          <w:rFonts w:hint="eastAsia" w:ascii="宋体" w:hAnsi="宋体" w:cs="宋体"/>
          <w:sz w:val="24"/>
          <w:szCs w:val="24"/>
        </w:rPr>
        <w:t>磋商</w:t>
      </w:r>
      <w:r>
        <w:rPr>
          <w:rFonts w:hint="eastAsia" w:ascii="宋体" w:hAnsi="宋体" w:cs="宋体"/>
          <w:sz w:val="24"/>
          <w:szCs w:val="24"/>
          <w:lang w:val="zh-CN"/>
        </w:rPr>
        <w:t>过程中，供应商提交的澄清文件和最终报价文件，由供应商法定代表人或被授权人签字盖章后生效，供应商受其约束。</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四、磋商评定结果的方法</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b/>
          <w:bCs/>
          <w:sz w:val="24"/>
          <w:szCs w:val="24"/>
          <w:u w:val="single"/>
        </w:rPr>
        <w:t>经磋商确定最终采购需求和提交最后报价的供应商后，</w:t>
      </w:r>
      <w:r>
        <w:rPr>
          <w:rFonts w:hint="eastAsia" w:ascii="宋体" w:hAnsi="宋体" w:cs="宋体"/>
          <w:sz w:val="24"/>
          <w:szCs w:val="24"/>
        </w:rPr>
        <w:t>由磋商小组采用综合评分法</w:t>
      </w:r>
      <w:r>
        <w:rPr>
          <w:rFonts w:hint="eastAsia" w:ascii="宋体" w:hAnsi="宋体" w:cs="宋体"/>
          <w:b/>
          <w:bCs/>
          <w:sz w:val="24"/>
          <w:szCs w:val="24"/>
          <w:u w:val="single"/>
        </w:rPr>
        <w:t>对提交最后报价的供应商的响应文件和最后报价</w:t>
      </w:r>
      <w:r>
        <w:rPr>
          <w:rFonts w:hint="eastAsia" w:ascii="宋体" w:hAnsi="宋体" w:cs="宋体"/>
          <w:sz w:val="24"/>
          <w:szCs w:val="24"/>
        </w:rPr>
        <w:t>进行综合评分。</w:t>
      </w:r>
    </w:p>
    <w:p>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、评估时，磋商小组各成员应当独立对每个有效响应的文件进行评价、打分，然后汇总每个供应商每项评分因素的得分（计算结果均四舍五入保留两位小数）。</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、本次项目磋商的技术</w:t>
      </w:r>
      <w:r>
        <w:rPr>
          <w:rFonts w:hint="eastAsia" w:ascii="宋体" w:hAnsi="宋体" w:cs="宋体"/>
          <w:kern w:val="0"/>
          <w:sz w:val="24"/>
          <w:szCs w:val="24"/>
        </w:rPr>
        <w:t>响应文件</w:t>
      </w:r>
      <w:r>
        <w:rPr>
          <w:rFonts w:hint="eastAsia" w:ascii="宋体" w:hAnsi="宋体" w:cs="宋体"/>
          <w:sz w:val="24"/>
          <w:szCs w:val="24"/>
        </w:rPr>
        <w:t>和商务报价</w:t>
      </w:r>
      <w:r>
        <w:rPr>
          <w:rFonts w:hint="eastAsia" w:ascii="宋体" w:hAnsi="宋体" w:cs="宋体"/>
          <w:kern w:val="0"/>
          <w:sz w:val="24"/>
          <w:szCs w:val="24"/>
        </w:rPr>
        <w:t>响应文件</w:t>
      </w:r>
      <w:r>
        <w:rPr>
          <w:rFonts w:hint="eastAsia" w:ascii="宋体" w:hAnsi="宋体" w:cs="宋体"/>
          <w:sz w:val="24"/>
          <w:szCs w:val="24"/>
        </w:rPr>
        <w:t>评估总分值为</w:t>
      </w:r>
      <w:r>
        <w:rPr>
          <w:rFonts w:ascii="宋体" w:hAnsi="宋体" w:cs="宋体"/>
          <w:sz w:val="24"/>
          <w:szCs w:val="24"/>
        </w:rPr>
        <w:t>100</w:t>
      </w:r>
      <w:r>
        <w:rPr>
          <w:rFonts w:hint="eastAsia" w:ascii="宋体" w:hAnsi="宋体" w:cs="宋体"/>
          <w:sz w:val="24"/>
          <w:szCs w:val="24"/>
        </w:rPr>
        <w:t>分。两部分评估因素比重如下：</w:t>
      </w:r>
    </w:p>
    <w:p>
      <w:pPr>
        <w:snapToGrid w:val="0"/>
        <w:spacing w:line="360" w:lineRule="auto"/>
        <w:ind w:firstLine="480" w:firstLineChars="200"/>
        <w:rPr>
          <w:rFonts w:ascii="宋体"/>
          <w:kern w:val="0"/>
          <w:sz w:val="24"/>
          <w:szCs w:val="24"/>
        </w:rPr>
      </w:pPr>
      <w:r>
        <w:rPr>
          <w:rFonts w:hint="eastAsia" w:ascii="宋体" w:hAnsi="宋体" w:cs="宋体"/>
          <w:kern w:val="0"/>
          <w:sz w:val="24"/>
          <w:szCs w:val="24"/>
        </w:rPr>
        <w:t>技术响应文件分值占总分值的比重为</w:t>
      </w:r>
      <w:r>
        <w:rPr>
          <w:rFonts w:hint="eastAsia" w:ascii="宋体" w:hAnsi="宋体" w:cs="宋体"/>
          <w:kern w:val="0"/>
          <w:sz w:val="24"/>
          <w:szCs w:val="24"/>
          <w:u w:val="single"/>
          <w:lang w:val="en-US" w:eastAsia="zh-CN"/>
        </w:rPr>
        <w:t>60</w:t>
      </w:r>
      <w:r>
        <w:rPr>
          <w:rFonts w:ascii="宋体" w:hAnsi="宋体" w:cs="宋体"/>
          <w:kern w:val="0"/>
          <w:sz w:val="24"/>
          <w:szCs w:val="24"/>
          <w:u w:val="single"/>
        </w:rPr>
        <w:t>%</w:t>
      </w:r>
      <w:r>
        <w:rPr>
          <w:rFonts w:hint="eastAsia" w:ascii="宋体" w:hAnsi="宋体" w:cs="宋体"/>
          <w:kern w:val="0"/>
          <w:sz w:val="24"/>
          <w:szCs w:val="24"/>
          <w:u w:val="single"/>
        </w:rPr>
        <w:t>（权重）</w:t>
      </w:r>
      <w:r>
        <w:rPr>
          <w:rFonts w:hint="eastAsia" w:ascii="宋体" w:hAnsi="宋体" w:cs="宋体"/>
          <w:kern w:val="0"/>
          <w:sz w:val="24"/>
          <w:szCs w:val="24"/>
        </w:rPr>
        <w:t>（四舍五入保留两位小数）；</w:t>
      </w:r>
    </w:p>
    <w:p>
      <w:pPr>
        <w:snapToGrid w:val="0"/>
        <w:spacing w:line="360" w:lineRule="auto"/>
        <w:ind w:firstLine="480" w:firstLineChars="200"/>
        <w:rPr>
          <w:rFonts w:ascii="宋体"/>
          <w:kern w:val="0"/>
          <w:sz w:val="24"/>
          <w:szCs w:val="24"/>
        </w:rPr>
      </w:pPr>
      <w:r>
        <w:rPr>
          <w:rFonts w:hint="eastAsia" w:ascii="宋体" w:hAnsi="宋体" w:cs="宋体"/>
          <w:kern w:val="0"/>
          <w:sz w:val="24"/>
          <w:szCs w:val="24"/>
        </w:rPr>
        <w:t>商务报价响应文件分值占总分值的比重为</w:t>
      </w:r>
      <w:r>
        <w:rPr>
          <w:rFonts w:ascii="宋体" w:hAnsi="宋体" w:cs="宋体"/>
          <w:kern w:val="0"/>
          <w:sz w:val="24"/>
          <w:szCs w:val="24"/>
          <w:u w:val="single"/>
        </w:rPr>
        <w:t xml:space="preserve"> </w:t>
      </w:r>
      <w:r>
        <w:rPr>
          <w:rFonts w:hint="eastAsia" w:ascii="宋体" w:hAnsi="宋体" w:cs="宋体"/>
          <w:kern w:val="0"/>
          <w:sz w:val="24"/>
          <w:szCs w:val="24"/>
          <w:u w:val="single"/>
          <w:lang w:val="en-US" w:eastAsia="zh-CN"/>
        </w:rPr>
        <w:t>40</w:t>
      </w:r>
      <w:r>
        <w:rPr>
          <w:rFonts w:ascii="宋体" w:hAnsi="宋体" w:cs="宋体"/>
          <w:kern w:val="0"/>
          <w:sz w:val="24"/>
          <w:szCs w:val="24"/>
          <w:u w:val="single"/>
        </w:rPr>
        <w:t>%</w:t>
      </w:r>
      <w:r>
        <w:rPr>
          <w:rFonts w:hint="eastAsia" w:ascii="宋体" w:hAnsi="宋体" w:cs="宋体"/>
          <w:kern w:val="0"/>
          <w:sz w:val="24"/>
          <w:szCs w:val="24"/>
          <w:u w:val="single"/>
        </w:rPr>
        <w:t>（权重）</w:t>
      </w:r>
      <w:r>
        <w:rPr>
          <w:rFonts w:hint="eastAsia" w:ascii="宋体" w:hAnsi="宋体" w:cs="宋体"/>
          <w:kern w:val="0"/>
          <w:sz w:val="24"/>
          <w:szCs w:val="24"/>
        </w:rPr>
        <w:t>（四舍五入保留两位小数）。</w:t>
      </w:r>
    </w:p>
    <w:p>
      <w:pPr>
        <w:snapToGrid w:val="0"/>
        <w:spacing w:line="360" w:lineRule="auto"/>
        <w:ind w:firstLine="480" w:firstLineChars="200"/>
        <w:rPr>
          <w:rFonts w:ascii="宋体"/>
          <w:dstrike/>
          <w:sz w:val="24"/>
          <w:szCs w:val="24"/>
        </w:rPr>
      </w:pPr>
      <w:r>
        <w:rPr>
          <w:rFonts w:ascii="宋体" w:hAnsi="宋体" w:cs="宋体"/>
          <w:sz w:val="24"/>
          <w:szCs w:val="24"/>
        </w:rPr>
        <w:t>4</w:t>
      </w:r>
      <w:r>
        <w:rPr>
          <w:rFonts w:hint="eastAsia" w:ascii="宋体" w:hAnsi="宋体" w:cs="宋体"/>
          <w:sz w:val="24"/>
          <w:szCs w:val="24"/>
        </w:rPr>
        <w:t>、技术</w:t>
      </w:r>
      <w:r>
        <w:rPr>
          <w:rFonts w:hint="eastAsia" w:ascii="宋体" w:hAnsi="宋体" w:cs="宋体"/>
          <w:kern w:val="0"/>
          <w:sz w:val="24"/>
          <w:szCs w:val="24"/>
        </w:rPr>
        <w:t>响应文件分值为所有评委打分的算术平均值，计算</w:t>
      </w:r>
      <w:r>
        <w:rPr>
          <w:rFonts w:hint="eastAsia" w:ascii="宋体" w:hAnsi="宋体" w:cs="宋体"/>
          <w:sz w:val="24"/>
          <w:szCs w:val="24"/>
        </w:rPr>
        <w:t>结果均四舍五入保留两位小数。</w:t>
      </w:r>
    </w:p>
    <w:p>
      <w:pPr>
        <w:snapToGrid w:val="0"/>
        <w:spacing w:line="360" w:lineRule="auto"/>
        <w:ind w:firstLine="480" w:firstLineChars="200"/>
      </w:pPr>
      <w:r>
        <w:rPr>
          <w:rFonts w:ascii="宋体" w:hAnsi="宋体" w:cs="宋体"/>
          <w:sz w:val="24"/>
          <w:szCs w:val="24"/>
        </w:rPr>
        <w:t>5</w:t>
      </w:r>
      <w:r>
        <w:rPr>
          <w:rFonts w:hint="eastAsia" w:ascii="宋体" w:hAnsi="宋体" w:cs="宋体"/>
          <w:sz w:val="24"/>
          <w:szCs w:val="24"/>
        </w:rPr>
        <w:t>、商务报价</w:t>
      </w:r>
      <w:r>
        <w:rPr>
          <w:rFonts w:hint="eastAsia" w:ascii="宋体" w:hAnsi="宋体" w:cs="宋体"/>
          <w:kern w:val="0"/>
          <w:sz w:val="24"/>
          <w:szCs w:val="24"/>
        </w:rPr>
        <w:t>响应文件</w:t>
      </w:r>
      <w:r>
        <w:rPr>
          <w:rFonts w:hint="eastAsia" w:ascii="宋体" w:hAnsi="宋体" w:cs="宋体"/>
          <w:sz w:val="24"/>
          <w:szCs w:val="24"/>
        </w:rPr>
        <w:t>分值统一采用低价优先法计算直接取得，与技术</w:t>
      </w:r>
      <w:r>
        <w:rPr>
          <w:rFonts w:hint="eastAsia" w:ascii="宋体" w:hAnsi="宋体" w:cs="宋体"/>
          <w:kern w:val="0"/>
          <w:sz w:val="24"/>
          <w:szCs w:val="24"/>
        </w:rPr>
        <w:t>响应文件</w:t>
      </w:r>
      <w:r>
        <w:rPr>
          <w:rFonts w:hint="eastAsia" w:ascii="宋体" w:hAnsi="宋体" w:cs="宋体"/>
          <w:sz w:val="24"/>
          <w:szCs w:val="24"/>
        </w:rPr>
        <w:t>分值相加为供应商的综合得分（四舍五入保留两位小数）。</w:t>
      </w:r>
    </w:p>
    <w:p>
      <w:pPr>
        <w:snapToGrid w:val="0"/>
        <w:spacing w:line="360" w:lineRule="auto"/>
        <w:ind w:firstLine="460" w:firstLineChars="192"/>
        <w:rPr>
          <w:rFonts w:ascii="宋体" w:hAnsi="宋体" w:cs="宋体"/>
          <w:kern w:val="0"/>
          <w:sz w:val="24"/>
          <w:szCs w:val="24"/>
        </w:rPr>
      </w:pPr>
      <w:r>
        <w:rPr>
          <w:rFonts w:ascii="宋体" w:hAnsi="宋体" w:cs="宋体"/>
          <w:sz w:val="24"/>
          <w:szCs w:val="24"/>
        </w:rPr>
        <w:t>6</w:t>
      </w:r>
      <w:r>
        <w:rPr>
          <w:rFonts w:hint="eastAsia" w:ascii="宋体" w:hAnsi="宋体" w:cs="宋体"/>
          <w:sz w:val="24"/>
          <w:szCs w:val="24"/>
        </w:rPr>
        <w:t>、</w:t>
      </w:r>
      <w:r>
        <w:rPr>
          <w:rFonts w:hint="eastAsia" w:ascii="宋体" w:hAnsi="宋体" w:cs="宋体"/>
          <w:kern w:val="0"/>
          <w:sz w:val="24"/>
          <w:szCs w:val="24"/>
        </w:rPr>
        <w:t>综合得分最高的供应商推荐为项目预成交供应商并出具评审磋商报告。</w:t>
      </w:r>
    </w:p>
    <w:p>
      <w:pPr>
        <w:snapToGrid w:val="0"/>
        <w:spacing w:line="360" w:lineRule="auto"/>
        <w:ind w:firstLine="460" w:firstLineChars="192"/>
        <w:rPr>
          <w:rFonts w:ascii="宋体"/>
          <w:sz w:val="24"/>
          <w:szCs w:val="24"/>
        </w:rPr>
      </w:pPr>
      <w:r>
        <w:rPr>
          <w:rFonts w:ascii="宋体" w:hAnsi="宋体" w:cs="宋体"/>
          <w:sz w:val="24"/>
          <w:szCs w:val="24"/>
        </w:rPr>
        <w:t>7</w:t>
      </w:r>
      <w:r>
        <w:rPr>
          <w:rFonts w:hint="eastAsia" w:ascii="宋体" w:hAnsi="宋体" w:cs="宋体"/>
          <w:sz w:val="24"/>
          <w:szCs w:val="24"/>
        </w:rPr>
        <w:t>、确定成交候选人的特殊情况处理：</w:t>
      </w:r>
    </w:p>
    <w:p>
      <w:pPr>
        <w:snapToGrid w:val="0"/>
        <w:spacing w:line="360" w:lineRule="auto"/>
        <w:ind w:firstLine="480" w:firstLineChars="200"/>
        <w:outlineLvl w:val="1"/>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）若总分相同，则按最终报价得分高者优先中标。</w:t>
      </w:r>
    </w:p>
    <w:p>
      <w:pPr>
        <w:snapToGrid w:val="0"/>
        <w:spacing w:line="360" w:lineRule="auto"/>
        <w:ind w:firstLine="480" w:firstLineChars="200"/>
        <w:outlineLvl w:val="1"/>
        <w:rPr>
          <w:rFonts w:ascii="宋体"/>
          <w:dstrike/>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）若总分且最终报价得分相同，则采取现场抽签的方式确定（由供应商按递交响应文件签到顺序号抽签确定）。</w:t>
      </w:r>
    </w:p>
    <w:p>
      <w:pPr>
        <w:snapToGrid w:val="0"/>
        <w:spacing w:line="360" w:lineRule="auto"/>
        <w:ind w:firstLine="480" w:firstLineChars="200"/>
        <w:rPr>
          <w:rFonts w:ascii="宋体"/>
          <w:sz w:val="24"/>
          <w:szCs w:val="24"/>
        </w:rPr>
      </w:pPr>
      <w:r>
        <w:rPr>
          <w:rFonts w:ascii="宋体" w:hAnsi="宋体" w:cs="宋体"/>
          <w:sz w:val="24"/>
          <w:szCs w:val="24"/>
        </w:rPr>
        <w:t>8</w:t>
      </w:r>
      <w:r>
        <w:rPr>
          <w:rFonts w:hint="eastAsia" w:ascii="宋体" w:hAnsi="宋体" w:cs="宋体"/>
          <w:sz w:val="24"/>
          <w:szCs w:val="24"/>
        </w:rPr>
        <w:t>、磋商评审时，评委对评审的细则若有争议，由磋商小组集体讨论确定，并对未尽情况有最终解释权。</w:t>
      </w:r>
    </w:p>
    <w:p>
      <w:pPr>
        <w:snapToGrid w:val="0"/>
        <w:spacing w:line="360" w:lineRule="auto"/>
        <w:ind w:firstLine="480" w:firstLineChars="200"/>
        <w:rPr>
          <w:rFonts w:ascii="宋体"/>
          <w:sz w:val="24"/>
          <w:szCs w:val="24"/>
        </w:rPr>
      </w:pPr>
      <w:r>
        <w:rPr>
          <w:rFonts w:ascii="宋体" w:hAnsi="宋体" w:cs="宋体"/>
          <w:sz w:val="24"/>
          <w:szCs w:val="24"/>
        </w:rPr>
        <w:t>9</w:t>
      </w:r>
      <w:r>
        <w:rPr>
          <w:rFonts w:hint="eastAsia" w:ascii="宋体" w:hAnsi="宋体" w:cs="宋体"/>
          <w:sz w:val="24"/>
          <w:szCs w:val="24"/>
        </w:rPr>
        <w:t>、对落标的供应商不做落标原因的解释。</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五、综合评分评审标准</w:t>
      </w:r>
    </w:p>
    <w:p>
      <w:pPr>
        <w:adjustRightInd w:val="0"/>
        <w:snapToGrid w:val="0"/>
        <w:spacing w:line="360" w:lineRule="auto"/>
        <w:ind w:firstLine="480" w:firstLineChars="200"/>
        <w:outlineLvl w:val="3"/>
        <w:rPr>
          <w:rFonts w:ascii="宋体"/>
          <w:sz w:val="24"/>
          <w:szCs w:val="24"/>
        </w:rPr>
      </w:pPr>
      <w:r>
        <w:rPr>
          <w:rFonts w:hint="eastAsia" w:ascii="宋体" w:hAnsi="宋体" w:cs="宋体"/>
          <w:sz w:val="24"/>
          <w:szCs w:val="24"/>
        </w:rPr>
        <w:t>（一）技术磋商响应评审：（</w:t>
      </w:r>
      <w:r>
        <w:rPr>
          <w:rFonts w:hint="eastAsia" w:ascii="宋体" w:hAnsi="宋体" w:cs="宋体"/>
          <w:sz w:val="24"/>
          <w:szCs w:val="24"/>
          <w:lang w:val="en-US" w:eastAsia="zh-CN"/>
        </w:rPr>
        <w:t>60</w:t>
      </w:r>
      <w:r>
        <w:rPr>
          <w:rFonts w:hint="eastAsia" w:ascii="宋体" w:hAnsi="宋体" w:cs="宋体"/>
          <w:sz w:val="24"/>
          <w:szCs w:val="24"/>
        </w:rPr>
        <w:t>分）</w:t>
      </w:r>
    </w:p>
    <w:tbl>
      <w:tblPr>
        <w:tblStyle w:val="51"/>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1295"/>
        <w:gridCol w:w="7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12" w:type="dxa"/>
            <w:noWrap w:val="0"/>
            <w:vAlign w:val="center"/>
          </w:tcPr>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序号</w:t>
            </w:r>
          </w:p>
        </w:tc>
        <w:tc>
          <w:tcPr>
            <w:tcW w:w="1295" w:type="dxa"/>
            <w:noWrap w:val="0"/>
            <w:vAlign w:val="center"/>
          </w:tcPr>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评审</w:t>
            </w:r>
          </w:p>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w:t>
            </w:r>
          </w:p>
        </w:tc>
        <w:tc>
          <w:tcPr>
            <w:tcW w:w="7233" w:type="dxa"/>
            <w:noWrap w:val="0"/>
            <w:vAlign w:val="center"/>
          </w:tcPr>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技术评审因素及评分规定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12" w:type="dxa"/>
            <w:noWrap w:val="0"/>
            <w:vAlign w:val="center"/>
          </w:tcPr>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1295" w:type="dxa"/>
            <w:noWrap w:val="0"/>
            <w:vAlign w:val="center"/>
          </w:tcPr>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企业实力</w:t>
            </w:r>
          </w:p>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（6分）</w:t>
            </w:r>
          </w:p>
        </w:tc>
        <w:tc>
          <w:tcPr>
            <w:tcW w:w="7233" w:type="dxa"/>
            <w:noWrap w:val="0"/>
            <w:vAlign w:val="center"/>
          </w:tcPr>
          <w:p>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（1）投标人2021年获得市级及以上质量监督部门发布的三星维保星级评定证书（或有效证明）的得2分；</w:t>
            </w:r>
          </w:p>
          <w:p>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（2）投标人2021年获得市级及以上质量监督部门发布的四星维保星级评定证书（或有效证明）的得4分；</w:t>
            </w:r>
          </w:p>
          <w:p>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（3）投标人2021年获得市级及以上质量监督部门发布的五星及以上维保星级评定证书（或有效证明）的得6分；</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2"/>
                <w:sz w:val="24"/>
                <w:szCs w:val="24"/>
              </w:rPr>
              <w:t>提供对应证书或证明文件复印件并加盖供应商单位公章。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412" w:type="dxa"/>
            <w:noWrap w:val="0"/>
            <w:vAlign w:val="center"/>
          </w:tcPr>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1295" w:type="dxa"/>
            <w:noWrap w:val="0"/>
            <w:vAlign w:val="center"/>
          </w:tcPr>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体系认证</w:t>
            </w:r>
          </w:p>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（6分）</w:t>
            </w:r>
          </w:p>
        </w:tc>
        <w:tc>
          <w:tcPr>
            <w:tcW w:w="7233" w:type="dxa"/>
            <w:noWrap w:val="0"/>
            <w:vAlign w:val="center"/>
          </w:tcPr>
          <w:p>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投标人具有有效期内的质量管理体系认证证书、环境管理体系认证证书、职业健康安全管理体系认证证书，每提供1个得2分，满分6分。</w:t>
            </w:r>
            <w:r>
              <w:rPr>
                <w:rFonts w:hint="eastAsia" w:asciiTheme="minorEastAsia" w:hAnsiTheme="minorEastAsia" w:eastAsiaTheme="minorEastAsia" w:cstheme="minorEastAsia"/>
                <w:b/>
                <w:bCs/>
                <w:sz w:val="24"/>
                <w:szCs w:val="24"/>
              </w:rPr>
              <w:t>提供对应证书复印件并加盖供应商单位公章。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412" w:type="dxa"/>
            <w:noWrap w:val="0"/>
            <w:vAlign w:val="center"/>
          </w:tcPr>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1295" w:type="dxa"/>
            <w:noWrap w:val="0"/>
            <w:vAlign w:val="center"/>
          </w:tcPr>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技术维保</w:t>
            </w:r>
          </w:p>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力量</w:t>
            </w:r>
          </w:p>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rPr>
              <w:t>分）</w:t>
            </w:r>
          </w:p>
        </w:tc>
        <w:tc>
          <w:tcPr>
            <w:tcW w:w="7233" w:type="dxa"/>
            <w:noWrap w:val="0"/>
            <w:vAlign w:val="center"/>
          </w:tcPr>
          <w:p>
            <w:pPr>
              <w:widowControl/>
              <w:snapToGrid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驻点服务的人员数量不少于2人标准配备，并提供驻点人员的姓名、通迅号码并提供他们有效的特种设备作业人员资格证书复印件（须加盖聘用单位印章）。维保人员配备不满足上述要求的做无效标处理，满足以上要求得3分。投标供应商提供服务承诺函（格式自拟）。</w:t>
            </w:r>
          </w:p>
          <w:p>
            <w:pPr>
              <w:widowControl/>
              <w:snapToGrid w:val="0"/>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（2）固定维保人员中取得由中华人民共和国人力资源和社会保障部颁发的职业资格证书的，每一人得1分，本项最高得5分。（提供维保人员表（格式自拟）。</w:t>
            </w:r>
          </w:p>
          <w:p>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（3）职称人员：投标企业具有中级工程师及以上职称的人员，每提供1个得1分，最多得2分（提供职称人员表（格式自拟）。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412" w:type="dxa"/>
            <w:noWrap w:val="0"/>
            <w:vAlign w:val="center"/>
          </w:tcPr>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1295" w:type="dxa"/>
            <w:noWrap w:val="0"/>
            <w:vAlign w:val="center"/>
          </w:tcPr>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技术保障</w:t>
            </w:r>
          </w:p>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（6分）</w:t>
            </w:r>
          </w:p>
        </w:tc>
        <w:tc>
          <w:tcPr>
            <w:tcW w:w="7233" w:type="dxa"/>
            <w:noWrap w:val="0"/>
            <w:vAlign w:val="center"/>
          </w:tcPr>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投标人自有合格有效的电梯钢丝绳张力测试仪、钢丝绳探伤仪、加减速度测试仪等主要的电梯维保检测检修工器具；</w:t>
            </w:r>
          </w:p>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提供投标人采购发票及有效的</w:t>
            </w:r>
            <w:r>
              <w:rPr>
                <w:rFonts w:hint="eastAsia" w:asciiTheme="minorEastAsia" w:hAnsiTheme="minorEastAsia" w:eastAsiaTheme="minorEastAsia" w:cstheme="minorEastAsia"/>
                <w:bCs/>
                <w:sz w:val="24"/>
                <w:szCs w:val="24"/>
              </w:rPr>
              <w:t>产品检测报告复印件</w:t>
            </w:r>
            <w:r>
              <w:rPr>
                <w:rFonts w:hint="eastAsia" w:asciiTheme="minorEastAsia" w:hAnsiTheme="minorEastAsia" w:eastAsiaTheme="minorEastAsia" w:cstheme="minorEastAsia"/>
                <w:sz w:val="24"/>
                <w:szCs w:val="24"/>
              </w:rPr>
              <w:t>并加盖供应商单位公章。每提供一项得2分，满分6分，未提供的不得分。（发票开具时间必须在本招标公告发布前）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12" w:type="dxa"/>
            <w:noWrap w:val="0"/>
            <w:vAlign w:val="center"/>
          </w:tcPr>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1295" w:type="dxa"/>
            <w:noWrap w:val="0"/>
            <w:vAlign w:val="center"/>
          </w:tcPr>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企业业绩</w:t>
            </w:r>
          </w:p>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rPr>
              <w:t>分）</w:t>
            </w:r>
          </w:p>
        </w:tc>
        <w:tc>
          <w:tcPr>
            <w:tcW w:w="7233" w:type="dxa"/>
            <w:noWrap w:val="0"/>
            <w:vAlign w:val="center"/>
          </w:tcPr>
          <w:p>
            <w:pPr>
              <w:snapToGrid w:val="0"/>
              <w:spacing w:line="360" w:lineRule="auto"/>
              <w:rPr>
                <w:rFonts w:hint="eastAsia" w:asciiTheme="minorEastAsia" w:hAnsiTheme="minorEastAsia" w:eastAsiaTheme="minorEastAsia" w:cstheme="minorEastAsia"/>
                <w:strike/>
                <w:sz w:val="24"/>
                <w:szCs w:val="24"/>
              </w:rPr>
            </w:pPr>
            <w:r>
              <w:rPr>
                <w:rFonts w:hint="eastAsia" w:asciiTheme="minorEastAsia" w:hAnsiTheme="minorEastAsia" w:eastAsiaTheme="minorEastAsia" w:cstheme="minorEastAsia"/>
                <w:sz w:val="24"/>
                <w:szCs w:val="24"/>
              </w:rPr>
              <w:t>（1）2019年</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月1日以来具有电梯维保业绩的，每提供一份合同及对应发票复印件并加盖供应商单位公章的，得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分。最高得</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12" w:type="dxa"/>
            <w:noWrap w:val="0"/>
            <w:vAlign w:val="center"/>
          </w:tcPr>
          <w:p>
            <w:pPr>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p>
        </w:tc>
        <w:tc>
          <w:tcPr>
            <w:tcW w:w="1295" w:type="dxa"/>
            <w:noWrap w:val="0"/>
            <w:vAlign w:val="center"/>
          </w:tcPr>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服务方案</w:t>
            </w:r>
          </w:p>
          <w:p>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22</w:t>
            </w:r>
            <w:r>
              <w:rPr>
                <w:rFonts w:hint="eastAsia" w:asciiTheme="minorEastAsia" w:hAnsiTheme="minorEastAsia" w:eastAsiaTheme="minorEastAsia" w:cstheme="minorEastAsia"/>
                <w:b/>
                <w:bCs/>
                <w:sz w:val="24"/>
                <w:szCs w:val="24"/>
              </w:rPr>
              <w:t>分）</w:t>
            </w:r>
          </w:p>
        </w:tc>
        <w:tc>
          <w:tcPr>
            <w:tcW w:w="7233" w:type="dxa"/>
            <w:noWrap w:val="0"/>
            <w:vAlign w:val="center"/>
          </w:tcPr>
          <w:p>
            <w:pPr>
              <w:snapToGrid w:val="0"/>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sz w:val="24"/>
                <w:szCs w:val="24"/>
                <w:lang w:eastAsia="zh-CN"/>
              </w:rPr>
              <w:t>根据维修保养方案服务内容、质量保证措施、进度控制、人员调度、方案的针对性和实用性等方面进行评审，优得</w:t>
            </w:r>
            <w:r>
              <w:rPr>
                <w:rFonts w:hint="eastAsia" w:asciiTheme="minorEastAsia" w:hAnsiTheme="minorEastAsia" w:eastAsiaTheme="minorEastAsia" w:cstheme="minorEastAsia"/>
                <w:b w:val="0"/>
                <w:bCs w:val="0"/>
                <w:sz w:val="24"/>
                <w:szCs w:val="24"/>
                <w:lang w:val="en-US" w:eastAsia="zh-CN"/>
              </w:rPr>
              <w:t>8</w:t>
            </w:r>
            <w:r>
              <w:rPr>
                <w:rFonts w:hint="eastAsia" w:asciiTheme="minorEastAsia" w:hAnsiTheme="minorEastAsia" w:eastAsiaTheme="minorEastAsia" w:cstheme="minorEastAsia"/>
                <w:b w:val="0"/>
                <w:bCs w:val="0"/>
                <w:sz w:val="24"/>
                <w:szCs w:val="24"/>
                <w:lang w:eastAsia="zh-CN"/>
              </w:rPr>
              <w:t>分，良得</w:t>
            </w:r>
            <w:r>
              <w:rPr>
                <w:rFonts w:hint="eastAsia" w:asciiTheme="minorEastAsia" w:hAnsiTheme="minorEastAsia" w:eastAsiaTheme="minorEastAsia" w:cstheme="minorEastAsia"/>
                <w:b w:val="0"/>
                <w:bCs w:val="0"/>
                <w:sz w:val="24"/>
                <w:szCs w:val="24"/>
                <w:lang w:val="en-US" w:eastAsia="zh-CN"/>
              </w:rPr>
              <w:t>4-7</w:t>
            </w:r>
            <w:r>
              <w:rPr>
                <w:rFonts w:hint="eastAsia" w:asciiTheme="minorEastAsia" w:hAnsiTheme="minorEastAsia" w:eastAsiaTheme="minorEastAsia" w:cstheme="minorEastAsia"/>
                <w:b w:val="0"/>
                <w:bCs w:val="0"/>
                <w:sz w:val="24"/>
                <w:szCs w:val="24"/>
                <w:lang w:eastAsia="zh-CN"/>
              </w:rPr>
              <w:t>分，一般得</w:t>
            </w:r>
            <w:r>
              <w:rPr>
                <w:rFonts w:hint="eastAsia" w:asciiTheme="minorEastAsia" w:hAnsiTheme="minorEastAsia" w:eastAsiaTheme="minorEastAsia" w:cstheme="minorEastAsia"/>
                <w:b w:val="0"/>
                <w:bCs w:val="0"/>
                <w:sz w:val="24"/>
                <w:szCs w:val="24"/>
                <w:lang w:val="en-US" w:eastAsia="zh-CN"/>
              </w:rPr>
              <w:t>1-3</w:t>
            </w:r>
            <w:r>
              <w:rPr>
                <w:rFonts w:hint="eastAsia" w:asciiTheme="minorEastAsia" w:hAnsiTheme="minorEastAsia" w:eastAsiaTheme="minorEastAsia" w:cstheme="minorEastAsia"/>
                <w:b w:val="0"/>
                <w:bCs w:val="0"/>
                <w:sz w:val="24"/>
                <w:szCs w:val="24"/>
                <w:lang w:eastAsia="zh-CN"/>
              </w:rPr>
              <w:t>分，</w:t>
            </w:r>
            <w:r>
              <w:rPr>
                <w:rFonts w:hint="eastAsia" w:asciiTheme="minorEastAsia" w:hAnsiTheme="minorEastAsia" w:eastAsiaTheme="minorEastAsia" w:cstheme="minorEastAsia"/>
                <w:b w:val="0"/>
                <w:bCs w:val="0"/>
                <w:sz w:val="24"/>
                <w:szCs w:val="24"/>
                <w:lang w:val="en-US" w:eastAsia="zh-CN"/>
              </w:rPr>
              <w:t>不提供不得分</w:t>
            </w:r>
            <w:r>
              <w:rPr>
                <w:rFonts w:hint="eastAsia" w:asciiTheme="minorEastAsia" w:hAnsiTheme="minorEastAsia" w:eastAsiaTheme="minorEastAsia" w:cstheme="minorEastAsia"/>
                <w:b w:val="0"/>
                <w:bCs w:val="0"/>
                <w:sz w:val="24"/>
                <w:szCs w:val="24"/>
                <w:lang w:eastAsia="zh-CN"/>
              </w:rPr>
              <w:t>。</w:t>
            </w:r>
          </w:p>
          <w:p>
            <w:pPr>
              <w:snapToGrid w:val="0"/>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w:t>
            </w:r>
            <w:r>
              <w:rPr>
                <w:rFonts w:hint="eastAsia" w:asciiTheme="minorEastAsia" w:hAnsiTheme="minorEastAsia" w:eastAsiaTheme="minorEastAsia" w:cstheme="minorEastAsia"/>
                <w:b w:val="0"/>
                <w:bCs w:val="0"/>
                <w:sz w:val="24"/>
                <w:szCs w:val="24"/>
                <w:lang w:val="en-US" w:eastAsia="zh-CN"/>
              </w:rPr>
              <w:t>对投标人维保</w:t>
            </w:r>
            <w:r>
              <w:rPr>
                <w:rFonts w:hint="eastAsia" w:asciiTheme="minorEastAsia" w:hAnsiTheme="minorEastAsia" w:eastAsiaTheme="minorEastAsia" w:cstheme="minorEastAsia"/>
                <w:b w:val="0"/>
                <w:bCs w:val="0"/>
                <w:sz w:val="24"/>
                <w:szCs w:val="24"/>
                <w:lang w:eastAsia="zh-CN"/>
              </w:rPr>
              <w:t>台账和设备配件更换管理台账的设置方案进行评审。优得</w:t>
            </w: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lang w:eastAsia="zh-CN"/>
              </w:rPr>
              <w:t>分，良得</w:t>
            </w:r>
            <w:r>
              <w:rPr>
                <w:rFonts w:hint="eastAsia" w:asciiTheme="minorEastAsia" w:hAnsiTheme="minorEastAsia" w:eastAsiaTheme="minorEastAsia" w:cstheme="minorEastAsia"/>
                <w:b w:val="0"/>
                <w:bCs w:val="0"/>
                <w:sz w:val="24"/>
                <w:szCs w:val="24"/>
                <w:lang w:val="en-US" w:eastAsia="zh-CN"/>
              </w:rPr>
              <w:t>3-4</w:t>
            </w:r>
            <w:r>
              <w:rPr>
                <w:rFonts w:hint="eastAsia" w:asciiTheme="minorEastAsia" w:hAnsiTheme="minorEastAsia" w:eastAsiaTheme="minorEastAsia" w:cstheme="minorEastAsia"/>
                <w:b w:val="0"/>
                <w:bCs w:val="0"/>
                <w:sz w:val="24"/>
                <w:szCs w:val="24"/>
                <w:lang w:eastAsia="zh-CN"/>
              </w:rPr>
              <w:t>分，一般得</w:t>
            </w:r>
            <w:r>
              <w:rPr>
                <w:rFonts w:hint="eastAsia" w:asciiTheme="minorEastAsia" w:hAnsiTheme="minorEastAsia" w:eastAsiaTheme="minorEastAsia" w:cstheme="minorEastAsia"/>
                <w:b w:val="0"/>
                <w:bCs w:val="0"/>
                <w:sz w:val="24"/>
                <w:szCs w:val="24"/>
                <w:lang w:val="en-US" w:eastAsia="zh-CN"/>
              </w:rPr>
              <w:t>1-2</w:t>
            </w:r>
            <w:r>
              <w:rPr>
                <w:rFonts w:hint="eastAsia" w:asciiTheme="minorEastAsia" w:hAnsiTheme="minorEastAsia" w:eastAsiaTheme="minorEastAsia" w:cstheme="minorEastAsia"/>
                <w:b w:val="0"/>
                <w:bCs w:val="0"/>
                <w:sz w:val="24"/>
                <w:szCs w:val="24"/>
                <w:lang w:eastAsia="zh-CN"/>
              </w:rPr>
              <w:t>分，</w:t>
            </w:r>
            <w:r>
              <w:rPr>
                <w:rFonts w:hint="eastAsia" w:asciiTheme="minorEastAsia" w:hAnsiTheme="minorEastAsia" w:eastAsiaTheme="minorEastAsia" w:cstheme="minorEastAsia"/>
                <w:b w:val="0"/>
                <w:bCs w:val="0"/>
                <w:sz w:val="24"/>
                <w:szCs w:val="24"/>
                <w:lang w:val="en-US" w:eastAsia="zh-CN"/>
              </w:rPr>
              <w:t>不提供不得分</w:t>
            </w:r>
            <w:r>
              <w:rPr>
                <w:rFonts w:hint="eastAsia" w:asciiTheme="minorEastAsia" w:hAnsiTheme="minorEastAsia" w:eastAsiaTheme="minorEastAsia" w:cstheme="minorEastAsia"/>
                <w:b w:val="0"/>
                <w:bCs w:val="0"/>
                <w:sz w:val="24"/>
                <w:szCs w:val="24"/>
                <w:lang w:eastAsia="zh-CN"/>
              </w:rPr>
              <w:t>。</w:t>
            </w:r>
          </w:p>
          <w:p>
            <w:pPr>
              <w:snapToGrid w:val="0"/>
              <w:spacing w:line="360" w:lineRule="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对投标人</w:t>
            </w:r>
            <w:r>
              <w:rPr>
                <w:rFonts w:hint="eastAsia" w:asciiTheme="minorEastAsia" w:hAnsiTheme="minorEastAsia" w:eastAsiaTheme="minorEastAsia" w:cstheme="minorEastAsia"/>
                <w:b w:val="0"/>
                <w:bCs w:val="0"/>
                <w:sz w:val="24"/>
                <w:szCs w:val="24"/>
                <w:lang w:eastAsia="zh-CN"/>
              </w:rPr>
              <w:t>应急抢修预案合理，针对性、可操作性进行评审。优得</w:t>
            </w: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lang w:eastAsia="zh-CN"/>
              </w:rPr>
              <w:t>分，良得</w:t>
            </w:r>
            <w:r>
              <w:rPr>
                <w:rFonts w:hint="eastAsia" w:asciiTheme="minorEastAsia" w:hAnsiTheme="minorEastAsia" w:eastAsiaTheme="minorEastAsia" w:cstheme="minorEastAsia"/>
                <w:b w:val="0"/>
                <w:bCs w:val="0"/>
                <w:sz w:val="24"/>
                <w:szCs w:val="24"/>
                <w:lang w:val="en-US" w:eastAsia="zh-CN"/>
              </w:rPr>
              <w:t>3-4</w:t>
            </w:r>
            <w:r>
              <w:rPr>
                <w:rFonts w:hint="eastAsia" w:asciiTheme="minorEastAsia" w:hAnsiTheme="minorEastAsia" w:eastAsiaTheme="minorEastAsia" w:cstheme="minorEastAsia"/>
                <w:b w:val="0"/>
                <w:bCs w:val="0"/>
                <w:sz w:val="24"/>
                <w:szCs w:val="24"/>
                <w:lang w:eastAsia="zh-CN"/>
              </w:rPr>
              <w:t>分，一般得</w:t>
            </w:r>
            <w:r>
              <w:rPr>
                <w:rFonts w:hint="eastAsia" w:asciiTheme="minorEastAsia" w:hAnsiTheme="minorEastAsia" w:eastAsiaTheme="minorEastAsia" w:cstheme="minorEastAsia"/>
                <w:b w:val="0"/>
                <w:bCs w:val="0"/>
                <w:sz w:val="24"/>
                <w:szCs w:val="24"/>
                <w:lang w:val="en-US" w:eastAsia="zh-CN"/>
              </w:rPr>
              <w:t>1-2</w:t>
            </w:r>
            <w:r>
              <w:rPr>
                <w:rFonts w:hint="eastAsia" w:asciiTheme="minorEastAsia" w:hAnsiTheme="minorEastAsia" w:eastAsiaTheme="minorEastAsia" w:cstheme="minorEastAsia"/>
                <w:b w:val="0"/>
                <w:bCs w:val="0"/>
                <w:sz w:val="24"/>
                <w:szCs w:val="24"/>
                <w:lang w:eastAsia="zh-CN"/>
              </w:rPr>
              <w:t>分，</w:t>
            </w:r>
            <w:r>
              <w:rPr>
                <w:rFonts w:hint="eastAsia" w:asciiTheme="minorEastAsia" w:hAnsiTheme="minorEastAsia" w:eastAsiaTheme="minorEastAsia" w:cstheme="minorEastAsia"/>
                <w:b w:val="0"/>
                <w:bCs w:val="0"/>
                <w:sz w:val="24"/>
                <w:szCs w:val="24"/>
                <w:lang w:val="en-US" w:eastAsia="zh-CN"/>
              </w:rPr>
              <w:t>不提供不得分</w:t>
            </w:r>
            <w:r>
              <w:rPr>
                <w:rFonts w:hint="eastAsia" w:asciiTheme="minorEastAsia" w:hAnsiTheme="minorEastAsia" w:eastAsiaTheme="minorEastAsia" w:cstheme="minorEastAsia"/>
                <w:b w:val="0"/>
                <w:bCs w:val="0"/>
                <w:sz w:val="24"/>
                <w:szCs w:val="24"/>
                <w:lang w:eastAsia="zh-CN"/>
              </w:rPr>
              <w:t>。</w:t>
            </w:r>
          </w:p>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）采用信息化手段加强维保管理，须提供与软件服务商签订的合同及开具的发票得4分</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未提供的不得分。</w:t>
            </w:r>
          </w:p>
        </w:tc>
      </w:tr>
    </w:tbl>
    <w:p>
      <w:pPr>
        <w:snapToGrid w:val="0"/>
        <w:spacing w:line="440" w:lineRule="exact"/>
        <w:ind w:firstLine="480" w:firstLineChars="200"/>
        <w:outlineLvl w:val="1"/>
        <w:rPr>
          <w:rFonts w:ascii="宋体"/>
          <w:b/>
          <w:bCs/>
          <w:sz w:val="24"/>
          <w:szCs w:val="24"/>
        </w:rPr>
      </w:pPr>
      <w:r>
        <w:rPr>
          <w:rFonts w:hint="eastAsia" w:ascii="宋体" w:hAnsi="宋体" w:cs="宋体"/>
          <w:sz w:val="24"/>
          <w:szCs w:val="24"/>
        </w:rPr>
        <w:t>注：以上打分项设得分上限，评委依据磋商文件载明的方法评分，评分四舍五入精确到小数点后两位。</w:t>
      </w:r>
    </w:p>
    <w:p>
      <w:pPr>
        <w:adjustRightInd w:val="0"/>
        <w:snapToGrid w:val="0"/>
        <w:spacing w:line="440" w:lineRule="exact"/>
        <w:ind w:firstLine="482" w:firstLineChars="200"/>
        <w:rPr>
          <w:rFonts w:ascii="宋体"/>
          <w:b/>
          <w:bCs/>
          <w:sz w:val="24"/>
          <w:szCs w:val="24"/>
        </w:rPr>
      </w:pPr>
      <w:r>
        <w:rPr>
          <w:rFonts w:hint="eastAsia" w:ascii="宋体" w:hAnsi="宋体" w:cs="宋体"/>
          <w:b/>
          <w:bCs/>
          <w:sz w:val="24"/>
          <w:szCs w:val="24"/>
          <w:u w:val="thick" w:color="FF0000"/>
        </w:rPr>
        <w:t>特别提醒：技术标评分中所涉及相关资料等证明材料均须提供原件的复印件加盖公章，并将原件带至开标现场备查，未携带原件或因携带原件不全所引起的后果由投标人自行承担</w:t>
      </w:r>
      <w:r>
        <w:rPr>
          <w:rFonts w:hint="eastAsia" w:ascii="宋体" w:hAnsi="宋体" w:cs="宋体"/>
          <w:b/>
          <w:bCs/>
          <w:sz w:val="24"/>
          <w:szCs w:val="24"/>
        </w:rPr>
        <w:t>。</w:t>
      </w:r>
    </w:p>
    <w:p>
      <w:pPr>
        <w:snapToGrid w:val="0"/>
        <w:spacing w:line="360" w:lineRule="auto"/>
        <w:ind w:firstLine="480" w:firstLineChars="200"/>
        <w:rPr>
          <w:rFonts w:ascii="宋体"/>
          <w:sz w:val="24"/>
          <w:szCs w:val="24"/>
        </w:rPr>
      </w:pPr>
      <w:r>
        <w:rPr>
          <w:rFonts w:hint="eastAsia" w:ascii="宋体" w:hAnsi="宋体" w:cs="宋体"/>
          <w:sz w:val="24"/>
          <w:szCs w:val="24"/>
        </w:rPr>
        <w:t>（二）商务报价响应评分：（</w:t>
      </w:r>
      <w:r>
        <w:rPr>
          <w:rFonts w:hint="eastAsia" w:ascii="宋体" w:hAnsi="宋体" w:cs="宋体"/>
          <w:sz w:val="24"/>
          <w:szCs w:val="24"/>
          <w:lang w:val="en-US" w:eastAsia="zh-CN"/>
        </w:rPr>
        <w:t>40</w:t>
      </w:r>
      <w:r>
        <w:rPr>
          <w:rFonts w:hint="eastAsia" w:ascii="宋体" w:hAnsi="宋体" w:cs="宋体"/>
          <w:sz w:val="24"/>
          <w:szCs w:val="24"/>
        </w:rPr>
        <w:t>分）</w:t>
      </w:r>
    </w:p>
    <w:bookmarkEnd w:id="53"/>
    <w:bookmarkEnd w:id="54"/>
    <w:bookmarkEnd w:id="55"/>
    <w:bookmarkEnd w:id="56"/>
    <w:bookmarkEnd w:id="57"/>
    <w:bookmarkEnd w:id="58"/>
    <w:bookmarkEnd w:id="59"/>
    <w:bookmarkEnd w:id="60"/>
    <w:p>
      <w:pPr>
        <w:snapToGrid w:val="0"/>
        <w:spacing w:line="420" w:lineRule="exact"/>
        <w:ind w:firstLine="484" w:firstLineChars="202"/>
        <w:rPr>
          <w:rFonts w:hint="eastAsia" w:asciiTheme="minorEastAsia" w:hAnsiTheme="minorEastAsia" w:eastAsiaTheme="minorEastAsia"/>
          <w:b w:val="0"/>
          <w:bCs/>
          <w:sz w:val="24"/>
          <w:szCs w:val="24"/>
          <w:highlight w:val="none"/>
        </w:rPr>
      </w:pPr>
      <w:bookmarkStart w:id="62" w:name="_Hlk67169510"/>
      <w:bookmarkStart w:id="63" w:name="_Toc94585343"/>
      <w:bookmarkStart w:id="64" w:name="_Toc363573858"/>
      <w:r>
        <w:rPr>
          <w:rFonts w:hint="eastAsia" w:asciiTheme="minorEastAsia" w:hAnsiTheme="minorEastAsia" w:eastAsiaTheme="minorEastAsia"/>
          <w:b w:val="0"/>
          <w:bCs/>
          <w:sz w:val="24"/>
          <w:szCs w:val="24"/>
          <w:highlight w:val="none"/>
        </w:rPr>
        <w:t>价格分统一采用低价优先法计算，即满足招标文件要求且投标价格总价最低的投标报价为评标基准价，其价格分为满分。其他投标人的价格分统一按照下列公式计算：</w:t>
      </w:r>
    </w:p>
    <w:p>
      <w:pPr>
        <w:snapToGrid w:val="0"/>
        <w:spacing w:line="420" w:lineRule="exact"/>
        <w:ind w:firstLine="484" w:firstLineChars="202"/>
        <w:rPr>
          <w:rFonts w:hint="default" w:asciiTheme="minorEastAsia" w:hAnsiTheme="minorEastAsia" w:eastAsiaTheme="minorEastAsia"/>
          <w:b w:val="0"/>
          <w:bCs/>
          <w:sz w:val="24"/>
          <w:szCs w:val="24"/>
          <w:highlight w:val="none"/>
          <w:lang w:val="en-US" w:eastAsia="zh-CN"/>
        </w:rPr>
      </w:pPr>
      <w:r>
        <w:rPr>
          <w:rFonts w:hint="eastAsia" w:asciiTheme="minorEastAsia" w:hAnsiTheme="minorEastAsia" w:eastAsiaTheme="minorEastAsia"/>
          <w:b w:val="0"/>
          <w:bCs/>
          <w:sz w:val="24"/>
          <w:szCs w:val="24"/>
          <w:highlight w:val="none"/>
        </w:rPr>
        <w:t>投标报价得分=（评标基准价/投标报价总价）×</w:t>
      </w:r>
      <w:r>
        <w:rPr>
          <w:rFonts w:hint="eastAsia" w:asciiTheme="minorEastAsia" w:hAnsiTheme="minorEastAsia" w:eastAsiaTheme="minorEastAsia"/>
          <w:b w:val="0"/>
          <w:bCs/>
          <w:sz w:val="24"/>
          <w:szCs w:val="24"/>
          <w:highlight w:val="none"/>
          <w:lang w:val="en-US" w:eastAsia="zh-CN"/>
        </w:rPr>
        <w:t>40</w:t>
      </w:r>
    </w:p>
    <w:bookmarkEnd w:id="62"/>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六、出现下列情形之一的，作无效响应处理</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、响应文件未按磋商文件要求装订、密封、签署、盖章及主要资料不齐全的；</w:t>
      </w:r>
    </w:p>
    <w:p>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、响应文件的资料有虚报或者谎报的；</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、响应文件中资格审查文件及技术响应文件出现磋商报价的内容；</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、不具备磋商文件规定的资格要求的；</w:t>
      </w:r>
    </w:p>
    <w:p>
      <w:pPr>
        <w:snapToGrid w:val="0"/>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、响应文件有重大漏项或重大不合理的；</w:t>
      </w:r>
    </w:p>
    <w:p>
      <w:pPr>
        <w:snapToGrid w:val="0"/>
        <w:spacing w:line="360" w:lineRule="auto"/>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、项目技术、方案不满足项目需求中的要求，有重大偏离或保留的；</w:t>
      </w:r>
    </w:p>
    <w:p>
      <w:pPr>
        <w:snapToGrid w:val="0"/>
        <w:spacing w:line="360" w:lineRule="auto"/>
        <w:ind w:firstLine="480" w:firstLineChars="200"/>
        <w:rPr>
          <w:rFonts w:ascii="宋体"/>
          <w:sz w:val="24"/>
          <w:szCs w:val="24"/>
        </w:rPr>
      </w:pPr>
      <w:r>
        <w:rPr>
          <w:rFonts w:ascii="宋体" w:hAnsi="宋体" w:cs="宋体"/>
          <w:sz w:val="24"/>
          <w:szCs w:val="24"/>
        </w:rPr>
        <w:t>7</w:t>
      </w:r>
      <w:r>
        <w:rPr>
          <w:rFonts w:hint="eastAsia" w:ascii="宋体" w:hAnsi="宋体" w:cs="宋体"/>
          <w:sz w:val="24"/>
          <w:szCs w:val="24"/>
        </w:rPr>
        <w:t>、磋商响应报价超出项目预算的；</w:t>
      </w:r>
    </w:p>
    <w:p>
      <w:pPr>
        <w:snapToGrid w:val="0"/>
        <w:spacing w:line="360" w:lineRule="auto"/>
        <w:ind w:firstLine="480" w:firstLineChars="200"/>
        <w:rPr>
          <w:rFonts w:ascii="宋体"/>
          <w:sz w:val="24"/>
          <w:szCs w:val="24"/>
        </w:rPr>
      </w:pPr>
      <w:r>
        <w:rPr>
          <w:rFonts w:ascii="宋体" w:hAnsi="宋体" w:cs="宋体"/>
          <w:sz w:val="24"/>
          <w:szCs w:val="24"/>
        </w:rPr>
        <w:t>8</w:t>
      </w:r>
      <w:r>
        <w:rPr>
          <w:rFonts w:hint="eastAsia" w:ascii="宋体" w:hAnsi="宋体" w:cs="宋体"/>
          <w:sz w:val="24"/>
          <w:szCs w:val="24"/>
        </w:rPr>
        <w:t>、被认定为低于成本报价磋商竞标的；</w:t>
      </w:r>
    </w:p>
    <w:p>
      <w:pPr>
        <w:snapToGrid w:val="0"/>
        <w:spacing w:line="360" w:lineRule="auto"/>
        <w:ind w:firstLine="480" w:firstLineChars="200"/>
        <w:rPr>
          <w:rFonts w:ascii="宋体"/>
          <w:sz w:val="24"/>
          <w:szCs w:val="24"/>
        </w:rPr>
      </w:pPr>
      <w:r>
        <w:rPr>
          <w:rFonts w:ascii="宋体" w:hAnsi="宋体" w:cs="宋体"/>
          <w:sz w:val="24"/>
          <w:szCs w:val="24"/>
        </w:rPr>
        <w:t>9</w:t>
      </w:r>
      <w:r>
        <w:rPr>
          <w:rFonts w:hint="eastAsia" w:ascii="宋体" w:hAnsi="宋体" w:cs="宋体"/>
          <w:sz w:val="24"/>
          <w:szCs w:val="24"/>
        </w:rPr>
        <w:t>、供应商的磋商报价高于自己前一轮的；</w:t>
      </w:r>
    </w:p>
    <w:p>
      <w:pPr>
        <w:snapToGrid w:val="0"/>
        <w:spacing w:line="360" w:lineRule="auto"/>
        <w:ind w:firstLine="480" w:firstLineChars="200"/>
        <w:rPr>
          <w:rFonts w:ascii="宋体"/>
          <w:dstrike/>
          <w:sz w:val="24"/>
          <w:szCs w:val="24"/>
        </w:rPr>
      </w:pPr>
      <w:r>
        <w:rPr>
          <w:rFonts w:ascii="宋体" w:hAnsi="宋体" w:cs="宋体"/>
          <w:sz w:val="24"/>
          <w:szCs w:val="24"/>
        </w:rPr>
        <w:t>10</w:t>
      </w:r>
      <w:r>
        <w:rPr>
          <w:rFonts w:hint="eastAsia" w:ascii="宋体" w:hAnsi="宋体" w:cs="宋体"/>
          <w:sz w:val="24"/>
          <w:szCs w:val="24"/>
        </w:rPr>
        <w:t>、不符合法律、法规和磋商文件中规定的其他实质性响应要求的；</w:t>
      </w:r>
    </w:p>
    <w:p>
      <w:pPr>
        <w:snapToGrid w:val="0"/>
        <w:spacing w:line="360" w:lineRule="auto"/>
        <w:ind w:firstLine="480" w:firstLineChars="200"/>
        <w:rPr>
          <w:rFonts w:ascii="宋体"/>
          <w:sz w:val="24"/>
          <w:szCs w:val="24"/>
        </w:rPr>
      </w:pPr>
      <w:r>
        <w:rPr>
          <w:rFonts w:ascii="宋体" w:hAnsi="宋体" w:cs="宋体"/>
          <w:sz w:val="24"/>
          <w:szCs w:val="24"/>
        </w:rPr>
        <w:t>11</w:t>
      </w:r>
      <w:r>
        <w:rPr>
          <w:rFonts w:hint="eastAsia" w:ascii="宋体" w:hAnsi="宋体" w:cs="宋体"/>
          <w:sz w:val="24"/>
          <w:szCs w:val="24"/>
        </w:rPr>
        <w:t>、磋商小组依据法律法规可以认定为无效投标的其他情况。</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七、出现下列情形之一的，作废标处理</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、供应商的报价均超出了采购预算，采购单位不能支付的；</w:t>
      </w:r>
    </w:p>
    <w:p>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、因情况变化，不再符合规定的竞争性磋商采购方式所适用情形的；</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、出现影响采购公正的违法、违规行为的；</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、因重大变故，采购任务取消的；</w:t>
      </w:r>
      <w:r>
        <w:rPr>
          <w:rFonts w:ascii="宋体"/>
          <w:sz w:val="24"/>
          <w:szCs w:val="24"/>
        </w:rPr>
        <w:tab/>
      </w:r>
    </w:p>
    <w:p>
      <w:pPr>
        <w:snapToGrid w:val="0"/>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、磋商小组依据法律法规可以认定为废标的其他情况。</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八、成交通知</w:t>
      </w:r>
    </w:p>
    <w:p>
      <w:pPr>
        <w:snapToGrid w:val="0"/>
        <w:spacing w:line="360" w:lineRule="auto"/>
        <w:ind w:firstLine="480" w:firstLineChars="200"/>
        <w:rPr>
          <w:rFonts w:hint="eastAsia" w:cs="宋体"/>
          <w:kern w:val="0"/>
          <w:sz w:val="24"/>
          <w:szCs w:val="24"/>
        </w:rPr>
      </w:pPr>
      <w:r>
        <w:rPr>
          <w:rFonts w:hint="eastAsia" w:cs="宋体"/>
          <w:kern w:val="0"/>
          <w:sz w:val="24"/>
          <w:szCs w:val="24"/>
        </w:rPr>
        <w:t>成交结果在</w:t>
      </w:r>
      <w:r>
        <w:rPr>
          <w:rFonts w:hint="eastAsia" w:cs="宋体"/>
          <w:kern w:val="0"/>
          <w:sz w:val="24"/>
          <w:szCs w:val="24"/>
          <w:lang w:eastAsia="zh-CN"/>
        </w:rPr>
        <w:t>南通市保安服务有限公司</w:t>
      </w:r>
      <w:r>
        <w:rPr>
          <w:rFonts w:hint="eastAsia" w:ascii="宋体" w:hAnsi="宋体" w:cs="宋体"/>
          <w:sz w:val="24"/>
          <w:szCs w:val="24"/>
        </w:rPr>
        <w:t>官网公示</w:t>
      </w:r>
      <w:r>
        <w:rPr>
          <w:rFonts w:hint="eastAsia"/>
          <w:b/>
          <w:bCs/>
          <w:kern w:val="0"/>
          <w:sz w:val="24"/>
          <w:szCs w:val="24"/>
          <w:u w:val="single"/>
        </w:rPr>
        <w:t>1</w:t>
      </w:r>
      <w:r>
        <w:rPr>
          <w:rFonts w:hint="eastAsia" w:cs="宋体"/>
          <w:kern w:val="0"/>
          <w:sz w:val="24"/>
          <w:szCs w:val="24"/>
        </w:rPr>
        <w:t>个工作日。《成交通知书》一经发出，采购单位改变成交结果，或者供应商放弃成交的，各自承担相应的法律责任。《成交通知书》是采购合同的组成部分。</w:t>
      </w:r>
    </w:p>
    <w:p>
      <w:pPr>
        <w:pStyle w:val="50"/>
      </w:pPr>
    </w:p>
    <w:p>
      <w:pPr>
        <w:pStyle w:val="3"/>
        <w:keepNext w:val="0"/>
        <w:keepLines w:val="0"/>
        <w:numPr>
          <w:ilvl w:val="0"/>
          <w:numId w:val="0"/>
        </w:numPr>
        <w:snapToGrid w:val="0"/>
        <w:spacing w:before="0" w:after="0" w:line="360" w:lineRule="auto"/>
        <w:jc w:val="center"/>
        <w:rPr>
          <w:rFonts w:ascii="宋体" w:hAnsi="宋体"/>
          <w:sz w:val="24"/>
          <w:szCs w:val="24"/>
        </w:rPr>
      </w:pPr>
      <w:r>
        <w:rPr>
          <w:rFonts w:ascii="宋体"/>
          <w:w w:val="80"/>
        </w:rPr>
        <w:br w:type="page"/>
      </w:r>
      <w:bookmarkEnd w:id="63"/>
      <w:bookmarkEnd w:id="64"/>
      <w:r>
        <w:rPr>
          <w:rFonts w:hint="eastAsia" w:ascii="宋体" w:hAnsi="宋体" w:cs="宋体"/>
          <w:w w:val="80"/>
        </w:rPr>
        <w:t>第五章  合同主要条款</w:t>
      </w:r>
      <w:bookmarkStart w:id="65" w:name="_Toc39047827"/>
      <w:bookmarkStart w:id="66" w:name="_Toc20744795"/>
      <w:bookmarkStart w:id="67" w:name="_Toc20744258"/>
    </w:p>
    <w:bookmarkEnd w:id="65"/>
    <w:bookmarkEnd w:id="66"/>
    <w:bookmarkEnd w:id="67"/>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甲方：</w:t>
      </w:r>
      <w:r>
        <w:rPr>
          <w:rFonts w:hint="eastAsia" w:asciiTheme="minorEastAsia" w:hAnsiTheme="minorEastAsia" w:eastAsiaTheme="minorEastAsia" w:cstheme="minorEastAsia"/>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(委托方)</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乙方：</w:t>
      </w:r>
      <w:r>
        <w:rPr>
          <w:rFonts w:hint="eastAsia" w:asciiTheme="minorEastAsia" w:hAnsiTheme="minorEastAsia" w:eastAsiaTheme="minorEastAsia" w:cstheme="minorEastAsia"/>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 xml:space="preserve">(受托方) </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一. 委托维修保养项目. 甲方现有电梯委托乙方进行维修和保养。</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二. 维修和保养服务期限 </w:t>
      </w:r>
    </w:p>
    <w:p>
      <w:pPr>
        <w:widowControl/>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自</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single"/>
        </w:rPr>
        <w:t>年  月  日</w:t>
      </w:r>
      <w:r>
        <w:rPr>
          <w:rFonts w:hint="eastAsia" w:asciiTheme="minorEastAsia" w:hAnsiTheme="minorEastAsia" w:eastAsiaTheme="minorEastAsia" w:cstheme="minorEastAsia"/>
          <w:color w:val="000000"/>
          <w:kern w:val="0"/>
          <w:sz w:val="24"/>
          <w:szCs w:val="24"/>
        </w:rPr>
        <w:t>起至</w:t>
      </w:r>
      <w:r>
        <w:rPr>
          <w:rFonts w:hint="eastAsia" w:asciiTheme="minorEastAsia" w:hAnsiTheme="minorEastAsia" w:eastAsiaTheme="minorEastAsia" w:cstheme="minorEastAsia"/>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single"/>
        </w:rPr>
        <w:t>年  月  日</w:t>
      </w:r>
      <w:r>
        <w:rPr>
          <w:rFonts w:hint="eastAsia" w:asciiTheme="minorEastAsia" w:hAnsiTheme="minorEastAsia" w:eastAsiaTheme="minorEastAsia" w:cstheme="minorEastAsia"/>
          <w:color w:val="000000"/>
          <w:kern w:val="0"/>
          <w:sz w:val="24"/>
          <w:szCs w:val="24"/>
        </w:rPr>
        <w:t>止，为期</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rPr>
        <w:t>年。合同履行过程中,</w:t>
      </w:r>
      <w:r>
        <w:rPr>
          <w:rFonts w:hint="eastAsia" w:asciiTheme="minorEastAsia" w:hAnsiTheme="minorEastAsia" w:eastAsiaTheme="minorEastAsia" w:cstheme="minorEastAsia"/>
          <w:color w:val="000000"/>
          <w:sz w:val="24"/>
          <w:szCs w:val="24"/>
        </w:rPr>
        <w:t>任何一方若需终止合同，必须提前30天以书面形式通知对方,在征得对方同意并协调好相关善后工作的情况下方可终止,否则视为违约并承担相应的违约责任。合同期满后，甲方根据乙方服务及考核情况决定是否续签下一年度合同。</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三.</w:t>
      </w:r>
      <w:r>
        <w:rPr>
          <w:rFonts w:hint="eastAsia" w:asciiTheme="minorEastAsia" w:hAnsiTheme="minorEastAsia" w:eastAsiaTheme="minorEastAsia" w:cstheme="minorEastAsia"/>
          <w:color w:val="000000"/>
          <w:kern w:val="0"/>
          <w:sz w:val="24"/>
          <w:szCs w:val="24"/>
        </w:rPr>
        <w:t xml:space="preserve"> 甲方的权利和义务</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1.甲方有权</w:t>
      </w:r>
      <w:r>
        <w:rPr>
          <w:rFonts w:hint="eastAsia" w:asciiTheme="minorEastAsia" w:hAnsiTheme="minorEastAsia" w:eastAsiaTheme="minorEastAsia" w:cstheme="minorEastAsia"/>
          <w:color w:val="000000"/>
          <w:sz w:val="24"/>
          <w:szCs w:val="24"/>
        </w:rPr>
        <w:t>对</w:t>
      </w:r>
      <w:r>
        <w:rPr>
          <w:rFonts w:hint="eastAsia" w:asciiTheme="minorEastAsia" w:hAnsiTheme="minorEastAsia" w:eastAsiaTheme="minorEastAsia" w:cstheme="minorEastAsia"/>
          <w:color w:val="000000"/>
          <w:kern w:val="0"/>
          <w:sz w:val="24"/>
          <w:szCs w:val="24"/>
        </w:rPr>
        <w:t>乙方</w:t>
      </w:r>
      <w:r>
        <w:rPr>
          <w:rFonts w:hint="eastAsia" w:asciiTheme="minorEastAsia" w:hAnsiTheme="minorEastAsia" w:eastAsiaTheme="minorEastAsia" w:cstheme="minorEastAsia"/>
          <w:color w:val="000000"/>
          <w:sz w:val="24"/>
          <w:szCs w:val="24"/>
        </w:rPr>
        <w:t>工作</w:t>
      </w:r>
      <w:r>
        <w:rPr>
          <w:rFonts w:hint="eastAsia" w:asciiTheme="minorEastAsia" w:hAnsiTheme="minorEastAsia" w:eastAsiaTheme="minorEastAsia" w:cstheme="minorEastAsia"/>
          <w:color w:val="000000"/>
          <w:kern w:val="0"/>
          <w:sz w:val="24"/>
          <w:szCs w:val="24"/>
        </w:rPr>
        <w:t>进行监督管理和考核,</w:t>
      </w:r>
      <w:r>
        <w:rPr>
          <w:rFonts w:hint="eastAsia" w:asciiTheme="minorEastAsia" w:hAnsiTheme="minorEastAsia" w:eastAsiaTheme="minorEastAsia" w:cstheme="minorEastAsia"/>
          <w:color w:val="000000"/>
          <w:sz w:val="24"/>
          <w:szCs w:val="24"/>
        </w:rPr>
        <w:t xml:space="preserve"> 对不合格的</w:t>
      </w:r>
      <w:r>
        <w:rPr>
          <w:rFonts w:hint="eastAsia" w:asciiTheme="minorEastAsia" w:hAnsiTheme="minorEastAsia" w:eastAsiaTheme="minorEastAsia" w:cstheme="minorEastAsia"/>
          <w:color w:val="000000"/>
          <w:kern w:val="0"/>
          <w:sz w:val="24"/>
          <w:szCs w:val="24"/>
        </w:rPr>
        <w:t>维修人员有权要求乙方更换。</w:t>
      </w:r>
    </w:p>
    <w:p>
      <w:pPr>
        <w:widowControl/>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2.特殊的单项修理费用和检修内容及超越维保范围的故障需进行修理时, 费用及维修时间由双方另行</w:t>
      </w:r>
      <w:r>
        <w:rPr>
          <w:rFonts w:hint="eastAsia" w:asciiTheme="minorEastAsia" w:hAnsiTheme="minorEastAsia" w:eastAsiaTheme="minorEastAsia" w:cstheme="minorEastAsia"/>
          <w:color w:val="000000"/>
          <w:sz w:val="24"/>
          <w:szCs w:val="24"/>
        </w:rPr>
        <w:t>协商。</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3.电梯所</w:t>
      </w:r>
      <w:r>
        <w:rPr>
          <w:rFonts w:hint="eastAsia" w:asciiTheme="minorEastAsia" w:hAnsiTheme="minorEastAsia" w:eastAsiaTheme="minorEastAsia" w:cstheme="minorEastAsia"/>
          <w:color w:val="000000"/>
          <w:kern w:val="0"/>
          <w:sz w:val="24"/>
          <w:szCs w:val="24"/>
        </w:rPr>
        <w:t>需更换的配件, 除本合同第一条中约定由乙方免费提供的之外，由甲方提供或由乙方报价,其经甲方认可后委托乙方代购。</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4.甲方为乙方维修人员提供出入之方便,以及必要的辅助</w:t>
      </w:r>
      <w:r>
        <w:rPr>
          <w:rFonts w:hint="eastAsia" w:asciiTheme="minorEastAsia" w:hAnsiTheme="minorEastAsia" w:eastAsiaTheme="minorEastAsia" w:cstheme="minorEastAsia"/>
          <w:color w:val="000000"/>
          <w:sz w:val="24"/>
          <w:szCs w:val="24"/>
        </w:rPr>
        <w:t>工作</w:t>
      </w:r>
      <w:r>
        <w:rPr>
          <w:rFonts w:hint="eastAsia" w:asciiTheme="minorEastAsia" w:hAnsiTheme="minorEastAsia" w:eastAsiaTheme="minorEastAsia" w:cstheme="minorEastAsia"/>
          <w:color w:val="000000"/>
          <w:kern w:val="0"/>
          <w:sz w:val="24"/>
          <w:szCs w:val="24"/>
        </w:rPr>
        <w:t>设施。</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四. 乙方的责任</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 保养内容</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1)清除灰尘:机房、轿顶 、地坎、及轿厢、厅门不锈钢、井道等清洁养护；</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2)螺栓紧固:电动机联轴器、制动器、门框、厅门门锁、接触器、支架、导轨联接等部位；</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3)部件润滑:曳引机油位、电动机油池、门轮、门脚滑块、限速器(涨紧轮)、 导轨、轿顶轮、对重块、导向轮等；</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4)安全装置检查: 机房电源开关、安全钳开关、上下限位开关、上下极限开关、厅门锁、轿顶急停开关、轿厅门、底坑急停开关、限速器动作、熔断器、纲丝绳等。</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2.每月</w:t>
      </w:r>
      <w:r>
        <w:rPr>
          <w:rFonts w:hint="eastAsia" w:asciiTheme="minorEastAsia" w:hAnsiTheme="minorEastAsia" w:eastAsiaTheme="minorEastAsia" w:cstheme="minorEastAsia"/>
          <w:color w:val="000000"/>
          <w:sz w:val="24"/>
          <w:szCs w:val="24"/>
        </w:rPr>
        <w:t>对</w:t>
      </w:r>
      <w:r>
        <w:rPr>
          <w:rFonts w:hint="eastAsia" w:asciiTheme="minorEastAsia" w:hAnsiTheme="minorEastAsia" w:eastAsiaTheme="minorEastAsia" w:cstheme="minorEastAsia"/>
          <w:color w:val="000000"/>
          <w:kern w:val="0"/>
          <w:sz w:val="24"/>
          <w:szCs w:val="24"/>
        </w:rPr>
        <w:t>合同约定的电梯进行两次常规检查和</w:t>
      </w:r>
      <w:r>
        <w:rPr>
          <w:rFonts w:hint="eastAsia" w:asciiTheme="minorEastAsia" w:hAnsiTheme="minorEastAsia" w:eastAsiaTheme="minorEastAsia" w:cstheme="minorEastAsia"/>
          <w:color w:val="000000"/>
          <w:sz w:val="24"/>
          <w:szCs w:val="24"/>
        </w:rPr>
        <w:t>例行保养,</w:t>
      </w:r>
      <w:r>
        <w:rPr>
          <w:rFonts w:hint="eastAsia" w:asciiTheme="minorEastAsia" w:hAnsiTheme="minorEastAsia" w:eastAsiaTheme="minorEastAsia" w:cstheme="minorEastAsia"/>
          <w:color w:val="000000"/>
          <w:kern w:val="0"/>
          <w:sz w:val="24"/>
          <w:szCs w:val="24"/>
        </w:rPr>
        <w:t>同时由甲方派专人随同协助并逐一做好登记签验单据,存档备查. 乙方维修保养程序要求根据国家标准进行, 确保电梯长期安全、稳定、高效、正常运行,经乙方维修保养到位，且经过甲方验收合格。</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 电梯突发故障的排除及维修. 电梯在正常使用期间遇到突发故障时应立即停止使用,乙方在接到报修通知后,10分钟内到达到场急修, 并做好电梯故障排除及修理记录。若乙方未在上述期限内解决所有问题，则甲方有权自行或另行委托第三人解决上述问题，由此产生的费用全部由乙方承担。</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 乙方派驻维修保养人员名（按投标承诺），定点在甲方提供全天候（24小时）服务。</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5.每年度进行电梯维修保养记录,</w:t>
      </w:r>
      <w:r>
        <w:rPr>
          <w:rFonts w:hint="eastAsia" w:asciiTheme="minorEastAsia" w:hAnsiTheme="minorEastAsia" w:eastAsiaTheme="minorEastAsia" w:cstheme="minorEastAsia"/>
          <w:color w:val="000000"/>
          <w:sz w:val="24"/>
          <w:szCs w:val="24"/>
        </w:rPr>
        <w:t xml:space="preserve"> 对</w:t>
      </w:r>
      <w:r>
        <w:rPr>
          <w:rFonts w:hint="eastAsia" w:asciiTheme="minorEastAsia" w:hAnsiTheme="minorEastAsia" w:eastAsiaTheme="minorEastAsia" w:cstheme="minorEastAsia"/>
          <w:color w:val="000000"/>
          <w:kern w:val="0"/>
          <w:sz w:val="24"/>
          <w:szCs w:val="24"/>
        </w:rPr>
        <w:t>电梯的运行和安全方面进行测试或总结，</w:t>
      </w:r>
      <w:r>
        <w:rPr>
          <w:rFonts w:hint="eastAsia" w:asciiTheme="minorEastAsia" w:hAnsiTheme="minorEastAsia" w:eastAsiaTheme="minorEastAsia" w:cstheme="minorEastAsia"/>
          <w:color w:val="000000"/>
          <w:sz w:val="24"/>
          <w:szCs w:val="24"/>
        </w:rPr>
        <w:t xml:space="preserve"> 对</w:t>
      </w:r>
      <w:r>
        <w:rPr>
          <w:rFonts w:hint="eastAsia" w:asciiTheme="minorEastAsia" w:hAnsiTheme="minorEastAsia" w:eastAsiaTheme="minorEastAsia" w:cstheme="minorEastAsia"/>
          <w:color w:val="000000"/>
          <w:kern w:val="0"/>
          <w:sz w:val="24"/>
          <w:szCs w:val="24"/>
        </w:rPr>
        <w:t>不</w:t>
      </w:r>
      <w:r>
        <w:rPr>
          <w:rFonts w:hint="eastAsia" w:asciiTheme="minorEastAsia" w:hAnsiTheme="minorEastAsia" w:eastAsiaTheme="minorEastAsia" w:cstheme="minorEastAsia"/>
          <w:color w:val="000000"/>
          <w:sz w:val="24"/>
          <w:szCs w:val="24"/>
        </w:rPr>
        <w:t>利于</w:t>
      </w:r>
      <w:r>
        <w:rPr>
          <w:rFonts w:hint="eastAsia" w:asciiTheme="minorEastAsia" w:hAnsiTheme="minorEastAsia" w:eastAsiaTheme="minorEastAsia" w:cstheme="minorEastAsia"/>
          <w:color w:val="000000"/>
          <w:kern w:val="0"/>
          <w:sz w:val="24"/>
          <w:szCs w:val="24"/>
        </w:rPr>
        <w:t>安全运行的配件或已至使用寿命的配件进行、修理。</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 乙方免费提供部份易损件(见易损件清单), 见易损件清单作为合同附件,与合同具有同等法律效力。</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7.易损件之外的电梯配件损坏, 除本合同第一条中约定由乙方免费提供的之外，由甲方提供或甲方同意后由乙方代购,按实计算。配件更换的原因及故障原因要有详尽说明和记录。</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 本合同履行期间的安全责任及其费用均由乙方承担，乙方应加强安全管理,注意安全操作, 强化人员的人身安全责任教育, 并采取切实措施,确保电梯长期安全、稳定、高效、正常安全运行。在设备维护、保养过程中，乙方负责本合同项下全部维修、保养工作的安全，由维修、保养工作产生的全部安全责任均应由乙方承担。进一步说，除非甲方过错所致，本合同在履行过程中的安全责任及由此产生的费用均由乙方承担，即由于施工所引起的人员事故及损失，由乙方承担。</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 乙方应负责甲方电梯顺利通过年检, 并</w:t>
      </w:r>
      <w:r>
        <w:rPr>
          <w:rFonts w:hint="eastAsia" w:asciiTheme="minorEastAsia" w:hAnsiTheme="minorEastAsia" w:eastAsiaTheme="minorEastAsia" w:cstheme="minorEastAsia"/>
          <w:color w:val="000000"/>
          <w:sz w:val="24"/>
          <w:szCs w:val="24"/>
        </w:rPr>
        <w:t>对因</w:t>
      </w:r>
      <w:r>
        <w:rPr>
          <w:rFonts w:hint="eastAsia" w:asciiTheme="minorEastAsia" w:hAnsiTheme="minorEastAsia" w:eastAsiaTheme="minorEastAsia" w:cstheme="minorEastAsia"/>
          <w:color w:val="000000"/>
          <w:kern w:val="0"/>
          <w:sz w:val="24"/>
          <w:szCs w:val="24"/>
        </w:rPr>
        <w:t>维护保养不当需整改项目免人工费进行整改,复检费由乙方承担.甲方仅承担每年度一次的电梯年检费。</w:t>
      </w:r>
    </w:p>
    <w:p>
      <w:pPr>
        <w:widowControl/>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rPr>
        <w:t>五. 维修保养</w:t>
      </w:r>
      <w:r>
        <w:rPr>
          <w:rFonts w:hint="eastAsia" w:asciiTheme="minorEastAsia" w:hAnsiTheme="minorEastAsia" w:eastAsiaTheme="minorEastAsia" w:cstheme="minorEastAsia"/>
          <w:b/>
          <w:bCs/>
          <w:sz w:val="24"/>
          <w:szCs w:val="24"/>
        </w:rPr>
        <w:t>费用及付款方式</w:t>
      </w:r>
    </w:p>
    <w:p>
      <w:pPr>
        <w:widowControl/>
        <w:spacing w:line="360" w:lineRule="auto"/>
        <w:ind w:firstLine="723" w:firstLineChars="300"/>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rPr>
        <w:t>经</w:t>
      </w:r>
      <w:r>
        <w:rPr>
          <w:rFonts w:hint="eastAsia" w:asciiTheme="minorEastAsia" w:hAnsiTheme="minorEastAsia" w:eastAsiaTheme="minorEastAsia" w:cstheme="minorEastAsia"/>
          <w:b/>
          <w:bCs/>
          <w:kern w:val="0"/>
          <w:sz w:val="24"/>
          <w:szCs w:val="24"/>
        </w:rPr>
        <w:t>甲方乙方</w:t>
      </w:r>
      <w:r>
        <w:rPr>
          <w:rFonts w:hint="eastAsia" w:asciiTheme="minorEastAsia" w:hAnsiTheme="minorEastAsia" w:eastAsiaTheme="minorEastAsia" w:cstheme="minorEastAsia"/>
          <w:b/>
          <w:bCs/>
          <w:sz w:val="24"/>
          <w:szCs w:val="24"/>
        </w:rPr>
        <w:t>双方商定</w:t>
      </w:r>
      <w:r>
        <w:rPr>
          <w:rFonts w:hint="eastAsia" w:asciiTheme="minorEastAsia" w:hAnsiTheme="minorEastAsia" w:eastAsiaTheme="minorEastAsia" w:cstheme="minorEastAsia"/>
          <w:b/>
          <w:bCs/>
          <w:kern w:val="0"/>
          <w:sz w:val="24"/>
          <w:szCs w:val="24"/>
        </w:rPr>
        <w:t>电梯保养</w:t>
      </w:r>
      <w:r>
        <w:rPr>
          <w:rFonts w:hint="eastAsia" w:asciiTheme="minorEastAsia" w:hAnsiTheme="minorEastAsia" w:eastAsiaTheme="minorEastAsia" w:cstheme="minorEastAsia"/>
          <w:b/>
          <w:bCs/>
          <w:sz w:val="24"/>
          <w:szCs w:val="24"/>
        </w:rPr>
        <w:t>费总额为人民币每年</w:t>
      </w:r>
      <w:r>
        <w:rPr>
          <w:rFonts w:hint="eastAsia" w:asciiTheme="minorEastAsia" w:hAnsiTheme="minorEastAsia" w:eastAsiaTheme="minorEastAsia" w:cstheme="minorEastAsia"/>
          <w:b/>
          <w:bCs/>
          <w:sz w:val="24"/>
          <w:szCs w:val="24"/>
          <w:u w:val="single"/>
        </w:rPr>
        <w:t xml:space="preserve">         （人民币   元）</w:t>
      </w:r>
      <w:r>
        <w:rPr>
          <w:rFonts w:hint="eastAsia" w:asciiTheme="minorEastAsia" w:hAnsiTheme="minorEastAsia" w:eastAsiaTheme="minorEastAsia" w:cstheme="minorEastAsia"/>
          <w:b/>
          <w:bCs/>
          <w:sz w:val="24"/>
          <w:szCs w:val="24"/>
        </w:rPr>
        <w:t>。</w:t>
      </w:r>
    </w:p>
    <w:p>
      <w:pPr>
        <w:snapToGrid w:val="0"/>
        <w:spacing w:line="360" w:lineRule="auto"/>
        <w:ind w:firstLine="482" w:firstLineChars="20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1、1、本合同签订之日起每满半年结算一次，</w:t>
      </w:r>
      <w:r>
        <w:rPr>
          <w:rFonts w:hint="eastAsia" w:asciiTheme="minorEastAsia" w:hAnsiTheme="minorEastAsia" w:eastAsiaTheme="minorEastAsia" w:cstheme="minorEastAsia"/>
          <w:b/>
          <w:bCs/>
          <w:kern w:val="0"/>
          <w:sz w:val="24"/>
          <w:szCs w:val="24"/>
          <w:lang w:eastAsia="zh-CN"/>
        </w:rPr>
        <w:t>付至合同总价的</w:t>
      </w:r>
      <w:r>
        <w:rPr>
          <w:rFonts w:hint="eastAsia" w:asciiTheme="minorEastAsia" w:hAnsiTheme="minorEastAsia" w:eastAsiaTheme="minorEastAsia" w:cstheme="minorEastAsia"/>
          <w:b/>
          <w:bCs/>
          <w:kern w:val="0"/>
          <w:sz w:val="24"/>
          <w:szCs w:val="24"/>
          <w:lang w:val="en-US" w:eastAsia="zh-CN"/>
        </w:rPr>
        <w:t>50%，</w:t>
      </w:r>
      <w:r>
        <w:rPr>
          <w:rFonts w:hint="eastAsia" w:asciiTheme="minorEastAsia" w:hAnsiTheme="minorEastAsia" w:eastAsiaTheme="minorEastAsia" w:cstheme="minorEastAsia"/>
          <w:b/>
          <w:bCs/>
          <w:kern w:val="0"/>
          <w:sz w:val="24"/>
          <w:szCs w:val="24"/>
        </w:rPr>
        <w:t>甲方应在本合同签订之日起每满半年后一个月内且在收到乙方向甲方提供的合法有效、与付款金额等额的财务发票后向乙方支付前述款项</w:t>
      </w:r>
      <w:r>
        <w:rPr>
          <w:rFonts w:hint="eastAsia" w:asciiTheme="minorEastAsia" w:hAnsiTheme="minorEastAsia" w:eastAsiaTheme="minorEastAsia" w:cstheme="minorEastAsia"/>
          <w:b/>
          <w:bCs/>
          <w:kern w:val="0"/>
          <w:sz w:val="24"/>
          <w:szCs w:val="24"/>
          <w:lang w:eastAsia="zh-CN"/>
        </w:rPr>
        <w:t>。</w:t>
      </w:r>
    </w:p>
    <w:p>
      <w:pPr>
        <w:snapToGrid w:val="0"/>
        <w:spacing w:line="360" w:lineRule="auto"/>
        <w:ind w:firstLine="482" w:firstLineChars="20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2、若乙方在合同履行过程中存在有不良记录，根据不良记录逐项删减维保费用。</w:t>
      </w:r>
    </w:p>
    <w:p>
      <w:pPr>
        <w:snapToGrid w:val="0"/>
        <w:spacing w:line="360" w:lineRule="auto"/>
        <w:ind w:firstLine="482" w:firstLineChars="20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3、结算时，先期提交双方认可结算确认单；双方认可结算确认单经双方确认同意后开具发票予以结算。</w:t>
      </w:r>
    </w:p>
    <w:p>
      <w:pPr>
        <w:snapToGrid w:val="0"/>
        <w:spacing w:line="360" w:lineRule="auto"/>
        <w:ind w:firstLine="482" w:firstLineChars="20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4、本次报价为一年的费用，应包括本项目的全部费用 (含一切必须的辅助材料费用)及相关服务费等，中标人在中标后前三个月满足采购人考核要求可继续履行合同，否则采购人有权解除合同，并没收履约保证金；</w:t>
      </w:r>
    </w:p>
    <w:p>
      <w:pPr>
        <w:snapToGrid w:val="0"/>
        <w:spacing w:line="420" w:lineRule="exact"/>
        <w:ind w:firstLine="735" w:firstLineChars="305"/>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5、除非合同中另有规定，报价应包括</w:t>
      </w:r>
      <w:r>
        <w:rPr>
          <w:rFonts w:hint="eastAsia" w:asciiTheme="minorEastAsia" w:hAnsiTheme="minorEastAsia" w:eastAsiaTheme="minorEastAsia"/>
          <w:b/>
          <w:bCs/>
          <w:sz w:val="24"/>
          <w:szCs w:val="24"/>
          <w:lang w:val="en-US" w:eastAsia="zh-CN"/>
        </w:rPr>
        <w:t>材料费（涉及到电梯维保的所有配件）、设备费、设备维修或更换费、上门服务费（含业主临时或应急要求）、人员工资（含保险费）、管理费、利润、税金、政策性文件规定及为达到采购人要求所包含的所有风险、责任等各项费用。但不包括：国家新规定的为电梯进行改造、重大维修工作所需要的材料和人工费用以及国家特种设备检验机构在电梯检验时的相关配合费用和年检费。</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六. 违约</w:t>
      </w:r>
      <w:r>
        <w:rPr>
          <w:rFonts w:hint="eastAsia" w:asciiTheme="minorEastAsia" w:hAnsiTheme="minorEastAsia" w:eastAsiaTheme="minorEastAsia" w:cstheme="minorEastAsia"/>
          <w:color w:val="000000"/>
          <w:kern w:val="0"/>
          <w:sz w:val="24"/>
          <w:szCs w:val="24"/>
        </w:rPr>
        <w:t>责任</w:t>
      </w:r>
    </w:p>
    <w:p>
      <w:pPr>
        <w:widowControl/>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w:t>
      </w:r>
      <w:r>
        <w:rPr>
          <w:rFonts w:hint="eastAsia" w:asciiTheme="minorEastAsia" w:hAnsiTheme="minorEastAsia" w:eastAsiaTheme="minorEastAsia" w:cstheme="minorEastAsia"/>
          <w:color w:val="000000"/>
          <w:sz w:val="24"/>
          <w:szCs w:val="24"/>
        </w:rPr>
        <w:t>对于超出合同规定的付款期限,每超过一天,甲方应支付金额的万分之三滞纳金给乙方。</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2. 乙方未能按合同完成例行保养和紧急维修工作,导致甲方经济损失的, 甲方有权缓付、减付合同款，并书面通知乙方应</w:t>
      </w:r>
      <w:r>
        <w:rPr>
          <w:rFonts w:hint="eastAsia" w:asciiTheme="minorEastAsia" w:hAnsiTheme="minorEastAsia" w:eastAsiaTheme="minorEastAsia" w:cstheme="minorEastAsia"/>
          <w:color w:val="000000"/>
          <w:kern w:val="0"/>
          <w:sz w:val="24"/>
          <w:szCs w:val="24"/>
        </w:rPr>
        <w:t>整改事项。</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3.如乙方的未尽服务引起事故或造成恶劣影响的，乙方应承担全部经济责任和法律责任，同时乙方应当消除由此带来的全部影响。</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乙方应提供维保期间单位对在场维修人员的培训安全教育计划和内容，以及日常自检监管的记录和具体内容。按照规范行为提供满意度调查表。做不到此项，在维保结算清单评分低时与违规责任等同处理（500元-1000元/项）。</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5.如乙方的服务未能到位，甲方有权扣除乙方的维保费按每次1000元处理。</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服务不到位包括：（1）维修人员不及时到现场；（2）配件跟进不上耽搁维修的使用和速度；（3）对于故障排除，特殊情况下：一般故障应自甲方向乙方发出维修通知（包括口头、书面等形式）起立即解决（不超过4小时），大故障（主机部分、控制柜内）应不超过48小时；若乙方未在上述期限内解决所有故障，并使本合同项下电梯长期安全、稳定、高效、正常运行，则甲方有权自行或另行委托第三人解决上述问题，由此产生的费用全部由乙方承担；（4）服务态度不好造成一定影响；（5）维保行为不规范及含带行为安全隐患；（6）维修质量不高（面对出现的故障，维修过程中未找到故障根本原因致使该故障现象再次发生）；（7）有重复故障出现（同故障一个月内重复出现三次）；（8）甲方对例行的维保质量的监督检查中发现安全隐患或严重安全隐患的，视为维保不到位；（9）没有及时完成每月的维保计划和工作内容（维保单，维修单，配件更换清单），乙方应在每个阶段的维保期限内及时做好维保工作，并及时告知甲方维保计划及将维保记录送甲方现场签收。如不及时提交维保记录产生维保工作的脱节，责任由乙方负责，同时甲方有权发函责令补救并保留追究乙方违约责任的权利。（10）造成二次故障损失及事故情节严重时按照特种设备安全监督检验研究院南通分院之处理意见执行。</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注：上述执行过程以电话及函件形式告知与记录。</w:t>
      </w:r>
    </w:p>
    <w:p>
      <w:pPr>
        <w:widowControl/>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七.在履行合同中,</w:t>
      </w:r>
      <w:r>
        <w:rPr>
          <w:rFonts w:hint="eastAsia" w:asciiTheme="minorEastAsia" w:hAnsiTheme="minorEastAsia" w:eastAsiaTheme="minorEastAsia" w:cstheme="minorEastAsia"/>
          <w:color w:val="000000"/>
          <w:sz w:val="24"/>
          <w:szCs w:val="24"/>
        </w:rPr>
        <w:t xml:space="preserve"> 双方发生争议时，应先协商，如协商不成，任何一方可以申请仲裁委员会仲裁。</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八.本</w:t>
      </w:r>
      <w:r>
        <w:rPr>
          <w:rFonts w:hint="eastAsia" w:asciiTheme="minorEastAsia" w:hAnsiTheme="minorEastAsia" w:eastAsiaTheme="minorEastAsia" w:cstheme="minorEastAsia"/>
          <w:color w:val="000000"/>
          <w:kern w:val="0"/>
          <w:sz w:val="24"/>
          <w:szCs w:val="24"/>
        </w:rPr>
        <w:t>合同</w:t>
      </w:r>
      <w:r>
        <w:rPr>
          <w:rFonts w:hint="eastAsia" w:asciiTheme="minorEastAsia" w:hAnsiTheme="minorEastAsia" w:eastAsiaTheme="minorEastAsia" w:cstheme="minorEastAsia"/>
          <w:color w:val="000000"/>
          <w:sz w:val="24"/>
          <w:szCs w:val="24"/>
        </w:rPr>
        <w:t>一式陆份，采购人执叁份、供应商执</w:t>
      </w:r>
      <w:r>
        <w:rPr>
          <w:rFonts w:hint="eastAsia" w:asciiTheme="minorEastAsia" w:hAnsiTheme="minorEastAsia" w:eastAsiaTheme="minorEastAsia" w:cstheme="minorEastAsia"/>
          <w:color w:val="000000"/>
          <w:sz w:val="24"/>
          <w:szCs w:val="24"/>
          <w:lang w:val="en-US" w:eastAsia="zh-CN"/>
        </w:rPr>
        <w:t>叁</w:t>
      </w:r>
      <w:r>
        <w:rPr>
          <w:rFonts w:hint="eastAsia" w:asciiTheme="minorEastAsia" w:hAnsiTheme="minorEastAsia" w:eastAsiaTheme="minorEastAsia" w:cstheme="minorEastAsia"/>
          <w:color w:val="000000"/>
          <w:sz w:val="24"/>
          <w:szCs w:val="24"/>
        </w:rPr>
        <w:t>份签署盖章后生效。</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甲方：               </w:t>
      </w: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rPr>
        <w:t>乙方：</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代表签字：                           代表签字：</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单位地址：                           单位地址：</w:t>
      </w:r>
    </w:p>
    <w:p>
      <w:pPr>
        <w:widowControl/>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传真号：                             传真号：</w:t>
      </w:r>
    </w:p>
    <w:p>
      <w:pPr>
        <w:widowControl/>
        <w:spacing w:line="360" w:lineRule="auto"/>
        <w:ind w:firstLine="480" w:firstLineChars="200"/>
        <w:rPr>
          <w:rFonts w:hint="eastAsia" w:asciiTheme="minorEastAsia" w:hAnsiTheme="minorEastAsia" w:eastAsiaTheme="minorEastAsia" w:cstheme="minorEastAsia"/>
          <w:b/>
          <w:bCs/>
          <w:w w:val="80"/>
          <w:sz w:val="24"/>
          <w:szCs w:val="24"/>
        </w:rPr>
      </w:pPr>
      <w:r>
        <w:rPr>
          <w:rFonts w:hint="eastAsia" w:asciiTheme="minorEastAsia" w:hAnsiTheme="minorEastAsia" w:eastAsiaTheme="minorEastAsia" w:cstheme="minorEastAsia"/>
          <w:color w:val="000000"/>
          <w:kern w:val="0"/>
          <w:sz w:val="24"/>
          <w:szCs w:val="24"/>
        </w:rPr>
        <w:t>电话：                               电话：</w:t>
      </w: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spacing w:line="360" w:lineRule="auto"/>
        <w:rPr>
          <w:rFonts w:hint="eastAsia" w:ascii="宋体" w:hAnsi="宋体" w:eastAsia="宋体" w:cs="Times New Roman"/>
          <w:b/>
          <w:bCs/>
          <w:sz w:val="24"/>
          <w:szCs w:val="24"/>
          <w:lang w:val="en-US" w:eastAsia="zh-CN"/>
        </w:rPr>
      </w:pPr>
    </w:p>
    <w:p>
      <w:pPr>
        <w:rPr>
          <w:rFonts w:hint="default"/>
          <w:lang w:val="en-US" w:eastAsia="zh-CN"/>
        </w:rPr>
      </w:pPr>
    </w:p>
    <w:p>
      <w:pPr>
        <w:rPr>
          <w:rFonts w:hint="default"/>
          <w:lang w:val="en-US" w:eastAsia="zh-CN"/>
        </w:rPr>
      </w:pPr>
    </w:p>
    <w:p>
      <w:pPr>
        <w:rPr>
          <w:rFonts w:hint="default"/>
          <w:lang w:val="en-US" w:eastAsia="zh-CN"/>
        </w:rPr>
      </w:pPr>
      <w:r>
        <w:rPr>
          <w:rFonts w:hint="eastAsia"/>
          <w:lang w:val="en-US" w:eastAsia="zh-CN"/>
        </w:rPr>
        <w:t xml:space="preserve"> </w:t>
      </w:r>
    </w:p>
    <w:p>
      <w:pPr>
        <w:rPr>
          <w:rFonts w:hint="default"/>
          <w:lang w:val="en-US" w:eastAsia="zh-CN"/>
        </w:rPr>
      </w:pPr>
    </w:p>
    <w:p>
      <w:pPr>
        <w:pStyle w:val="50"/>
        <w:ind w:left="0" w:leftChars="0" w:firstLine="0" w:firstLineChars="0"/>
        <w:rPr>
          <w:rFonts w:hint="default" w:eastAsia="宋体"/>
          <w:lang w:val="en-US" w:eastAsia="zh-CN"/>
        </w:rPr>
      </w:pPr>
    </w:p>
    <w:p>
      <w:pPr>
        <w:pStyle w:val="50"/>
        <w:numPr>
          <w:ilvl w:val="0"/>
          <w:numId w:val="0"/>
        </w:numPr>
        <w:ind w:leftChars="0"/>
        <w:jc w:val="both"/>
        <w:rPr>
          <w:rFonts w:ascii="宋体" w:hAnsi="宋体" w:cs="宋体"/>
          <w:color w:val="000000"/>
          <w:sz w:val="24"/>
          <w:szCs w:val="24"/>
        </w:rPr>
      </w:pPr>
      <w:r>
        <w:rPr>
          <w:rFonts w:hint="eastAsia"/>
          <w:lang w:val="en-US" w:eastAsia="zh-CN"/>
        </w:rPr>
        <w:br w:type="page"/>
      </w:r>
      <w:r>
        <w:rPr>
          <w:rFonts w:hint="eastAsia" w:ascii="宋体" w:hAnsi="宋体" w:cs="宋体"/>
          <w:b/>
          <w:color w:val="000000"/>
          <w:w w:val="80"/>
          <w:sz w:val="44"/>
          <w:szCs w:val="44"/>
          <w:lang w:val="en-US" w:eastAsia="zh-CN"/>
        </w:rPr>
        <w:t xml:space="preserve">                  </w:t>
      </w:r>
      <w:r>
        <w:rPr>
          <w:rFonts w:hint="eastAsia" w:ascii="宋体" w:hAnsi="宋体" w:cs="宋体"/>
          <w:b/>
          <w:color w:val="000000"/>
          <w:w w:val="80"/>
          <w:sz w:val="44"/>
          <w:szCs w:val="44"/>
        </w:rPr>
        <w:t>第六章   合同授予</w:t>
      </w:r>
    </w:p>
    <w:p>
      <w:pPr>
        <w:snapToGrid w:val="0"/>
        <w:spacing w:line="520" w:lineRule="exact"/>
        <w:ind w:firstLine="484" w:firstLineChars="202"/>
        <w:textAlignment w:val="baseline"/>
        <w:rPr>
          <w:rFonts w:ascii="宋体" w:hAnsi="宋体" w:cs="宋体"/>
          <w:kern w:val="0"/>
          <w:sz w:val="24"/>
          <w:szCs w:val="24"/>
        </w:rPr>
      </w:pPr>
      <w:r>
        <w:rPr>
          <w:rFonts w:hint="eastAsia" w:ascii="宋体" w:hAnsi="宋体" w:cs="宋体"/>
          <w:color w:val="000000"/>
          <w:sz w:val="24"/>
          <w:szCs w:val="24"/>
        </w:rPr>
        <w:t>一、由于项目服务时间紧迫，成交供应商在《成交通知书》发出后15日内必须按照磋商文件确定的事项签订采购合同。合同一式肆份，采购人，供应商</w:t>
      </w:r>
      <w:r>
        <w:rPr>
          <w:rFonts w:hint="eastAsia" w:ascii="宋体" w:hAnsi="宋体"/>
          <w:sz w:val="24"/>
          <w:szCs w:val="24"/>
        </w:rPr>
        <w:t>各贰份，其他存档备查。</w:t>
      </w:r>
      <w:r>
        <w:rPr>
          <w:rFonts w:hint="eastAsia" w:ascii="宋体" w:hAnsi="宋体" w:cs="宋体"/>
          <w:kern w:val="0"/>
          <w:sz w:val="24"/>
          <w:szCs w:val="24"/>
        </w:rPr>
        <w:t xml:space="preserve">所签合同不得对磋商文件作实质性修改。采购人不得向成交供应商提出不合理的要求作为签订合同的条件，不得与成交供应商私下订立背离磋商文件实质性内容的协议。 </w:t>
      </w:r>
    </w:p>
    <w:p>
      <w:pPr>
        <w:snapToGrid w:val="0"/>
        <w:spacing w:line="480" w:lineRule="exact"/>
        <w:ind w:firstLine="573"/>
        <w:textAlignment w:val="baseline"/>
        <w:rPr>
          <w:rFonts w:ascii="宋体" w:hAnsi="宋体" w:cs="宋体"/>
          <w:sz w:val="24"/>
          <w:szCs w:val="24"/>
        </w:rPr>
      </w:pPr>
      <w:r>
        <w:rPr>
          <w:rFonts w:hint="eastAsia" w:ascii="宋体" w:hAnsi="宋体" w:cs="宋体"/>
          <w:sz w:val="24"/>
          <w:szCs w:val="24"/>
        </w:rPr>
        <w:t xml:space="preserve"> 二、采购人按合同约定积极配合</w:t>
      </w:r>
      <w:r>
        <w:rPr>
          <w:rFonts w:hint="eastAsia" w:ascii="宋体" w:hAnsi="宋体" w:cs="宋体"/>
          <w:color w:val="000000"/>
          <w:sz w:val="24"/>
        </w:rPr>
        <w:t>成交供应商</w:t>
      </w:r>
      <w:r>
        <w:rPr>
          <w:rFonts w:hint="eastAsia" w:ascii="宋体" w:hAnsi="宋体" w:cs="宋体"/>
          <w:sz w:val="24"/>
          <w:szCs w:val="24"/>
        </w:rPr>
        <w:t>履约，</w:t>
      </w:r>
      <w:r>
        <w:rPr>
          <w:rFonts w:hint="eastAsia" w:ascii="宋体" w:hAnsi="宋体" w:cs="宋体"/>
          <w:color w:val="000000"/>
          <w:sz w:val="24"/>
        </w:rPr>
        <w:t>成交供应商</w:t>
      </w:r>
      <w:r>
        <w:rPr>
          <w:rFonts w:hint="eastAsia" w:ascii="宋体" w:hAnsi="宋体" w:cs="宋体"/>
          <w:sz w:val="24"/>
          <w:szCs w:val="24"/>
        </w:rPr>
        <w:t>履约到位后，请以书面形式向采购人提出验收申请，采购人接到申请后原则上在5个工作日内及时组织相关专业技术人员，必要时邀请质检等部门共同参与验收，并出具验收报告，验收合格的原则上5个工作日内支付相应款项。</w:t>
      </w:r>
    </w:p>
    <w:p>
      <w:pPr>
        <w:snapToGrid w:val="0"/>
        <w:spacing w:line="480" w:lineRule="exact"/>
        <w:ind w:firstLine="573"/>
        <w:textAlignment w:val="baseline"/>
        <w:rPr>
          <w:rFonts w:ascii="宋体" w:hAnsi="宋体" w:cs="宋体"/>
          <w:sz w:val="24"/>
          <w:szCs w:val="24"/>
        </w:rPr>
      </w:pPr>
      <w:r>
        <w:rPr>
          <w:rFonts w:hint="eastAsia" w:ascii="宋体" w:hAnsi="宋体" w:cs="宋体"/>
          <w:sz w:val="24"/>
          <w:szCs w:val="24"/>
        </w:rPr>
        <w:t>三、采购人故意推迟项目验收时间的，与</w:t>
      </w:r>
      <w:r>
        <w:rPr>
          <w:rFonts w:hint="eastAsia" w:ascii="宋体" w:hAnsi="宋体" w:cs="宋体"/>
          <w:color w:val="000000"/>
          <w:sz w:val="24"/>
        </w:rPr>
        <w:t>成交供应商</w:t>
      </w:r>
      <w:r>
        <w:rPr>
          <w:rFonts w:hint="eastAsia" w:ascii="宋体" w:hAnsi="宋体" w:cs="宋体"/>
          <w:sz w:val="24"/>
          <w:szCs w:val="24"/>
        </w:rPr>
        <w:t>串通或要求</w:t>
      </w:r>
      <w:r>
        <w:rPr>
          <w:rFonts w:hint="eastAsia" w:ascii="宋体" w:hAnsi="宋体" w:cs="宋体"/>
          <w:color w:val="000000"/>
          <w:sz w:val="24"/>
        </w:rPr>
        <w:t>成交供应商</w:t>
      </w:r>
      <w:r>
        <w:rPr>
          <w:rFonts w:hint="eastAsia" w:ascii="宋体" w:hAnsi="宋体" w:cs="宋体"/>
          <w:sz w:val="24"/>
          <w:szCs w:val="24"/>
        </w:rPr>
        <w:t>通过减少货物数量或降低服务标准的，在履行合同中采取更改配置、调换物品等手段的，要求</w:t>
      </w:r>
      <w:r>
        <w:rPr>
          <w:rFonts w:hint="eastAsia" w:ascii="宋体" w:hAnsi="宋体" w:cs="宋体"/>
          <w:color w:val="000000"/>
          <w:sz w:val="24"/>
        </w:rPr>
        <w:t>成交供应商</w:t>
      </w:r>
      <w:r>
        <w:rPr>
          <w:rFonts w:hint="eastAsia" w:ascii="宋体" w:hAnsi="宋体" w:cs="宋体"/>
          <w:sz w:val="24"/>
          <w:szCs w:val="24"/>
        </w:rPr>
        <w:t>出具虚假发票或任意更改销售发票的，谋取不正当利益的，承担相应的法律责任。</w:t>
      </w:r>
    </w:p>
    <w:p>
      <w:pPr>
        <w:snapToGrid w:val="0"/>
        <w:spacing w:line="480" w:lineRule="exact"/>
        <w:ind w:firstLine="573"/>
        <w:textAlignment w:val="baseline"/>
        <w:rPr>
          <w:rFonts w:ascii="宋体" w:hAnsi="宋体" w:cs="宋体"/>
          <w:sz w:val="24"/>
          <w:szCs w:val="24"/>
        </w:rPr>
      </w:pPr>
      <w:r>
        <w:rPr>
          <w:rFonts w:hint="eastAsia" w:ascii="宋体" w:hAnsi="宋体" w:cs="宋体"/>
          <w:sz w:val="24"/>
          <w:szCs w:val="24"/>
        </w:rPr>
        <w:t>四、</w:t>
      </w:r>
      <w:r>
        <w:rPr>
          <w:rFonts w:hint="eastAsia" w:ascii="宋体" w:hAnsi="宋体" w:cs="宋体"/>
          <w:color w:val="000000"/>
          <w:sz w:val="24"/>
        </w:rPr>
        <w:t>成交供应商</w:t>
      </w:r>
      <w:r>
        <w:rPr>
          <w:rFonts w:hint="eastAsia" w:ascii="宋体" w:hAnsi="宋体" w:cs="宋体"/>
          <w:sz w:val="24"/>
          <w:szCs w:val="24"/>
        </w:rPr>
        <w:t>出现违约情形，应当及时纠正或补偿；造成损失的，按合同约定追究违约责任；发现有假冒、伪劣、走私产品、商业贿赂等违法情形的，应由采购人移交工商、质监、公安等行政执法部门依法查处。</w:t>
      </w:r>
    </w:p>
    <w:p>
      <w:pPr>
        <w:snapToGrid w:val="0"/>
        <w:spacing w:line="480" w:lineRule="exact"/>
        <w:ind w:firstLine="573"/>
        <w:textAlignment w:val="baseline"/>
        <w:rPr>
          <w:rFonts w:ascii="宋体" w:hAnsi="宋体" w:cs="宋体"/>
          <w:sz w:val="24"/>
          <w:szCs w:val="24"/>
        </w:rPr>
      </w:pPr>
      <w:r>
        <w:rPr>
          <w:rFonts w:hint="eastAsia" w:ascii="宋体" w:hAnsi="宋体" w:cs="宋体"/>
          <w:sz w:val="24"/>
          <w:szCs w:val="24"/>
        </w:rPr>
        <w:t>五、不响应付款方式的，视同响应文件无效，按无效响应文件处理。</w:t>
      </w:r>
    </w:p>
    <w:p>
      <w:pPr>
        <w:snapToGrid w:val="0"/>
        <w:spacing w:line="480" w:lineRule="exact"/>
        <w:ind w:firstLine="573"/>
        <w:textAlignment w:val="baseline"/>
        <w:rPr>
          <w:rFonts w:ascii="宋体" w:hAnsi="宋体" w:cs="宋体"/>
          <w:sz w:val="24"/>
          <w:szCs w:val="24"/>
        </w:rPr>
      </w:pPr>
      <w:r>
        <w:rPr>
          <w:rFonts w:hint="eastAsia" w:ascii="宋体" w:hAnsi="宋体" w:cs="宋体"/>
          <w:sz w:val="24"/>
          <w:szCs w:val="24"/>
        </w:rPr>
        <w:t>六、付款方式详见磋商文件第五章。</w:t>
      </w:r>
    </w:p>
    <w:p>
      <w:pPr>
        <w:snapToGrid w:val="0"/>
        <w:spacing w:line="480" w:lineRule="exact"/>
        <w:ind w:firstLine="573"/>
        <w:textAlignment w:val="baseline"/>
        <w:rPr>
          <w:rFonts w:ascii="宋体" w:hAnsi="宋体" w:cs="宋体"/>
          <w:sz w:val="24"/>
          <w:szCs w:val="24"/>
        </w:rPr>
      </w:pPr>
      <w:r>
        <w:rPr>
          <w:rFonts w:hint="eastAsia" w:ascii="宋体" w:hAnsi="宋体" w:cs="宋体"/>
          <w:sz w:val="24"/>
          <w:szCs w:val="24"/>
        </w:rPr>
        <w:t>七、以上项目款的支付不计息。</w:t>
      </w:r>
    </w:p>
    <w:p>
      <w:pPr>
        <w:rPr>
          <w:rFonts w:ascii="宋体" w:hAnsi="宋体" w:cs="宋体"/>
          <w:b/>
          <w:bCs/>
          <w:kern w:val="44"/>
          <w:sz w:val="44"/>
          <w:szCs w:val="44"/>
        </w:rPr>
      </w:pPr>
    </w:p>
    <w:p>
      <w:pPr>
        <w:spacing w:line="360" w:lineRule="auto"/>
        <w:jc w:val="center"/>
        <w:rPr>
          <w:rFonts w:ascii="宋体"/>
          <w:sz w:val="24"/>
          <w:szCs w:val="24"/>
        </w:rPr>
      </w:pPr>
      <w:r>
        <w:rPr>
          <w:rFonts w:hint="eastAsia" w:ascii="宋体" w:hAnsi="宋体" w:cs="宋体"/>
          <w:b/>
          <w:bCs/>
          <w:kern w:val="44"/>
          <w:sz w:val="44"/>
          <w:szCs w:val="44"/>
        </w:rPr>
        <w:br w:type="page"/>
      </w:r>
      <w:r>
        <w:rPr>
          <w:rFonts w:hint="eastAsia" w:ascii="宋体" w:hAnsi="宋体" w:cs="宋体"/>
          <w:b/>
          <w:bCs/>
          <w:kern w:val="44"/>
          <w:sz w:val="44"/>
          <w:szCs w:val="44"/>
        </w:rPr>
        <w:t>第七章</w:t>
      </w:r>
      <w:r>
        <w:rPr>
          <w:rFonts w:ascii="宋体" w:hAnsi="宋体" w:cs="宋体"/>
          <w:b/>
          <w:bCs/>
          <w:kern w:val="44"/>
          <w:sz w:val="44"/>
          <w:szCs w:val="44"/>
        </w:rPr>
        <w:t xml:space="preserve"> </w:t>
      </w:r>
      <w:r>
        <w:rPr>
          <w:rFonts w:hint="eastAsia" w:ascii="宋体" w:hAnsi="宋体" w:cs="宋体"/>
          <w:b/>
          <w:bCs/>
          <w:kern w:val="44"/>
          <w:sz w:val="44"/>
          <w:szCs w:val="44"/>
        </w:rPr>
        <w:t>质疑提出和处理</w:t>
      </w:r>
    </w:p>
    <w:p>
      <w:pPr>
        <w:adjustRightInd w:val="0"/>
        <w:snapToGrid w:val="0"/>
        <w:spacing w:line="480" w:lineRule="exact"/>
        <w:ind w:firstLine="480" w:firstLineChars="200"/>
        <w:rPr>
          <w:rFonts w:ascii="宋体" w:hAnsi="宋体" w:cs="宋体"/>
          <w:sz w:val="24"/>
          <w:szCs w:val="24"/>
        </w:rPr>
      </w:pPr>
    </w:p>
    <w:p>
      <w:pPr>
        <w:adjustRightInd w:val="0"/>
        <w:snapToGrid w:val="0"/>
        <w:spacing w:line="480" w:lineRule="exact"/>
        <w:ind w:firstLine="480" w:firstLineChars="200"/>
        <w:rPr>
          <w:rFonts w:ascii="宋体"/>
          <w:sz w:val="24"/>
          <w:szCs w:val="24"/>
        </w:rPr>
      </w:pPr>
      <w:r>
        <w:rPr>
          <w:rFonts w:hint="eastAsia" w:ascii="宋体" w:hAnsi="宋体" w:cs="宋体"/>
          <w:sz w:val="24"/>
          <w:szCs w:val="24"/>
        </w:rPr>
        <w:t>一、质疑的提出</w:t>
      </w:r>
    </w:p>
    <w:p>
      <w:pPr>
        <w:adjustRightInd w:val="0"/>
        <w:snapToGrid w:val="0"/>
        <w:spacing w:line="48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、质疑人必须是直接参加本次磋商活动的当事人。</w:t>
      </w:r>
    </w:p>
    <w:p>
      <w:pPr>
        <w:adjustRightInd w:val="0"/>
        <w:snapToGrid w:val="0"/>
        <w:spacing w:line="48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、下载磋商文件的供应商应根据第二章“磋商供应商须知”中第一条第</w:t>
      </w:r>
      <w:r>
        <w:rPr>
          <w:rFonts w:ascii="宋体" w:hAnsi="宋体" w:cs="宋体"/>
          <w:sz w:val="24"/>
          <w:szCs w:val="24"/>
        </w:rPr>
        <w:t>4</w:t>
      </w:r>
      <w:r>
        <w:rPr>
          <w:rFonts w:hint="eastAsia" w:ascii="宋体" w:hAnsi="宋体" w:cs="宋体"/>
          <w:sz w:val="24"/>
          <w:szCs w:val="24"/>
        </w:rPr>
        <w:t>款的约定提出；响应文件接收截止后，供应商未进行磋商登记的，不能就响应文件接收截止后的招投标过程、成交结果提出质疑；在磋商过程中，凡主持人或评估小组明确提出须由供应商确认的事项，供应商当场无异议的，事后不得提出质疑。</w:t>
      </w:r>
    </w:p>
    <w:p>
      <w:pPr>
        <w:adjustRightInd w:val="0"/>
        <w:snapToGrid w:val="0"/>
        <w:spacing w:line="480" w:lineRule="exact"/>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提出质疑时，必须坚持“谁主张，谁举证”、“实事求是”的原则，不能臆测。属于须由法定部门调查、侦查或先行作出相关认定的事项，质疑人应当依法申请具有法定职权的部门查清、认定，并将相关结果提供给采购单位或采购代理机构。采购单位或采购代理机构不具有法定调查、认定权限。</w:t>
      </w:r>
    </w:p>
    <w:p>
      <w:pPr>
        <w:adjustRightInd w:val="0"/>
        <w:snapToGrid w:val="0"/>
        <w:spacing w:line="480" w:lineRule="exact"/>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对本次磋商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pPr>
        <w:adjustRightInd w:val="0"/>
        <w:snapToGrid w:val="0"/>
        <w:spacing w:line="480" w:lineRule="exact"/>
        <w:ind w:firstLine="600" w:firstLineChars="250"/>
        <w:rPr>
          <w:rFonts w:ascii="宋体"/>
          <w:sz w:val="24"/>
          <w:szCs w:val="24"/>
        </w:rPr>
      </w:pPr>
      <w:r>
        <w:rPr>
          <w:rFonts w:hint="eastAsia" w:ascii="宋体" w:hAnsi="宋体" w:cs="宋体"/>
          <w:sz w:val="24"/>
          <w:szCs w:val="24"/>
        </w:rPr>
        <w:t>对不能提供相关佐证材料的、涉及商业秘密的、非书面形式的、非送达的、匿名的《质疑函》将不予受理。</w:t>
      </w:r>
    </w:p>
    <w:p>
      <w:pPr>
        <w:adjustRightInd w:val="0"/>
        <w:snapToGrid w:val="0"/>
        <w:spacing w:line="480" w:lineRule="exact"/>
        <w:ind w:firstLine="600" w:firstLineChars="250"/>
        <w:rPr>
          <w:rFonts w:ascii="宋体"/>
          <w:sz w:val="24"/>
          <w:szCs w:val="24"/>
        </w:rPr>
      </w:pPr>
      <w:r>
        <w:rPr>
          <w:rFonts w:hint="eastAsia" w:ascii="宋体" w:hAnsi="宋体" w:cs="宋体"/>
          <w:sz w:val="24"/>
          <w:szCs w:val="24"/>
        </w:rPr>
        <w:t>相关佐证材料要具备客观性、关联性、合法性，无法查实的（如宣传册、媒体报道、猜测、推理等）不能作为佐证材料。</w:t>
      </w:r>
    </w:p>
    <w:p>
      <w:pPr>
        <w:adjustRightInd w:val="0"/>
        <w:snapToGrid w:val="0"/>
        <w:spacing w:line="480" w:lineRule="exact"/>
        <w:ind w:firstLine="600" w:firstLineChars="250"/>
        <w:rPr>
          <w:rFonts w:ascii="宋体"/>
          <w:sz w:val="24"/>
          <w:szCs w:val="24"/>
        </w:rPr>
      </w:pPr>
      <w:r>
        <w:rPr>
          <w:rFonts w:hint="eastAsia" w:ascii="宋体" w:hAnsi="宋体" w:cs="宋体"/>
          <w:sz w:val="24"/>
          <w:szCs w:val="24"/>
        </w:rPr>
        <w:t>采购单位或采购代理机构不负责搜集相关佐证材料等工作。</w:t>
      </w:r>
    </w:p>
    <w:p>
      <w:pPr>
        <w:adjustRightInd w:val="0"/>
        <w:snapToGrid w:val="0"/>
        <w:spacing w:line="480" w:lineRule="exact"/>
        <w:ind w:firstLine="480" w:firstLineChars="200"/>
        <w:rPr>
          <w:rFonts w:ascii="宋体"/>
          <w:sz w:val="24"/>
          <w:szCs w:val="24"/>
        </w:rPr>
      </w:pPr>
      <w:r>
        <w:rPr>
          <w:rFonts w:hint="eastAsia" w:ascii="宋体" w:hAnsi="宋体" w:cs="宋体"/>
          <w:sz w:val="24"/>
          <w:szCs w:val="24"/>
        </w:rPr>
        <w:t>二、《质疑函》的受理和回复</w:t>
      </w:r>
    </w:p>
    <w:p>
      <w:pPr>
        <w:adjustRightInd w:val="0"/>
        <w:snapToGrid w:val="0"/>
        <w:spacing w:line="48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、《质疑函》须由质疑人的法定代表人或参加本次磋商被授权人送达采购单位和采购代理机构。</w:t>
      </w:r>
    </w:p>
    <w:p>
      <w:pPr>
        <w:adjustRightInd w:val="0"/>
        <w:snapToGrid w:val="0"/>
        <w:spacing w:line="48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对符合提出质疑要求的，采购单位、采购代理机构签收并出具《质疑受理通知书》。在处理过程中，发现需要质疑人进一步补充相关佐证材料的，请质疑人在规定的时间内提供，质疑回复时间相应顺延。质疑人不能按时提供相关佐证材料的，视同放弃质疑。</w:t>
      </w:r>
    </w:p>
    <w:p>
      <w:pPr>
        <w:adjustRightInd w:val="0"/>
        <w:snapToGrid w:val="0"/>
        <w:spacing w:line="480" w:lineRule="exact"/>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、对不符合提出质疑要求的，出具《质疑退回通知书》并提出相关补充材料要求，质疑人未在规定的时间内提供补充佐证材料的，视同放弃质疑。</w:t>
      </w:r>
    </w:p>
    <w:p>
      <w:pPr>
        <w:adjustRightInd w:val="0"/>
        <w:snapToGrid w:val="0"/>
        <w:spacing w:line="480" w:lineRule="exact"/>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、采购单位、采购代理机构负责将质疑人提出的质疑相关材料提供给相关专家或评估小组审核，并将审核意见回复质疑人。</w:t>
      </w:r>
    </w:p>
    <w:p>
      <w:pPr>
        <w:adjustRightInd w:val="0"/>
        <w:snapToGrid w:val="0"/>
        <w:spacing w:line="480" w:lineRule="exact"/>
        <w:ind w:firstLine="480" w:firstLineChars="200"/>
        <w:rPr>
          <w:rFonts w:ascii="宋体"/>
          <w:sz w:val="24"/>
          <w:szCs w:val="24"/>
        </w:rPr>
      </w:pPr>
      <w:r>
        <w:rPr>
          <w:rFonts w:hint="eastAsia" w:ascii="宋体" w:hAnsi="宋体" w:cs="宋体"/>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pPr>
        <w:adjustRightInd w:val="0"/>
        <w:snapToGrid w:val="0"/>
        <w:spacing w:line="480" w:lineRule="exact"/>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、因质疑情况复杂，组织论证或审查时间较长的，采购单位、采购代理机构以书面形式通知质疑人，可适当延长质疑回复处理时间。</w:t>
      </w:r>
    </w:p>
    <w:p>
      <w:pPr>
        <w:adjustRightInd w:val="0"/>
        <w:snapToGrid w:val="0"/>
        <w:spacing w:line="480" w:lineRule="exact"/>
        <w:ind w:firstLine="480" w:firstLineChars="200"/>
        <w:rPr>
          <w:rFonts w:ascii="宋体"/>
          <w:sz w:val="24"/>
          <w:szCs w:val="24"/>
        </w:rPr>
      </w:pPr>
      <w:r>
        <w:rPr>
          <w:rFonts w:hint="eastAsia" w:ascii="宋体" w:hAnsi="宋体" w:cs="宋体"/>
          <w:sz w:val="24"/>
          <w:szCs w:val="24"/>
        </w:rPr>
        <w:t>三、质疑处理</w:t>
      </w:r>
    </w:p>
    <w:p>
      <w:pPr>
        <w:adjustRightInd w:val="0"/>
        <w:snapToGrid w:val="0"/>
        <w:spacing w:line="48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、质疑成立的处理。采购单位或采购代理机构终止采购，并建议有关部门给相关当事人予以处理。</w:t>
      </w:r>
    </w:p>
    <w:p>
      <w:pPr>
        <w:adjustRightInd w:val="0"/>
        <w:snapToGrid w:val="0"/>
        <w:spacing w:line="48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、质疑不成立的处理。</w:t>
      </w:r>
    </w:p>
    <w:p>
      <w:pPr>
        <w:adjustRightInd w:val="0"/>
        <w:snapToGrid w:val="0"/>
        <w:spacing w:line="48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）质疑人书面《申请撤回质疑函》的，不作违约处理。</w:t>
      </w:r>
    </w:p>
    <w:p>
      <w:pPr>
        <w:adjustRightInd w:val="0"/>
        <w:snapToGrid w:val="0"/>
        <w:spacing w:line="48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）质疑人在规定的时间内不配合进行质疑调查处理的，按自动撤回《质疑函》处理。</w:t>
      </w:r>
    </w:p>
    <w:p>
      <w:pPr>
        <w:adjustRightInd w:val="0"/>
        <w:snapToGrid w:val="0"/>
        <w:spacing w:line="480" w:lineRule="exact"/>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）质疑人不按《质疑函》格式就提出质疑的，作违约处理。同时，视情列入不良供应商名单。</w:t>
      </w:r>
    </w:p>
    <w:p>
      <w:pPr>
        <w:adjustRightInd w:val="0"/>
        <w:snapToGrid w:val="0"/>
        <w:spacing w:line="480" w:lineRule="exact"/>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）质疑人虽提供了相关佐证材料，但不能证明其质疑成立的，采购单位或采购代理机构请质疑人补充相关佐证材料，仍不能证明其质疑成立的，作违约处理。并将其列入不良供应商名单。</w:t>
      </w:r>
    </w:p>
    <w:p>
      <w:pPr>
        <w:adjustRightInd w:val="0"/>
        <w:snapToGrid w:val="0"/>
        <w:spacing w:line="480" w:lineRule="exact"/>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）质疑人不能提供相关佐证材料的，采购单位、采购代理机构已指出，质疑人仍然坚持提出质疑的，作违约处理。同时，列入不良供应商名单。</w:t>
      </w:r>
    </w:p>
    <w:p>
      <w:pPr>
        <w:adjustRightInd w:val="0"/>
        <w:snapToGrid w:val="0"/>
        <w:spacing w:line="480" w:lineRule="exact"/>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）对明显有违事实的、经相关专家或评审小组认定无依据的、经其他供应商举证无依据的质疑，作违约处理，列入不良供应商名单；同时，对其中每一项不成立的质疑给予质疑人</w:t>
      </w:r>
      <w:r>
        <w:rPr>
          <w:rFonts w:ascii="宋体" w:hAnsi="宋体" w:cs="宋体"/>
          <w:sz w:val="24"/>
          <w:szCs w:val="24"/>
        </w:rPr>
        <w:t>1</w:t>
      </w:r>
      <w:r>
        <w:rPr>
          <w:rFonts w:hint="eastAsia" w:ascii="宋体" w:hAnsi="宋体" w:cs="宋体"/>
          <w:sz w:val="24"/>
          <w:szCs w:val="24"/>
        </w:rPr>
        <w:t>年内禁入本区域内的政府采购活动的违约处理，依次类推；视情在南通公共资源交易平台、省、国家级相关媒体予以披露。</w:t>
      </w:r>
    </w:p>
    <w:p>
      <w:pPr>
        <w:adjustRightInd w:val="0"/>
        <w:snapToGrid w:val="0"/>
        <w:spacing w:line="480" w:lineRule="exact"/>
        <w:ind w:firstLine="480" w:firstLineChars="200"/>
        <w:rPr>
          <w:rFonts w:ascii="宋体"/>
          <w:sz w:val="24"/>
          <w:szCs w:val="24"/>
        </w:rPr>
      </w:pPr>
      <w:r>
        <w:rPr>
          <w:rFonts w:ascii="宋体" w:hAnsi="宋体" w:cs="宋体"/>
          <w:sz w:val="24"/>
          <w:szCs w:val="24"/>
        </w:rPr>
        <w:t>7</w:t>
      </w:r>
      <w:r>
        <w:rPr>
          <w:rFonts w:hint="eastAsia" w:ascii="宋体" w:hAnsi="宋体" w:cs="宋体"/>
          <w:sz w:val="24"/>
          <w:szCs w:val="24"/>
        </w:rPr>
        <w:t>）质疑人承担使用虚假材料或恶意方式质疑的法律责任。</w:t>
      </w:r>
    </w:p>
    <w:p>
      <w:pPr>
        <w:adjustRightInd w:val="0"/>
        <w:snapToGrid w:val="0"/>
        <w:spacing w:line="480" w:lineRule="exact"/>
        <w:ind w:firstLine="480" w:firstLineChars="200"/>
        <w:rPr>
          <w:rFonts w:ascii="宋体"/>
          <w:sz w:val="24"/>
          <w:szCs w:val="24"/>
        </w:rPr>
      </w:pPr>
      <w:r>
        <w:rPr>
          <w:rFonts w:hint="eastAsia" w:ascii="宋体" w:hAnsi="宋体" w:cs="宋体"/>
          <w:sz w:val="24"/>
          <w:szCs w:val="24"/>
        </w:rPr>
        <w:t>四、无佐证材料的举报作违约处理。供应商不得进行不提供相关佐证材料（含无法查实的如宣传册、媒体报道、猜测、推理等）向有关部门的举报，否则作违约处理。同时对其在</w:t>
      </w:r>
      <w:r>
        <w:rPr>
          <w:rFonts w:ascii="宋体" w:hAnsi="宋体" w:cs="宋体"/>
          <w:sz w:val="24"/>
          <w:szCs w:val="24"/>
        </w:rPr>
        <w:t>1</w:t>
      </w:r>
      <w:r>
        <w:rPr>
          <w:rFonts w:hint="eastAsia" w:ascii="宋体" w:hAnsi="宋体" w:cs="宋体"/>
          <w:sz w:val="24"/>
          <w:szCs w:val="24"/>
        </w:rPr>
        <w:t>至</w:t>
      </w:r>
      <w:r>
        <w:rPr>
          <w:rFonts w:ascii="宋体" w:hAnsi="宋体" w:cs="宋体"/>
          <w:sz w:val="24"/>
          <w:szCs w:val="24"/>
        </w:rPr>
        <w:t>3</w:t>
      </w:r>
      <w:r>
        <w:rPr>
          <w:rFonts w:hint="eastAsia" w:ascii="宋体" w:hAnsi="宋体" w:cs="宋体"/>
          <w:sz w:val="24"/>
          <w:szCs w:val="24"/>
        </w:rPr>
        <w:t>年内禁入由采购单位组织的政府采购活动的违约处理。</w:t>
      </w:r>
    </w:p>
    <w:p>
      <w:pPr>
        <w:adjustRightInd w:val="0"/>
        <w:snapToGrid w:val="0"/>
        <w:spacing w:line="480" w:lineRule="exact"/>
        <w:ind w:firstLine="480" w:firstLineChars="200"/>
        <w:rPr>
          <w:rFonts w:ascii="宋体"/>
          <w:sz w:val="24"/>
          <w:szCs w:val="24"/>
        </w:rPr>
      </w:pPr>
      <w:r>
        <w:rPr>
          <w:rFonts w:hint="eastAsia" w:ascii="宋体" w:hAnsi="宋体" w:cs="宋体"/>
          <w:sz w:val="24"/>
          <w:szCs w:val="24"/>
        </w:rPr>
        <w:t>五、投诉不成立的作违约处理。供应商进行质疑后，采购单位回复质疑不成立，供应商仍进行投诉的，并最终投诉不成立的，作违约处理。采购单位有权对其在</w:t>
      </w:r>
      <w:r>
        <w:rPr>
          <w:rFonts w:ascii="宋体" w:hAnsi="宋体" w:cs="宋体"/>
          <w:sz w:val="24"/>
          <w:szCs w:val="24"/>
        </w:rPr>
        <w:t>1</w:t>
      </w:r>
      <w:r>
        <w:rPr>
          <w:rFonts w:hint="eastAsia" w:ascii="宋体" w:hAnsi="宋体" w:cs="宋体"/>
          <w:sz w:val="24"/>
          <w:szCs w:val="24"/>
        </w:rPr>
        <w:t>至</w:t>
      </w:r>
      <w:r>
        <w:rPr>
          <w:rFonts w:ascii="宋体" w:hAnsi="宋体" w:cs="宋体"/>
          <w:sz w:val="24"/>
          <w:szCs w:val="24"/>
        </w:rPr>
        <w:t>3</w:t>
      </w:r>
      <w:r>
        <w:rPr>
          <w:rFonts w:hint="eastAsia" w:ascii="宋体" w:hAnsi="宋体" w:cs="宋体"/>
          <w:sz w:val="24"/>
          <w:szCs w:val="24"/>
        </w:rPr>
        <w:t>年内禁入由采购单位组织的政府采购活动的违约处理。</w:t>
      </w:r>
    </w:p>
    <w:p>
      <w:pPr>
        <w:adjustRightInd w:val="0"/>
        <w:snapToGrid w:val="0"/>
        <w:spacing w:line="480" w:lineRule="exact"/>
        <w:ind w:firstLine="480" w:firstLineChars="200"/>
        <w:rPr>
          <w:rFonts w:ascii="宋体"/>
          <w:sz w:val="24"/>
          <w:szCs w:val="24"/>
        </w:rPr>
      </w:pPr>
      <w:r>
        <w:rPr>
          <w:rFonts w:hint="eastAsia" w:ascii="宋体" w:hAnsi="宋体" w:cs="宋体"/>
          <w:sz w:val="24"/>
          <w:szCs w:val="24"/>
        </w:rPr>
        <w:t>六、《质疑函》、《质疑回复函》，质疑、举报、投诉不成立的等相关情况，视情在南通公共资源交易平台、省、国家级等相关媒体予以披露。并建议相关政府采购机构对该供应商同步实施</w:t>
      </w:r>
      <w:r>
        <w:rPr>
          <w:rFonts w:ascii="宋体" w:hAnsi="宋体" w:cs="宋体"/>
          <w:sz w:val="24"/>
          <w:szCs w:val="24"/>
        </w:rPr>
        <w:t>1</w:t>
      </w:r>
      <w:r>
        <w:rPr>
          <w:rFonts w:hint="eastAsia" w:ascii="宋体" w:hAnsi="宋体" w:cs="宋体"/>
          <w:sz w:val="24"/>
          <w:szCs w:val="24"/>
        </w:rPr>
        <w:t>至</w:t>
      </w:r>
      <w:r>
        <w:rPr>
          <w:rFonts w:ascii="宋体" w:hAnsi="宋体" w:cs="宋体"/>
          <w:sz w:val="24"/>
          <w:szCs w:val="24"/>
        </w:rPr>
        <w:t>3</w:t>
      </w:r>
      <w:r>
        <w:rPr>
          <w:rFonts w:hint="eastAsia" w:ascii="宋体" w:hAnsi="宋体" w:cs="宋体"/>
          <w:sz w:val="24"/>
          <w:szCs w:val="24"/>
        </w:rPr>
        <w:t>年内禁入。</w:t>
      </w:r>
    </w:p>
    <w:p>
      <w:pPr>
        <w:adjustRightInd w:val="0"/>
        <w:snapToGrid w:val="0"/>
        <w:spacing w:line="480" w:lineRule="exact"/>
        <w:ind w:firstLine="480" w:firstLineChars="200"/>
        <w:rPr>
          <w:rFonts w:ascii="宋体"/>
          <w:sz w:val="24"/>
          <w:szCs w:val="24"/>
        </w:rPr>
      </w:pPr>
      <w:r>
        <w:rPr>
          <w:rFonts w:hint="eastAsia" w:ascii="宋体" w:hAnsi="宋体" w:cs="宋体"/>
          <w:sz w:val="24"/>
          <w:szCs w:val="24"/>
        </w:rPr>
        <w:t>七、质疑供应商对采购单位或代理机构的答复不满意或者采购单位或代理机构未在规定的时间内作出答复的，可以在答复期满后</w:t>
      </w:r>
      <w:r>
        <w:rPr>
          <w:rFonts w:ascii="宋体" w:hAnsi="宋体" w:cs="宋体"/>
          <w:sz w:val="24"/>
          <w:szCs w:val="24"/>
        </w:rPr>
        <w:t>15</w:t>
      </w:r>
      <w:r>
        <w:rPr>
          <w:rFonts w:hint="eastAsia" w:ascii="宋体" w:hAnsi="宋体" w:cs="宋体"/>
          <w:sz w:val="24"/>
          <w:szCs w:val="24"/>
        </w:rPr>
        <w:t>个工作日内向南通市政府采购监督管理部门投诉。</w:t>
      </w:r>
    </w:p>
    <w:p>
      <w:pPr>
        <w:pStyle w:val="3"/>
        <w:keepNext w:val="0"/>
        <w:keepLines w:val="0"/>
        <w:numPr>
          <w:ilvl w:val="0"/>
          <w:numId w:val="0"/>
        </w:numPr>
        <w:snapToGrid w:val="0"/>
        <w:spacing w:before="0" w:after="156" w:afterLines="50" w:line="520" w:lineRule="exact"/>
        <w:ind w:left="420"/>
        <w:jc w:val="center"/>
        <w:rPr>
          <w:rFonts w:ascii="宋体"/>
        </w:rPr>
      </w:pPr>
      <w:bookmarkStart w:id="68" w:name="_Toc363573860"/>
      <w:r>
        <w:rPr>
          <w:rFonts w:ascii="宋体"/>
          <w:w w:val="80"/>
          <w:sz w:val="24"/>
          <w:szCs w:val="24"/>
        </w:rPr>
        <w:br w:type="page"/>
      </w:r>
      <w:r>
        <w:rPr>
          <w:rFonts w:hint="eastAsia" w:ascii="宋体" w:hAnsi="宋体" w:cs="宋体"/>
          <w:w w:val="80"/>
        </w:rPr>
        <w:t>第八章</w:t>
      </w:r>
      <w:r>
        <w:rPr>
          <w:rFonts w:hint="eastAsia" w:ascii="宋体" w:hAnsi="宋体" w:cs="宋体"/>
          <w:w w:val="80"/>
          <w:lang w:val="en-US" w:eastAsia="zh-CN"/>
        </w:rPr>
        <w:t xml:space="preserve"> </w:t>
      </w:r>
      <w:r>
        <w:rPr>
          <w:rFonts w:hint="eastAsia" w:ascii="宋体" w:hAnsi="宋体" w:cs="宋体"/>
          <w:w w:val="80"/>
        </w:rPr>
        <w:t>响应文件组成及格式</w:t>
      </w:r>
      <w:bookmarkEnd w:id="68"/>
    </w:p>
    <w:p>
      <w:pPr>
        <w:widowControl/>
        <w:snapToGrid w:val="0"/>
        <w:spacing w:line="360" w:lineRule="auto"/>
        <w:ind w:firstLine="472" w:firstLineChars="196"/>
        <w:jc w:val="left"/>
        <w:rPr>
          <w:rFonts w:ascii="宋体" w:hAnsi="宋体" w:cs="宋体"/>
          <w:b/>
          <w:bCs/>
          <w:sz w:val="24"/>
          <w:szCs w:val="24"/>
        </w:rPr>
      </w:pPr>
    </w:p>
    <w:p>
      <w:pPr>
        <w:widowControl/>
        <w:snapToGrid w:val="0"/>
        <w:spacing w:line="360" w:lineRule="auto"/>
        <w:ind w:firstLine="472" w:firstLineChars="196"/>
        <w:jc w:val="left"/>
        <w:rPr>
          <w:rFonts w:ascii="宋体"/>
          <w:b/>
          <w:bCs/>
          <w:sz w:val="24"/>
          <w:szCs w:val="24"/>
        </w:rPr>
      </w:pPr>
      <w:r>
        <w:rPr>
          <w:rFonts w:hint="eastAsia" w:ascii="宋体" w:hAnsi="宋体" w:cs="宋体"/>
          <w:b/>
          <w:bCs/>
          <w:sz w:val="24"/>
          <w:szCs w:val="24"/>
        </w:rPr>
        <w:t>响应文件由资格审查文件、技术响应文件、商务报价响应文件三部分组成。本次竞争性磋商采用资格后审方式，供应商须将资格审查文件作为响应文件组成部分，按磋商文件要求装订密封后一起递交。</w:t>
      </w:r>
    </w:p>
    <w:p>
      <w:pPr>
        <w:widowControl/>
        <w:numPr>
          <w:ilvl w:val="0"/>
          <w:numId w:val="7"/>
        </w:numPr>
        <w:snapToGrid w:val="0"/>
        <w:spacing w:line="360" w:lineRule="auto"/>
        <w:ind w:firstLine="472" w:firstLineChars="196"/>
        <w:jc w:val="left"/>
        <w:rPr>
          <w:rFonts w:ascii="宋体"/>
          <w:b/>
          <w:bCs/>
          <w:sz w:val="24"/>
          <w:szCs w:val="24"/>
          <w:lang w:val="zh-CN"/>
        </w:rPr>
      </w:pPr>
      <w:r>
        <w:rPr>
          <w:rFonts w:hint="eastAsia" w:ascii="宋体" w:hAnsi="宋体" w:cs="宋体"/>
          <w:b/>
          <w:bCs/>
          <w:sz w:val="24"/>
          <w:szCs w:val="24"/>
        </w:rPr>
        <w:t>资格审查文件</w:t>
      </w:r>
      <w:r>
        <w:rPr>
          <w:rFonts w:hint="eastAsia" w:ascii="宋体" w:hAnsi="宋体" w:cs="宋体"/>
          <w:b/>
          <w:bCs/>
          <w:sz w:val="24"/>
          <w:szCs w:val="24"/>
          <w:lang w:val="zh-CN"/>
        </w:rPr>
        <w:t>（</w:t>
      </w:r>
      <w:r>
        <w:rPr>
          <w:rFonts w:hint="eastAsia" w:ascii="宋体" w:hAnsi="宋体" w:cs="宋体"/>
          <w:b/>
          <w:bCs/>
          <w:sz w:val="24"/>
          <w:szCs w:val="24"/>
        </w:rPr>
        <w:t>单独密封</w:t>
      </w:r>
      <w:r>
        <w:rPr>
          <w:rFonts w:hint="eastAsia" w:ascii="宋体" w:hAnsi="宋体" w:cs="宋体"/>
          <w:b/>
          <w:bCs/>
          <w:sz w:val="24"/>
          <w:szCs w:val="24"/>
          <w:lang w:val="zh-CN"/>
        </w:rPr>
        <w:t>）</w:t>
      </w:r>
    </w:p>
    <w:p>
      <w:pPr>
        <w:numPr>
          <w:ilvl w:val="0"/>
          <w:numId w:val="8"/>
        </w:numPr>
        <w:snapToGrid w:val="0"/>
        <w:spacing w:line="360" w:lineRule="auto"/>
        <w:ind w:firstLine="470" w:firstLineChars="196"/>
        <w:jc w:val="left"/>
        <w:textAlignment w:val="baseline"/>
        <w:rPr>
          <w:rFonts w:hint="eastAsia" w:ascii="宋体" w:hAnsi="宋体" w:cs="宋体"/>
          <w:sz w:val="24"/>
          <w:szCs w:val="24"/>
        </w:rPr>
      </w:pPr>
      <w:r>
        <w:rPr>
          <w:rFonts w:hint="eastAsia" w:ascii="宋体" w:hAnsi="宋体" w:cs="宋体"/>
          <w:sz w:val="24"/>
          <w:szCs w:val="24"/>
        </w:rPr>
        <w:t>供应商必须有能力按本磋商文件规定的要求提供相关服务，须提供有效的三证合一的企业法人营业执照复印件或扫描件。</w:t>
      </w:r>
    </w:p>
    <w:p>
      <w:pPr>
        <w:widowControl/>
        <w:snapToGrid w:val="0"/>
        <w:spacing w:line="360" w:lineRule="auto"/>
        <w:ind w:firstLine="470" w:firstLineChars="196"/>
        <w:jc w:val="left"/>
        <w:textAlignment w:val="baseline"/>
        <w:rPr>
          <w:rFonts w:hint="eastAsia" w:ascii="宋体" w:hAnsi="宋体" w:cs="宋体"/>
          <w:sz w:val="24"/>
          <w:szCs w:val="24"/>
        </w:rPr>
      </w:pPr>
      <w:r>
        <w:rPr>
          <w:rFonts w:hint="eastAsia" w:ascii="宋体" w:hAnsi="宋体" w:cs="宋体"/>
          <w:sz w:val="24"/>
          <w:szCs w:val="24"/>
        </w:rPr>
        <w:t>2、 提供供应商的法定代表人或负责人身份证明及身份证原件的复印件或扫描件（须加盖供应商公章，格式参见竞争性磋商文件第八章）；</w:t>
      </w:r>
    </w:p>
    <w:p>
      <w:pPr>
        <w:widowControl/>
        <w:snapToGrid w:val="0"/>
        <w:spacing w:line="360" w:lineRule="auto"/>
        <w:ind w:firstLine="470" w:firstLineChars="196"/>
        <w:jc w:val="left"/>
        <w:textAlignment w:val="baseline"/>
        <w:rPr>
          <w:rFonts w:hint="eastAsia" w:ascii="宋体" w:hAnsi="宋体" w:cs="宋体"/>
          <w:sz w:val="24"/>
          <w:szCs w:val="24"/>
        </w:rPr>
      </w:pPr>
      <w:r>
        <w:rPr>
          <w:rFonts w:hint="eastAsia" w:ascii="宋体" w:hAnsi="宋体" w:cs="宋体"/>
          <w:sz w:val="24"/>
          <w:szCs w:val="24"/>
        </w:rPr>
        <w:t>3、如为被委托受权人参加竞争性磋商的，还必须提供法定代表人或负责人签名或盖章的授权委托书及被委托受权人身份证这两项原件的复印件或扫描件（须加盖供应商公章，格式参见竞争性磋商文件第八章）；</w:t>
      </w:r>
    </w:p>
    <w:p>
      <w:pPr>
        <w:snapToGrid w:val="0"/>
        <w:spacing w:line="360" w:lineRule="auto"/>
        <w:ind w:firstLine="480" w:firstLineChars="200"/>
        <w:textAlignment w:val="baseline"/>
        <w:rPr>
          <w:rFonts w:hint="eastAsia" w:eastAsiaTheme="minorEastAsia"/>
          <w:lang w:eastAsia="zh-CN"/>
        </w:rPr>
      </w:pPr>
      <w:r>
        <w:rPr>
          <w:rFonts w:hint="eastAsia" w:ascii="宋体" w:hAnsi="宋体" w:cs="宋体"/>
          <w:sz w:val="24"/>
          <w:szCs w:val="24"/>
        </w:rPr>
        <w:t>4、</w:t>
      </w:r>
      <w:r>
        <w:rPr>
          <w:rFonts w:hint="eastAsia" w:ascii="宋体" w:hAnsi="宋体" w:cs="宋体"/>
          <w:sz w:val="24"/>
          <w:szCs w:val="24"/>
          <w:lang w:val="en-US" w:eastAsia="zh-CN"/>
        </w:rPr>
        <w:t>供应商</w:t>
      </w:r>
      <w:r>
        <w:rPr>
          <w:rFonts w:hint="eastAsia" w:asciiTheme="minorEastAsia" w:hAnsiTheme="minorEastAsia" w:eastAsiaTheme="minorEastAsia"/>
          <w:sz w:val="24"/>
          <w:szCs w:val="24"/>
          <w:highlight w:val="none"/>
        </w:rPr>
        <w:t>具有《中华人民共和国特种设备安装改造维修许可证》（电梯）曳引与强制驱动电梯（或乘客电梯）安装、维修B级及以上资质或《中华人民共和国特种设备生产许可证》（电梯）曳引驱动乘客电梯（含消防员电梯）B级及以上资质</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val="en-US" w:eastAsia="zh-CN"/>
        </w:rPr>
        <w:t>提供有效的资质证书</w:t>
      </w:r>
      <w:r>
        <w:rPr>
          <w:rFonts w:hint="eastAsia" w:asciiTheme="minorEastAsia" w:hAnsiTheme="minorEastAsia" w:eastAsiaTheme="minorEastAsia"/>
          <w:sz w:val="24"/>
          <w:szCs w:val="24"/>
          <w:highlight w:val="none"/>
        </w:rPr>
        <w:t>的原件的复印件（须加盖公章）</w:t>
      </w:r>
      <w:r>
        <w:rPr>
          <w:rFonts w:hint="eastAsia" w:asciiTheme="minorEastAsia" w:hAnsiTheme="minorEastAsia" w:eastAsiaTheme="minorEastAsia"/>
          <w:sz w:val="24"/>
          <w:szCs w:val="24"/>
          <w:highlight w:val="none"/>
          <w:lang w:eastAsia="zh-CN"/>
        </w:rPr>
        <w:t>；</w:t>
      </w:r>
    </w:p>
    <w:p>
      <w:pPr>
        <w:pStyle w:val="50"/>
        <w:snapToGrid w:val="0"/>
        <w:spacing w:after="0" w:line="360" w:lineRule="auto"/>
        <w:ind w:firstLine="480"/>
        <w:rPr>
          <w:rFonts w:hint="eastAsia" w:ascii="宋体" w:hAnsi="宋体" w:eastAsia="宋体" w:cs="宋体"/>
          <w:bCs/>
          <w:color w:val="000000"/>
          <w:sz w:val="24"/>
          <w:szCs w:val="24"/>
          <w:lang w:eastAsia="zh-CN"/>
        </w:rPr>
      </w:pPr>
      <w:r>
        <w:rPr>
          <w:rFonts w:hint="eastAsia" w:ascii="宋体" w:hAnsi="宋体" w:cs="宋体"/>
          <w:bCs/>
          <w:color w:val="000000"/>
          <w:sz w:val="24"/>
          <w:szCs w:val="24"/>
        </w:rPr>
        <w:t>5、</w:t>
      </w:r>
      <w:r>
        <w:rPr>
          <w:rFonts w:hint="eastAsia" w:ascii="宋体" w:hAnsi="宋体" w:eastAsia="宋体" w:cs="Arial"/>
          <w:color w:val="333333"/>
          <w:kern w:val="0"/>
          <w:sz w:val="24"/>
          <w:szCs w:val="24"/>
        </w:rPr>
        <w:t>采购人</w:t>
      </w:r>
      <w:r>
        <w:rPr>
          <w:rFonts w:hint="eastAsia" w:ascii="宋体" w:hAnsi="宋体" w:eastAsia="宋体" w:cs="Arial"/>
          <w:color w:val="333333"/>
          <w:kern w:val="0"/>
          <w:sz w:val="24"/>
          <w:szCs w:val="24"/>
          <w:lang w:val="en-US" w:eastAsia="zh-CN"/>
        </w:rPr>
        <w:t>代表签字</w:t>
      </w:r>
      <w:r>
        <w:rPr>
          <w:rFonts w:hint="eastAsia" w:ascii="宋体" w:hAnsi="宋体" w:eastAsia="宋体" w:cs="Arial"/>
          <w:color w:val="333333"/>
          <w:kern w:val="0"/>
          <w:sz w:val="24"/>
          <w:szCs w:val="24"/>
        </w:rPr>
        <w:t>的《现场勘查函》</w:t>
      </w:r>
      <w:r>
        <w:rPr>
          <w:rFonts w:hint="eastAsia" w:ascii="宋体" w:hAnsi="宋体" w:cs="Arial"/>
          <w:color w:val="333333"/>
          <w:kern w:val="0"/>
          <w:sz w:val="24"/>
          <w:szCs w:val="24"/>
          <w:lang w:eastAsia="zh-CN"/>
        </w:rPr>
        <w:t>；</w:t>
      </w:r>
    </w:p>
    <w:p>
      <w:pPr>
        <w:pStyle w:val="50"/>
        <w:snapToGrid w:val="0"/>
        <w:spacing w:after="0" w:line="360" w:lineRule="auto"/>
        <w:ind w:firstLine="480"/>
        <w:rPr>
          <w:rFonts w:hint="eastAsia" w:ascii="宋体" w:hAnsi="宋体" w:cs="宋体"/>
          <w:bCs/>
          <w:color w:val="000000"/>
          <w:sz w:val="24"/>
          <w:szCs w:val="24"/>
        </w:rPr>
      </w:pPr>
      <w:r>
        <w:rPr>
          <w:rFonts w:hint="eastAsia" w:ascii="宋体" w:hAnsi="宋体" w:cs="宋体"/>
          <w:kern w:val="0"/>
          <w:sz w:val="24"/>
          <w:szCs w:val="24"/>
          <w:lang w:val="en-US" w:eastAsia="zh-CN"/>
        </w:rPr>
        <w:t>6、供应商</w:t>
      </w:r>
      <w:r>
        <w:rPr>
          <w:rFonts w:hint="eastAsia" w:ascii="宋体" w:hAnsi="宋体" w:eastAsia="宋体" w:cs="宋体"/>
          <w:kern w:val="0"/>
          <w:sz w:val="24"/>
          <w:szCs w:val="24"/>
        </w:rPr>
        <w:t>符合《政府采购法》第二十二条规定条件的承诺函</w:t>
      </w:r>
      <w:r>
        <w:rPr>
          <w:rFonts w:hint="eastAsia" w:ascii="宋体" w:hAnsi="宋体" w:cs="宋体"/>
          <w:sz w:val="24"/>
          <w:szCs w:val="24"/>
        </w:rPr>
        <w:t>（格式参见竞争性磋商文件第八章）</w:t>
      </w:r>
      <w:r>
        <w:rPr>
          <w:rFonts w:hint="eastAsia" w:ascii="宋体" w:hAnsi="宋体" w:eastAsia="宋体" w:cs="宋体"/>
          <w:kern w:val="0"/>
          <w:sz w:val="24"/>
          <w:szCs w:val="24"/>
          <w:lang w:val="zh-CN"/>
        </w:rPr>
        <w:t>；</w:t>
      </w:r>
    </w:p>
    <w:p>
      <w:pPr>
        <w:pStyle w:val="50"/>
        <w:snapToGrid w:val="0"/>
        <w:spacing w:after="0" w:line="360" w:lineRule="auto"/>
        <w:ind w:firstLine="480"/>
      </w:pPr>
      <w:r>
        <w:rPr>
          <w:rFonts w:hint="eastAsia" w:ascii="宋体" w:hAnsi="宋体" w:cs="宋体"/>
          <w:bCs/>
          <w:color w:val="000000"/>
          <w:sz w:val="24"/>
          <w:szCs w:val="24"/>
          <w:lang w:val="en-US" w:eastAsia="zh-CN"/>
        </w:rPr>
        <w:t>7、</w:t>
      </w:r>
      <w:r>
        <w:rPr>
          <w:rFonts w:hint="eastAsia" w:ascii="宋体" w:hAnsi="宋体" w:cs="宋体"/>
          <w:bCs/>
          <w:color w:val="000000"/>
          <w:sz w:val="24"/>
          <w:szCs w:val="24"/>
        </w:rPr>
        <w:t>供应商一般情况表（格式参见第八章）</w:t>
      </w:r>
      <w:r>
        <w:rPr>
          <w:rFonts w:hint="eastAsia" w:ascii="宋体" w:hAnsi="宋体" w:cs="宋体"/>
          <w:sz w:val="24"/>
          <w:szCs w:val="24"/>
        </w:rPr>
        <w:t>。</w:t>
      </w:r>
    </w:p>
    <w:p>
      <w:pPr>
        <w:snapToGrid w:val="0"/>
        <w:spacing w:line="360" w:lineRule="auto"/>
        <w:ind w:firstLine="482" w:firstLineChars="200"/>
        <w:textAlignment w:val="baseline"/>
        <w:rPr>
          <w:rFonts w:ascii="宋体" w:hAnsi="宋体" w:cs="宋体"/>
          <w:sz w:val="24"/>
          <w:szCs w:val="24"/>
        </w:rPr>
      </w:pPr>
      <w:r>
        <w:rPr>
          <w:rFonts w:hint="eastAsia" w:ascii="宋体" w:hAnsi="宋体" w:cs="宋体"/>
          <w:b/>
          <w:bCs/>
          <w:sz w:val="24"/>
          <w:szCs w:val="24"/>
        </w:rPr>
        <w:t>注：以上材料如为复印件或扫描件均需加盖单位公章，要求提供原件查验的，因携带原件不全而由此引起的后果由投标人自负。</w:t>
      </w:r>
    </w:p>
    <w:p>
      <w:pPr>
        <w:widowControl/>
        <w:snapToGrid w:val="0"/>
        <w:spacing w:line="360" w:lineRule="auto"/>
        <w:ind w:firstLine="472" w:firstLineChars="196"/>
        <w:jc w:val="left"/>
        <w:textAlignment w:val="baseline"/>
        <w:rPr>
          <w:rFonts w:ascii="宋体" w:hAnsi="宋体"/>
          <w:b/>
          <w:sz w:val="24"/>
          <w:szCs w:val="24"/>
        </w:rPr>
      </w:pPr>
      <w:r>
        <w:rPr>
          <w:rFonts w:hint="eastAsia" w:ascii="宋体" w:hAnsi="宋体"/>
          <w:b/>
          <w:sz w:val="24"/>
          <w:szCs w:val="24"/>
        </w:rPr>
        <w:t>二、技术响应文件（单独密封）</w:t>
      </w:r>
    </w:p>
    <w:p>
      <w:pPr>
        <w:widowControl/>
        <w:snapToGrid w:val="0"/>
        <w:spacing w:line="360" w:lineRule="auto"/>
        <w:ind w:firstLine="470" w:firstLineChars="196"/>
        <w:jc w:val="left"/>
        <w:textAlignment w:val="baseline"/>
        <w:rPr>
          <w:rFonts w:ascii="宋体" w:hAnsi="宋体"/>
          <w:sz w:val="24"/>
          <w:szCs w:val="24"/>
        </w:rPr>
      </w:pPr>
      <w:r>
        <w:rPr>
          <w:rFonts w:hint="eastAsia" w:ascii="宋体" w:hAnsi="宋体"/>
          <w:sz w:val="24"/>
          <w:szCs w:val="24"/>
        </w:rPr>
        <w:t>1、竞争性磋商响应函（格式参见第八章）；</w:t>
      </w:r>
    </w:p>
    <w:p>
      <w:pPr>
        <w:widowControl/>
        <w:snapToGrid w:val="0"/>
        <w:spacing w:line="360" w:lineRule="auto"/>
        <w:ind w:firstLine="470" w:firstLineChars="196"/>
        <w:jc w:val="left"/>
        <w:textAlignment w:val="baseline"/>
        <w:rPr>
          <w:rFonts w:ascii="宋体" w:hAnsi="宋体" w:cs="宋体"/>
          <w:sz w:val="24"/>
          <w:szCs w:val="24"/>
        </w:rPr>
      </w:pPr>
      <w:r>
        <w:rPr>
          <w:rFonts w:hint="eastAsia" w:ascii="宋体" w:hAnsi="宋体"/>
          <w:sz w:val="24"/>
          <w:szCs w:val="24"/>
        </w:rPr>
        <w:t>2、</w:t>
      </w:r>
      <w:r>
        <w:rPr>
          <w:rFonts w:hint="eastAsia" w:ascii="宋体" w:hAnsi="宋体" w:cs="宋体"/>
          <w:sz w:val="24"/>
          <w:szCs w:val="24"/>
        </w:rPr>
        <w:t>评标办法和项目需求中所涉及的事项需提供的所有资料；</w:t>
      </w:r>
    </w:p>
    <w:p>
      <w:pPr>
        <w:snapToGrid w:val="0"/>
        <w:spacing w:line="360" w:lineRule="auto"/>
        <w:ind w:firstLine="480" w:firstLineChars="200"/>
        <w:jc w:val="left"/>
        <w:textAlignment w:val="baseline"/>
        <w:rPr>
          <w:sz w:val="24"/>
          <w:szCs w:val="24"/>
        </w:rPr>
      </w:pPr>
      <w:r>
        <w:rPr>
          <w:rFonts w:hint="eastAsia" w:ascii="宋体" w:hAnsi="宋体" w:cs="宋体"/>
          <w:sz w:val="24"/>
          <w:szCs w:val="24"/>
          <w:lang w:val="en-US" w:eastAsia="zh-CN"/>
        </w:rPr>
        <w:t>3</w:t>
      </w:r>
      <w:r>
        <w:rPr>
          <w:rFonts w:hint="eastAsia" w:ascii="宋体" w:hAnsi="宋体" w:cs="宋体"/>
          <w:sz w:val="24"/>
          <w:szCs w:val="24"/>
        </w:rPr>
        <w:t>、评标办法和项目需求中未涉及的事项，供应商认为需要提交的其他资料。</w:t>
      </w:r>
    </w:p>
    <w:p>
      <w:pPr>
        <w:widowControl/>
        <w:snapToGrid w:val="0"/>
        <w:spacing w:line="360" w:lineRule="auto"/>
        <w:ind w:firstLine="470" w:firstLineChars="196"/>
        <w:jc w:val="left"/>
        <w:textAlignment w:val="baseline"/>
        <w:rPr>
          <w:rFonts w:ascii="宋体" w:hAnsi="宋体" w:cs="宋体"/>
          <w:bCs/>
          <w:color w:val="000000"/>
          <w:sz w:val="24"/>
          <w:szCs w:val="24"/>
        </w:rPr>
      </w:pPr>
      <w:r>
        <w:rPr>
          <w:rFonts w:hint="eastAsia" w:ascii="宋体" w:hAnsi="宋体"/>
          <w:sz w:val="24"/>
          <w:szCs w:val="24"/>
        </w:rPr>
        <w:t>注：为方便评委评审，请供应商按评标办法中所涉及的事项顺序进行编制，可以补充相</w:t>
      </w:r>
      <w:r>
        <w:rPr>
          <w:rFonts w:hint="eastAsia" w:ascii="宋体" w:hAnsi="宋体" w:cs="宋体"/>
          <w:color w:val="000000"/>
          <w:sz w:val="24"/>
          <w:szCs w:val="24"/>
        </w:rPr>
        <w:t>关材料；</w:t>
      </w:r>
    </w:p>
    <w:p>
      <w:pPr>
        <w:widowControl/>
        <w:snapToGrid w:val="0"/>
        <w:spacing w:line="360" w:lineRule="auto"/>
        <w:ind w:firstLine="472" w:firstLineChars="196"/>
        <w:jc w:val="left"/>
        <w:rPr>
          <w:rFonts w:ascii="宋体"/>
          <w:b/>
          <w:bCs/>
          <w:sz w:val="24"/>
          <w:szCs w:val="24"/>
        </w:rPr>
      </w:pPr>
      <w:r>
        <w:rPr>
          <w:rFonts w:hint="eastAsia" w:ascii="宋体" w:hAnsi="宋体" w:cs="宋体"/>
          <w:b/>
          <w:bCs/>
          <w:sz w:val="24"/>
          <w:szCs w:val="24"/>
        </w:rPr>
        <w:t>三、商务报价响应文件（单独密封）</w:t>
      </w:r>
    </w:p>
    <w:p>
      <w:pPr>
        <w:snapToGrid w:val="0"/>
        <w:spacing w:line="360" w:lineRule="auto"/>
        <w:ind w:firstLine="480" w:firstLineChars="200"/>
        <w:jc w:val="left"/>
        <w:textAlignment w:val="baseline"/>
        <w:rPr>
          <w:rFonts w:hint="eastAsia" w:ascii="宋体" w:hAnsi="宋体" w:cs="宋体"/>
          <w:bCs/>
          <w:color w:val="000000"/>
          <w:sz w:val="24"/>
          <w:szCs w:val="24"/>
          <w:lang w:val="zh-CN"/>
        </w:rPr>
      </w:pPr>
      <w:r>
        <w:rPr>
          <w:rFonts w:hint="eastAsia" w:ascii="宋体" w:hAnsi="宋体" w:cs="宋体"/>
          <w:bCs/>
          <w:color w:val="000000"/>
          <w:sz w:val="24"/>
          <w:szCs w:val="24"/>
          <w:lang w:val="zh-CN"/>
        </w:rPr>
        <w:t>1、</w:t>
      </w:r>
      <w:r>
        <w:rPr>
          <w:rFonts w:hint="eastAsia" w:ascii="宋体" w:hAnsi="宋体" w:cs="宋体"/>
          <w:bCs/>
          <w:color w:val="000000"/>
          <w:sz w:val="24"/>
          <w:szCs w:val="24"/>
        </w:rPr>
        <w:t>磋商</w:t>
      </w:r>
      <w:r>
        <w:rPr>
          <w:rFonts w:hint="eastAsia" w:ascii="宋体" w:hAnsi="宋体" w:cs="宋体"/>
          <w:bCs/>
          <w:color w:val="000000"/>
          <w:sz w:val="24"/>
          <w:szCs w:val="24"/>
          <w:lang w:val="zh-CN"/>
        </w:rPr>
        <w:t>响应报价总表（格式参见第八章）；</w:t>
      </w:r>
    </w:p>
    <w:p>
      <w:pPr>
        <w:snapToGrid w:val="0"/>
        <w:spacing w:line="360" w:lineRule="auto"/>
        <w:ind w:firstLine="480" w:firstLineChars="200"/>
        <w:jc w:val="left"/>
        <w:textAlignment w:val="baseline"/>
        <w:rPr>
          <w:rFonts w:hint="eastAsia" w:ascii="宋体" w:hAnsi="宋体" w:cs="宋体"/>
          <w:bCs/>
          <w:color w:val="000000"/>
          <w:sz w:val="24"/>
          <w:szCs w:val="24"/>
          <w:lang w:val="zh-CN"/>
        </w:rPr>
      </w:pPr>
      <w:r>
        <w:rPr>
          <w:rFonts w:hint="eastAsia" w:ascii="宋体" w:hAnsi="宋体" w:cs="宋体"/>
          <w:bCs/>
          <w:color w:val="000000"/>
          <w:sz w:val="24"/>
          <w:szCs w:val="24"/>
        </w:rPr>
        <w:t>2、</w:t>
      </w:r>
      <w:r>
        <w:rPr>
          <w:rFonts w:hint="eastAsia" w:ascii="宋体" w:hAnsi="宋体" w:cs="宋体"/>
          <w:bCs/>
          <w:color w:val="000000"/>
          <w:sz w:val="24"/>
          <w:szCs w:val="24"/>
          <w:lang w:val="zh-CN"/>
        </w:rPr>
        <w:t>中小企业声明函（</w:t>
      </w:r>
      <w:r>
        <w:rPr>
          <w:rFonts w:hint="eastAsia" w:ascii="宋体" w:hAnsi="宋体" w:cs="宋体"/>
          <w:bCs/>
          <w:color w:val="000000"/>
          <w:sz w:val="24"/>
          <w:szCs w:val="24"/>
        </w:rPr>
        <w:t>如有）</w:t>
      </w:r>
      <w:r>
        <w:rPr>
          <w:rFonts w:hint="eastAsia" w:ascii="宋体" w:hAnsi="宋体" w:cs="宋体"/>
          <w:bCs/>
          <w:color w:val="000000"/>
          <w:sz w:val="24"/>
          <w:szCs w:val="24"/>
          <w:lang w:val="zh-CN"/>
        </w:rPr>
        <w:t>。</w:t>
      </w:r>
    </w:p>
    <w:p>
      <w:pPr>
        <w:widowControl/>
        <w:snapToGrid w:val="0"/>
        <w:spacing w:line="360" w:lineRule="auto"/>
        <w:jc w:val="left"/>
        <w:rPr>
          <w:rFonts w:ascii="宋体"/>
          <w:b/>
          <w:bCs/>
          <w:sz w:val="28"/>
          <w:szCs w:val="28"/>
        </w:rPr>
      </w:pPr>
      <w:r>
        <w:rPr>
          <w:rFonts w:ascii="宋体"/>
          <w:b/>
          <w:bCs/>
          <w:sz w:val="28"/>
          <w:szCs w:val="28"/>
          <w:highlight w:val="yellow"/>
        </w:rPr>
        <w:br w:type="page"/>
      </w:r>
      <w:r>
        <w:rPr>
          <w:rFonts w:hint="eastAsia" w:ascii="宋体" w:hAnsi="宋体" w:cs="宋体"/>
          <w:b/>
          <w:bCs/>
          <w:sz w:val="28"/>
          <w:szCs w:val="28"/>
        </w:rPr>
        <w:t>附件：</w:t>
      </w:r>
    </w:p>
    <w:p>
      <w:pPr>
        <w:snapToGrid w:val="0"/>
        <w:spacing w:line="520" w:lineRule="exact"/>
        <w:jc w:val="center"/>
        <w:outlineLvl w:val="3"/>
        <w:rPr>
          <w:rFonts w:ascii="宋体"/>
          <w:b/>
          <w:bCs/>
          <w:sz w:val="28"/>
          <w:szCs w:val="28"/>
        </w:rPr>
      </w:pPr>
      <w:r>
        <w:rPr>
          <w:rFonts w:ascii="宋体" w:hAnsi="宋体" w:cs="宋体"/>
          <w:b/>
          <w:bCs/>
          <w:sz w:val="28"/>
          <w:szCs w:val="28"/>
        </w:rPr>
        <w:t>1</w:t>
      </w:r>
      <w:r>
        <w:rPr>
          <w:rFonts w:hint="eastAsia" w:ascii="宋体" w:hAnsi="宋体" w:cs="宋体"/>
          <w:b/>
          <w:bCs/>
          <w:sz w:val="28"/>
          <w:szCs w:val="28"/>
        </w:rPr>
        <w:t>、法定代表人身份证明</w:t>
      </w:r>
    </w:p>
    <w:p>
      <w:pPr>
        <w:snapToGrid w:val="0"/>
        <w:spacing w:line="520" w:lineRule="exact"/>
        <w:jc w:val="center"/>
        <w:rPr>
          <w:rFonts w:ascii="宋体"/>
          <w:sz w:val="24"/>
          <w:szCs w:val="24"/>
        </w:rPr>
      </w:pPr>
    </w:p>
    <w:p>
      <w:pPr>
        <w:snapToGrid w:val="0"/>
        <w:spacing w:line="520" w:lineRule="exact"/>
        <w:jc w:val="center"/>
        <w:rPr>
          <w:rFonts w:ascii="宋体"/>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rPr>
          <w:rFonts w:ascii="宋体"/>
          <w:sz w:val="24"/>
          <w:szCs w:val="24"/>
          <w:u w:val="single"/>
        </w:rPr>
      </w:pPr>
      <w:r>
        <w:rPr>
          <w:rFonts w:hint="eastAsia" w:ascii="宋体" w:hAnsi="宋体" w:cs="宋体"/>
          <w:sz w:val="24"/>
          <w:szCs w:val="24"/>
          <w:u w:val="single"/>
          <w:lang w:eastAsia="zh-CN"/>
        </w:rPr>
        <w:t>南通市保安服务有限公司</w:t>
      </w:r>
      <w:r>
        <w:rPr>
          <w:rFonts w:hint="eastAsia" w:ascii="宋体" w:hAnsi="宋体" w:cs="宋体"/>
          <w:sz w:val="24"/>
          <w:szCs w:val="24"/>
          <w:u w:val="single"/>
        </w:rPr>
        <w:t>：</w:t>
      </w:r>
      <w:r>
        <w:rPr>
          <w:rFonts w:ascii="宋体" w:hAnsi="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sz w:val="24"/>
          <w:szCs w:val="24"/>
        </w:rPr>
      </w:pPr>
      <w:r>
        <w:rPr>
          <w:rFonts w:hint="eastAsia" w:cs="宋体"/>
          <w:sz w:val="24"/>
          <w:szCs w:val="24"/>
          <w:u w:val="single" w:color="000000"/>
        </w:rPr>
        <w:t>　　　　　</w:t>
      </w:r>
      <w:r>
        <w:rPr>
          <w:rFonts w:hint="eastAsia" w:cs="宋体"/>
          <w:sz w:val="24"/>
          <w:szCs w:val="24"/>
        </w:rPr>
        <w:t>（先生／女士）现任我单位</w:t>
      </w:r>
      <w:r>
        <w:rPr>
          <w:rFonts w:hint="eastAsia" w:cs="宋体"/>
          <w:sz w:val="24"/>
          <w:szCs w:val="24"/>
          <w:u w:val="single" w:color="000000"/>
        </w:rPr>
        <w:t>　　　　 　　　</w:t>
      </w:r>
      <w:r>
        <w:rPr>
          <w:rFonts w:hint="eastAsia" w:cs="宋体"/>
          <w:sz w:val="24"/>
          <w:szCs w:val="24"/>
        </w:rPr>
        <w:t>职务，为法定代表人，特此证明。</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cs="宋体"/>
          <w:sz w:val="24"/>
          <w:szCs w:val="24"/>
        </w:rPr>
      </w:pPr>
      <w:r>
        <w:rPr>
          <w:rFonts w:hint="eastAsia" w:cs="宋体"/>
          <w:sz w:val="24"/>
          <w:szCs w:val="24"/>
        </w:rPr>
        <w:t>身份证号码：</w:t>
      </w:r>
    </w:p>
    <w:p>
      <w:pPr>
        <w:snapToGrid w:val="0"/>
        <w:spacing w:line="420" w:lineRule="exact"/>
        <w:ind w:firstLine="480" w:firstLineChars="200"/>
        <w:textAlignment w:val="baseline"/>
        <w:rPr>
          <w:rFonts w:cs="宋体"/>
          <w:sz w:val="24"/>
          <w:szCs w:val="24"/>
        </w:rPr>
      </w:pPr>
    </w:p>
    <w:p>
      <w:pPr>
        <w:snapToGrid w:val="0"/>
        <w:spacing w:line="420" w:lineRule="exact"/>
        <w:ind w:firstLine="480" w:firstLineChars="200"/>
        <w:textAlignment w:val="baseline"/>
        <w:rPr>
          <w:sz w:val="24"/>
          <w:szCs w:val="24"/>
          <w:u w:val="single"/>
        </w:rPr>
      </w:pPr>
    </w:p>
    <w:p>
      <w:pPr>
        <w:snapToGrid w:val="0"/>
        <w:spacing w:line="520" w:lineRule="exact"/>
        <w:jc w:val="right"/>
        <w:textAlignment w:val="baseline"/>
        <w:rPr>
          <w:rFonts w:ascii="宋体" w:hAnsi="宋体" w:cs="宋体"/>
          <w:color w:val="000000"/>
          <w:sz w:val="24"/>
          <w:szCs w:val="24"/>
        </w:rPr>
      </w:pPr>
      <w:r>
        <w:rPr>
          <w:rFonts w:hint="eastAsia" w:cs="宋体"/>
          <w:sz w:val="24"/>
          <w:szCs w:val="24"/>
        </w:rPr>
        <w:t xml:space="preserve">                      </w:t>
      </w:r>
      <w:r>
        <w:rPr>
          <w:rFonts w:hint="eastAsia" w:ascii="宋体" w:hAnsi="宋体" w:cs="宋体"/>
          <w:color w:val="000000"/>
          <w:sz w:val="24"/>
          <w:szCs w:val="24"/>
        </w:rPr>
        <w:t>竞争性磋商响应单位：（加盖公章）</w:t>
      </w:r>
    </w:p>
    <w:p>
      <w:pPr>
        <w:snapToGrid w:val="0"/>
        <w:spacing w:line="420" w:lineRule="exact"/>
        <w:ind w:right="960" w:firstLine="484" w:firstLineChars="202"/>
        <w:jc w:val="center"/>
        <w:textAlignment w:val="baseline"/>
        <w:rPr>
          <w:sz w:val="20"/>
        </w:rPr>
      </w:pPr>
      <w:r>
        <w:rPr>
          <w:rFonts w:hint="eastAsia" w:ascii="宋体" w:hAnsi="宋体" w:cs="宋体"/>
          <w:color w:val="000000"/>
          <w:sz w:val="24"/>
          <w:szCs w:val="24"/>
        </w:rPr>
        <w:t xml:space="preserve">                                            年      月     日</w:t>
      </w:r>
    </w:p>
    <w:p>
      <w:pPr>
        <w:snapToGrid w:val="0"/>
        <w:spacing w:line="420" w:lineRule="exact"/>
        <w:ind w:firstLine="404" w:firstLineChars="202"/>
        <w:jc w:val="left"/>
        <w:textAlignment w:val="baseline"/>
        <w:rPr>
          <w:sz w:val="20"/>
        </w:rPr>
      </w:pPr>
    </w:p>
    <w:tbl>
      <w:tblPr>
        <w:tblStyle w:val="51"/>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6" w:hRule="atLeast"/>
        </w:trPr>
        <w:tc>
          <w:tcPr>
            <w:tcW w:w="7848" w:type="dxa"/>
            <w:noWrap w:val="0"/>
            <w:vAlign w:val="top"/>
          </w:tcPr>
          <w:p>
            <w:pPr>
              <w:snapToGrid w:val="0"/>
              <w:spacing w:line="420" w:lineRule="exact"/>
              <w:ind w:firstLine="404" w:firstLineChars="202"/>
              <w:jc w:val="left"/>
              <w:textAlignment w:val="baseline"/>
              <w:rPr>
                <w:sz w:val="20"/>
                <w:szCs w:val="22"/>
              </w:rPr>
            </w:pPr>
          </w:p>
          <w:p>
            <w:pPr>
              <w:snapToGrid w:val="0"/>
              <w:spacing w:line="420" w:lineRule="exact"/>
              <w:ind w:firstLine="404" w:firstLineChars="202"/>
              <w:jc w:val="left"/>
              <w:textAlignment w:val="baseline"/>
              <w:rPr>
                <w:sz w:val="20"/>
                <w:szCs w:val="22"/>
              </w:rPr>
            </w:pPr>
          </w:p>
          <w:p>
            <w:pPr>
              <w:snapToGrid w:val="0"/>
              <w:spacing w:line="420" w:lineRule="exact"/>
              <w:jc w:val="center"/>
              <w:textAlignment w:val="baseline"/>
              <w:rPr>
                <w:b/>
                <w:bCs/>
                <w:sz w:val="20"/>
                <w:szCs w:val="22"/>
              </w:rPr>
            </w:pPr>
            <w:r>
              <w:rPr>
                <w:rFonts w:hint="eastAsia" w:cs="宋体"/>
                <w:b/>
                <w:bCs/>
                <w:szCs w:val="22"/>
              </w:rPr>
              <w:t>法定代表人身份证</w:t>
            </w:r>
            <w:r>
              <w:rPr>
                <w:rFonts w:hint="eastAsia" w:cs="宋体"/>
                <w:b/>
                <w:szCs w:val="22"/>
              </w:rPr>
              <w:t>（正、反面）</w:t>
            </w:r>
            <w:r>
              <w:rPr>
                <w:rFonts w:hint="eastAsia" w:cs="宋体"/>
                <w:b/>
                <w:bCs/>
                <w:szCs w:val="22"/>
              </w:rPr>
              <w:t>复印件或扫描件</w:t>
            </w:r>
          </w:p>
          <w:p>
            <w:pPr>
              <w:snapToGrid w:val="0"/>
              <w:spacing w:line="420" w:lineRule="exact"/>
              <w:jc w:val="center"/>
              <w:textAlignment w:val="baseline"/>
              <w:rPr>
                <w:b/>
                <w:bCs/>
                <w:sz w:val="20"/>
                <w:szCs w:val="22"/>
              </w:rPr>
            </w:pPr>
          </w:p>
          <w:p>
            <w:pPr>
              <w:snapToGrid w:val="0"/>
              <w:spacing w:line="420" w:lineRule="exact"/>
              <w:jc w:val="center"/>
              <w:textAlignment w:val="baseline"/>
              <w:rPr>
                <w:b/>
                <w:bCs/>
                <w:sz w:val="20"/>
                <w:szCs w:val="22"/>
              </w:rPr>
            </w:pPr>
          </w:p>
          <w:p>
            <w:pPr>
              <w:snapToGrid w:val="0"/>
              <w:spacing w:line="420" w:lineRule="exact"/>
              <w:jc w:val="center"/>
              <w:textAlignment w:val="baseline"/>
              <w:rPr>
                <w:b/>
                <w:bCs/>
                <w:sz w:val="20"/>
                <w:szCs w:val="22"/>
              </w:rPr>
            </w:pPr>
          </w:p>
          <w:p>
            <w:pPr>
              <w:snapToGrid w:val="0"/>
              <w:spacing w:line="420" w:lineRule="exact"/>
              <w:jc w:val="center"/>
              <w:textAlignment w:val="baseline"/>
              <w:rPr>
                <w:sz w:val="20"/>
                <w:szCs w:val="22"/>
              </w:rPr>
            </w:pPr>
          </w:p>
        </w:tc>
      </w:tr>
    </w:tbl>
    <w:p>
      <w:pPr>
        <w:snapToGrid w:val="0"/>
        <w:spacing w:line="420" w:lineRule="exact"/>
        <w:jc w:val="center"/>
        <w:textAlignment w:val="baseline"/>
        <w:rPr>
          <w:sz w:val="20"/>
        </w:rPr>
      </w:pPr>
    </w:p>
    <w:p>
      <w:pPr>
        <w:snapToGrid w:val="0"/>
        <w:spacing w:line="420" w:lineRule="exact"/>
        <w:textAlignment w:val="baseline"/>
        <w:rPr>
          <w:sz w:val="20"/>
        </w:rPr>
      </w:pPr>
    </w:p>
    <w:p>
      <w:pPr>
        <w:snapToGrid w:val="0"/>
        <w:spacing w:line="420" w:lineRule="exact"/>
        <w:jc w:val="center"/>
        <w:textAlignment w:val="baseline"/>
        <w:rPr>
          <w:sz w:val="20"/>
        </w:rPr>
      </w:pPr>
    </w:p>
    <w:p>
      <w:pPr>
        <w:snapToGrid w:val="0"/>
        <w:spacing w:line="420" w:lineRule="exact"/>
        <w:textAlignment w:val="baseline"/>
        <w:rPr>
          <w:sz w:val="20"/>
        </w:rPr>
      </w:pPr>
    </w:p>
    <w:p>
      <w:pPr>
        <w:snapToGrid w:val="0"/>
        <w:spacing w:line="420" w:lineRule="exact"/>
        <w:jc w:val="center"/>
        <w:textAlignment w:val="baseline"/>
        <w:rPr>
          <w:sz w:val="20"/>
        </w:rPr>
      </w:pPr>
    </w:p>
    <w:p>
      <w:pPr>
        <w:snapToGrid w:val="0"/>
        <w:spacing w:line="360" w:lineRule="auto"/>
        <w:ind w:firstLine="480" w:firstLineChars="200"/>
        <w:jc w:val="left"/>
        <w:textAlignment w:val="baseline"/>
        <w:rPr>
          <w:rFonts w:cs="宋体"/>
          <w:sz w:val="24"/>
          <w:szCs w:val="24"/>
        </w:rPr>
      </w:pPr>
      <w:r>
        <w:rPr>
          <w:rFonts w:hint="eastAsia" w:cs="宋体"/>
          <w:sz w:val="24"/>
          <w:szCs w:val="24"/>
        </w:rPr>
        <w:t>注：如为法定代表人参加项目</w:t>
      </w:r>
      <w:r>
        <w:rPr>
          <w:rFonts w:hint="eastAsia" w:ascii="宋体" w:hAnsi="宋体" w:cs="宋体"/>
          <w:color w:val="000000"/>
          <w:sz w:val="24"/>
          <w:szCs w:val="24"/>
        </w:rPr>
        <w:t>竞争性磋商响应</w:t>
      </w:r>
      <w:r>
        <w:rPr>
          <w:rFonts w:hint="eastAsia" w:cs="宋体"/>
          <w:sz w:val="24"/>
          <w:szCs w:val="24"/>
        </w:rPr>
        <w:t>，须将身份证原件带至竞争性磋商现场备查。</w:t>
      </w:r>
    </w:p>
    <w:p>
      <w:pPr>
        <w:snapToGrid w:val="0"/>
        <w:spacing w:line="360" w:lineRule="auto"/>
        <w:ind w:firstLine="480" w:firstLineChars="200"/>
        <w:jc w:val="left"/>
        <w:textAlignment w:val="baseline"/>
        <w:rPr>
          <w:rFonts w:cs="宋体"/>
          <w:sz w:val="24"/>
          <w:szCs w:val="24"/>
        </w:rPr>
      </w:pPr>
      <w:r>
        <w:rPr>
          <w:rFonts w:hint="eastAsia" w:cs="宋体"/>
          <w:sz w:val="24"/>
          <w:szCs w:val="24"/>
        </w:rPr>
        <w:t>如为被委托受权人参加项目竞争性</w:t>
      </w:r>
      <w:r>
        <w:rPr>
          <w:rFonts w:hint="eastAsia" w:ascii="宋体" w:hAnsi="宋体" w:cs="宋体"/>
          <w:color w:val="000000"/>
          <w:sz w:val="24"/>
          <w:szCs w:val="24"/>
        </w:rPr>
        <w:t>磋商</w:t>
      </w:r>
      <w:r>
        <w:rPr>
          <w:rFonts w:hint="eastAsia" w:cs="宋体"/>
          <w:sz w:val="24"/>
          <w:szCs w:val="24"/>
        </w:rPr>
        <w:t>响应，无须将法定代表人身份证原件带至竞争性</w:t>
      </w:r>
      <w:r>
        <w:rPr>
          <w:rFonts w:hint="eastAsia" w:ascii="宋体" w:hAnsi="宋体" w:cs="宋体"/>
          <w:color w:val="000000"/>
          <w:sz w:val="24"/>
          <w:szCs w:val="24"/>
        </w:rPr>
        <w:t>磋商</w:t>
      </w:r>
      <w:r>
        <w:rPr>
          <w:rFonts w:hint="eastAsia" w:cs="宋体"/>
          <w:sz w:val="24"/>
          <w:szCs w:val="24"/>
        </w:rPr>
        <w:t>现场备查，仅需提供本证明。</w:t>
      </w:r>
    </w:p>
    <w:p>
      <w:pPr>
        <w:snapToGrid w:val="0"/>
        <w:spacing w:line="520" w:lineRule="exact"/>
        <w:ind w:firstLine="482" w:firstLineChars="200"/>
        <w:rPr>
          <w:rFonts w:ascii="宋体"/>
          <w:b/>
          <w:bCs/>
          <w:sz w:val="24"/>
          <w:szCs w:val="24"/>
        </w:rPr>
      </w:pPr>
    </w:p>
    <w:p>
      <w:pPr>
        <w:snapToGrid w:val="0"/>
        <w:spacing w:line="520" w:lineRule="exact"/>
        <w:jc w:val="center"/>
        <w:outlineLvl w:val="3"/>
        <w:rPr>
          <w:rFonts w:ascii="宋体"/>
          <w:b/>
          <w:bCs/>
          <w:sz w:val="28"/>
          <w:szCs w:val="28"/>
        </w:rPr>
      </w:pPr>
      <w:r>
        <w:rPr>
          <w:rFonts w:ascii="宋体"/>
          <w:b/>
          <w:bCs/>
          <w:sz w:val="24"/>
          <w:szCs w:val="24"/>
        </w:rPr>
        <w:br w:type="page"/>
      </w:r>
      <w:r>
        <w:rPr>
          <w:rFonts w:ascii="宋体" w:hAnsi="宋体" w:cs="宋体"/>
          <w:b/>
          <w:bCs/>
          <w:sz w:val="28"/>
          <w:szCs w:val="28"/>
        </w:rPr>
        <w:t>2</w:t>
      </w:r>
      <w:r>
        <w:rPr>
          <w:rFonts w:hint="eastAsia" w:ascii="宋体" w:hAnsi="宋体" w:cs="宋体"/>
          <w:b/>
          <w:bCs/>
          <w:sz w:val="28"/>
          <w:szCs w:val="28"/>
        </w:rPr>
        <w:t>、授权委托书</w:t>
      </w:r>
    </w:p>
    <w:p>
      <w:pPr>
        <w:snapToGrid w:val="0"/>
        <w:spacing w:line="520" w:lineRule="exact"/>
        <w:jc w:val="center"/>
        <w:rPr>
          <w:rFonts w:ascii="宋体"/>
          <w:sz w:val="24"/>
          <w:szCs w:val="24"/>
        </w:rPr>
      </w:pPr>
      <w:r>
        <w:rPr>
          <w:rFonts w:hint="eastAsia" w:ascii="宋体" w:hAnsi="宋体" w:cs="宋体"/>
          <w:sz w:val="24"/>
          <w:szCs w:val="24"/>
        </w:rPr>
        <w:t>（如被授权人参加磋商，须出示此证明）</w:t>
      </w:r>
    </w:p>
    <w:p>
      <w:pPr>
        <w:snapToGrid w:val="0"/>
        <w:spacing w:line="520" w:lineRule="exact"/>
        <w:jc w:val="center"/>
        <w:rPr>
          <w:rFonts w:ascii="宋体"/>
          <w:sz w:val="24"/>
          <w:szCs w:val="24"/>
        </w:rPr>
      </w:pPr>
    </w:p>
    <w:p>
      <w:pPr>
        <w:snapToGrid w:val="0"/>
        <w:spacing w:line="360" w:lineRule="auto"/>
        <w:rPr>
          <w:rFonts w:ascii="宋体"/>
          <w:sz w:val="24"/>
          <w:szCs w:val="24"/>
          <w:u w:val="single"/>
        </w:rPr>
      </w:pPr>
      <w:r>
        <w:rPr>
          <w:rFonts w:hint="eastAsia" w:ascii="宋体" w:hAnsi="宋体" w:cs="宋体"/>
          <w:sz w:val="24"/>
          <w:szCs w:val="24"/>
          <w:u w:val="single"/>
          <w:lang w:eastAsia="zh-CN"/>
        </w:rPr>
        <w:t>南通市保安服务有限公司</w:t>
      </w:r>
      <w:r>
        <w:rPr>
          <w:rFonts w:hint="eastAsia" w:ascii="宋体" w:hAnsi="宋体" w:cs="宋体"/>
          <w:sz w:val="24"/>
          <w:szCs w:val="24"/>
          <w:u w:val="single"/>
        </w:rPr>
        <w:t>：</w:t>
      </w:r>
    </w:p>
    <w:p>
      <w:pPr>
        <w:snapToGrid w:val="0"/>
        <w:spacing w:line="360" w:lineRule="auto"/>
        <w:ind w:firstLine="484" w:firstLineChars="202"/>
        <w:textAlignment w:val="baseline"/>
        <w:rPr>
          <w:sz w:val="24"/>
          <w:szCs w:val="24"/>
        </w:rPr>
      </w:pPr>
      <w:r>
        <w:rPr>
          <w:rFonts w:hint="eastAsia" w:cs="宋体"/>
          <w:sz w:val="24"/>
          <w:szCs w:val="24"/>
        </w:rPr>
        <w:t>本授权委托书声明：我</w:t>
      </w:r>
      <w:r>
        <w:rPr>
          <w:rFonts w:hint="eastAsia" w:cs="宋体"/>
          <w:sz w:val="24"/>
          <w:szCs w:val="24"/>
          <w:u w:val="single" w:color="000000"/>
        </w:rPr>
        <w:t xml:space="preserve">　    </w:t>
      </w:r>
      <w:r>
        <w:rPr>
          <w:rFonts w:hint="eastAsia" w:cs="宋体"/>
          <w:sz w:val="24"/>
          <w:szCs w:val="24"/>
        </w:rPr>
        <w:t>（姓名）系</w:t>
      </w:r>
      <w:r>
        <w:rPr>
          <w:rFonts w:hint="eastAsia" w:cs="宋体"/>
          <w:sz w:val="24"/>
          <w:szCs w:val="24"/>
          <w:u w:val="single" w:color="000000"/>
        </w:rPr>
        <w:t xml:space="preserve">　            </w:t>
      </w:r>
      <w:r>
        <w:rPr>
          <w:rFonts w:hint="eastAsia" w:cs="宋体"/>
          <w:sz w:val="24"/>
          <w:szCs w:val="24"/>
        </w:rPr>
        <w:t>（供应商名称）的法定代表人，现授权委托</w:t>
      </w:r>
      <w:r>
        <w:rPr>
          <w:rFonts w:hint="eastAsia" w:cs="宋体"/>
          <w:sz w:val="24"/>
          <w:szCs w:val="24"/>
          <w:u w:val="single" w:color="000000"/>
        </w:rPr>
        <w:t xml:space="preserve">　　     </w:t>
      </w:r>
      <w:r>
        <w:rPr>
          <w:rFonts w:hint="eastAsia" w:cs="宋体"/>
          <w:sz w:val="24"/>
          <w:szCs w:val="24"/>
        </w:rPr>
        <w:t>（姓名）为我公司为被委托受权人，以本公司的名义参加本项目的竞争性磋商响应活动。被委托受权人在开标、评审磋商活动、合同谈判过程中所签署的一切文件和处理与之有关的一切事务，我均予以承认。</w:t>
      </w:r>
    </w:p>
    <w:p>
      <w:pPr>
        <w:snapToGrid w:val="0"/>
        <w:spacing w:line="360" w:lineRule="auto"/>
        <w:ind w:firstLine="484" w:firstLineChars="202"/>
        <w:textAlignment w:val="baseline"/>
        <w:rPr>
          <w:rFonts w:cs="宋体"/>
          <w:sz w:val="24"/>
          <w:szCs w:val="24"/>
        </w:rPr>
      </w:pPr>
      <w:r>
        <w:rPr>
          <w:rFonts w:hint="eastAsia" w:cs="宋体"/>
          <w:sz w:val="24"/>
          <w:szCs w:val="24"/>
        </w:rPr>
        <w:t>被委托受权人无转委权。特此委托。</w:t>
      </w:r>
    </w:p>
    <w:p>
      <w:pPr>
        <w:pStyle w:val="2"/>
        <w:snapToGrid w:val="0"/>
        <w:spacing w:line="360" w:lineRule="auto"/>
        <w:textAlignment w:val="baseline"/>
        <w:rPr>
          <w:szCs w:val="24"/>
        </w:rPr>
      </w:pPr>
    </w:p>
    <w:p>
      <w:pPr>
        <w:snapToGrid w:val="0"/>
        <w:spacing w:line="360" w:lineRule="auto"/>
        <w:ind w:firstLine="972" w:firstLineChars="405"/>
        <w:textAlignment w:val="baseline"/>
        <w:rPr>
          <w:sz w:val="24"/>
          <w:szCs w:val="24"/>
        </w:rPr>
      </w:pPr>
      <w:r>
        <w:rPr>
          <w:rFonts w:hint="eastAsia" w:cs="宋体"/>
          <w:sz w:val="24"/>
          <w:szCs w:val="24"/>
        </w:rPr>
        <w:t>法定代表人签字：</w:t>
      </w:r>
    </w:p>
    <w:p>
      <w:pPr>
        <w:snapToGrid w:val="0"/>
        <w:spacing w:line="360" w:lineRule="auto"/>
        <w:ind w:firstLine="972" w:firstLineChars="405"/>
        <w:textAlignment w:val="baseline"/>
        <w:rPr>
          <w:sz w:val="24"/>
          <w:szCs w:val="24"/>
        </w:rPr>
      </w:pPr>
      <w:r>
        <w:rPr>
          <w:rFonts w:hint="eastAsia" w:cs="宋体"/>
          <w:sz w:val="24"/>
          <w:szCs w:val="24"/>
        </w:rPr>
        <w:t>被委托受权人身份证号：</w:t>
      </w:r>
    </w:p>
    <w:p>
      <w:pPr>
        <w:snapToGrid w:val="0"/>
        <w:spacing w:line="360" w:lineRule="auto"/>
        <w:ind w:firstLine="972" w:firstLineChars="405"/>
        <w:textAlignment w:val="baseline"/>
        <w:rPr>
          <w:sz w:val="24"/>
          <w:szCs w:val="24"/>
        </w:rPr>
      </w:pPr>
      <w:r>
        <w:rPr>
          <w:rFonts w:hint="eastAsia" w:cs="宋体"/>
          <w:sz w:val="24"/>
          <w:szCs w:val="24"/>
        </w:rPr>
        <w:t>被委托受权人签字：</w:t>
      </w:r>
    </w:p>
    <w:p>
      <w:pPr>
        <w:snapToGrid w:val="0"/>
        <w:spacing w:line="520" w:lineRule="exact"/>
        <w:jc w:val="right"/>
        <w:textAlignment w:val="baseline"/>
        <w:rPr>
          <w:rFonts w:ascii="宋体" w:hAnsi="宋体" w:cs="宋体"/>
          <w:color w:val="000000"/>
          <w:sz w:val="24"/>
          <w:szCs w:val="24"/>
        </w:rPr>
      </w:pPr>
      <w:r>
        <w:rPr>
          <w:rFonts w:hint="eastAsia" w:ascii="宋体" w:hAnsi="宋体" w:cs="宋体"/>
          <w:color w:val="000000"/>
          <w:sz w:val="24"/>
          <w:szCs w:val="24"/>
        </w:rPr>
        <w:t>竞争性磋商响应单位：（加盖公章）</w:t>
      </w:r>
    </w:p>
    <w:p>
      <w:pPr>
        <w:snapToGrid w:val="0"/>
        <w:spacing w:line="420" w:lineRule="exact"/>
        <w:ind w:firstLine="484" w:firstLineChars="202"/>
        <w:jc w:val="right"/>
        <w:textAlignment w:val="baseline"/>
        <w:rPr>
          <w:sz w:val="20"/>
        </w:rPr>
      </w:pPr>
      <w:r>
        <w:rPr>
          <w:rFonts w:hint="eastAsia" w:ascii="宋体" w:hAnsi="宋体" w:cs="宋体"/>
          <w:color w:val="000000"/>
          <w:sz w:val="24"/>
          <w:szCs w:val="24"/>
        </w:rPr>
        <w:t>年      月     日</w:t>
      </w:r>
    </w:p>
    <w:p>
      <w:pPr>
        <w:snapToGrid w:val="0"/>
        <w:spacing w:line="420" w:lineRule="exact"/>
        <w:ind w:firstLine="404" w:firstLineChars="202"/>
        <w:jc w:val="left"/>
        <w:textAlignment w:val="baseline"/>
        <w:rPr>
          <w:sz w:val="20"/>
        </w:rPr>
      </w:pPr>
    </w:p>
    <w:p>
      <w:pPr>
        <w:snapToGrid w:val="0"/>
        <w:spacing w:line="420" w:lineRule="exact"/>
        <w:ind w:firstLine="404" w:firstLineChars="202"/>
        <w:jc w:val="left"/>
        <w:textAlignment w:val="baseline"/>
        <w:rPr>
          <w:sz w:val="20"/>
        </w:rPr>
      </w:pPr>
    </w:p>
    <w:tbl>
      <w:tblPr>
        <w:tblStyle w:val="51"/>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noWrap w:val="0"/>
            <w:vAlign w:val="top"/>
          </w:tcPr>
          <w:p>
            <w:pPr>
              <w:snapToGrid w:val="0"/>
              <w:spacing w:line="420" w:lineRule="exact"/>
              <w:ind w:firstLine="404" w:firstLineChars="202"/>
              <w:jc w:val="left"/>
              <w:textAlignment w:val="baseline"/>
              <w:rPr>
                <w:sz w:val="20"/>
                <w:szCs w:val="22"/>
              </w:rPr>
            </w:pPr>
          </w:p>
          <w:p>
            <w:pPr>
              <w:snapToGrid w:val="0"/>
              <w:spacing w:line="420" w:lineRule="exact"/>
              <w:jc w:val="center"/>
              <w:textAlignment w:val="baseline"/>
              <w:rPr>
                <w:b/>
                <w:bCs/>
                <w:sz w:val="20"/>
                <w:szCs w:val="22"/>
              </w:rPr>
            </w:pPr>
            <w:r>
              <w:rPr>
                <w:rFonts w:hint="eastAsia" w:cs="宋体"/>
                <w:b/>
                <w:bCs/>
                <w:szCs w:val="22"/>
              </w:rPr>
              <w:t>被委托受权人身份证</w:t>
            </w:r>
            <w:r>
              <w:rPr>
                <w:rFonts w:hint="eastAsia" w:cs="宋体"/>
                <w:b/>
                <w:szCs w:val="22"/>
              </w:rPr>
              <w:t>（正、反面）</w:t>
            </w:r>
            <w:r>
              <w:rPr>
                <w:rFonts w:hint="eastAsia" w:cs="宋体"/>
                <w:b/>
                <w:bCs/>
                <w:szCs w:val="22"/>
              </w:rPr>
              <w:t>复印件或扫描件</w:t>
            </w:r>
          </w:p>
          <w:p>
            <w:pPr>
              <w:snapToGrid w:val="0"/>
              <w:spacing w:line="420" w:lineRule="exact"/>
              <w:jc w:val="center"/>
              <w:textAlignment w:val="baseline"/>
              <w:rPr>
                <w:b/>
                <w:bCs/>
                <w:sz w:val="20"/>
                <w:szCs w:val="22"/>
              </w:rPr>
            </w:pPr>
          </w:p>
          <w:p>
            <w:pPr>
              <w:snapToGrid w:val="0"/>
              <w:spacing w:line="420" w:lineRule="exact"/>
              <w:jc w:val="center"/>
              <w:textAlignment w:val="baseline"/>
              <w:rPr>
                <w:b/>
                <w:bCs/>
                <w:sz w:val="20"/>
                <w:szCs w:val="22"/>
              </w:rPr>
            </w:pPr>
          </w:p>
          <w:p>
            <w:pPr>
              <w:snapToGrid w:val="0"/>
              <w:spacing w:line="420" w:lineRule="exact"/>
              <w:jc w:val="center"/>
              <w:textAlignment w:val="baseline"/>
              <w:rPr>
                <w:sz w:val="20"/>
                <w:szCs w:val="22"/>
              </w:rPr>
            </w:pPr>
          </w:p>
          <w:p>
            <w:pPr>
              <w:snapToGrid w:val="0"/>
              <w:spacing w:line="420" w:lineRule="exact"/>
              <w:jc w:val="center"/>
              <w:textAlignment w:val="baseline"/>
              <w:rPr>
                <w:sz w:val="20"/>
                <w:szCs w:val="22"/>
              </w:rPr>
            </w:pPr>
          </w:p>
        </w:tc>
      </w:tr>
    </w:tbl>
    <w:p>
      <w:pPr>
        <w:snapToGrid w:val="0"/>
        <w:spacing w:line="420" w:lineRule="exact"/>
        <w:jc w:val="center"/>
        <w:textAlignment w:val="baseline"/>
        <w:rPr>
          <w:sz w:val="20"/>
        </w:rPr>
      </w:pPr>
    </w:p>
    <w:p>
      <w:pPr>
        <w:snapToGrid w:val="0"/>
        <w:spacing w:line="420" w:lineRule="exact"/>
        <w:jc w:val="center"/>
        <w:textAlignment w:val="baseline"/>
        <w:rPr>
          <w:sz w:val="20"/>
        </w:rPr>
      </w:pPr>
    </w:p>
    <w:p>
      <w:pPr>
        <w:snapToGrid w:val="0"/>
        <w:spacing w:line="420" w:lineRule="exact"/>
        <w:jc w:val="center"/>
        <w:textAlignment w:val="baseline"/>
        <w:rPr>
          <w:sz w:val="20"/>
        </w:rPr>
      </w:pPr>
    </w:p>
    <w:p>
      <w:pPr>
        <w:snapToGrid w:val="0"/>
        <w:spacing w:line="420" w:lineRule="exact"/>
        <w:jc w:val="left"/>
        <w:textAlignment w:val="baseline"/>
        <w:rPr>
          <w:sz w:val="24"/>
          <w:szCs w:val="24"/>
        </w:rPr>
      </w:pPr>
      <w:r>
        <w:rPr>
          <w:rFonts w:hint="eastAsia" w:cs="宋体"/>
          <w:sz w:val="24"/>
          <w:szCs w:val="24"/>
        </w:rPr>
        <w:t>注：如为被委托受权人参加项目竞争性磋商响应，须将身份证原件带至竞争性磋商现场备查。</w:t>
      </w:r>
    </w:p>
    <w:p>
      <w:pPr>
        <w:snapToGrid w:val="0"/>
        <w:spacing w:line="520" w:lineRule="exact"/>
        <w:jc w:val="center"/>
        <w:outlineLvl w:val="3"/>
        <w:rPr>
          <w:rFonts w:ascii="宋体"/>
          <w:b/>
          <w:bCs/>
          <w:sz w:val="28"/>
          <w:szCs w:val="28"/>
        </w:rPr>
      </w:pPr>
    </w:p>
    <w:p>
      <w:pPr>
        <w:jc w:val="center"/>
        <w:rPr>
          <w:rFonts w:hint="eastAsia" w:ascii="宋体" w:hAnsi="宋体" w:cs="宋体"/>
          <w:b/>
          <w:sz w:val="24"/>
          <w:szCs w:val="24"/>
        </w:rPr>
      </w:pPr>
      <w:r>
        <w:br w:type="page"/>
      </w:r>
      <w:r>
        <w:rPr>
          <w:rFonts w:hint="eastAsia" w:ascii="宋体" w:hAnsi="宋体" w:cs="宋体"/>
          <w:b/>
          <w:color w:val="000000"/>
          <w:sz w:val="24"/>
          <w:szCs w:val="24"/>
        </w:rPr>
        <w:t>3、</w:t>
      </w:r>
      <w:r>
        <w:rPr>
          <w:rFonts w:hint="eastAsia" w:ascii="宋体" w:hAnsi="宋体" w:cs="宋体"/>
          <w:b/>
          <w:sz w:val="24"/>
          <w:szCs w:val="24"/>
        </w:rPr>
        <w:t>供应商一般情况表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企业名称</w:t>
            </w:r>
          </w:p>
        </w:tc>
        <w:tc>
          <w:tcPr>
            <w:tcW w:w="7229" w:type="dxa"/>
            <w:gridSpan w:val="8"/>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总部地址</w:t>
            </w:r>
          </w:p>
        </w:tc>
        <w:tc>
          <w:tcPr>
            <w:tcW w:w="7229" w:type="dxa"/>
            <w:gridSpan w:val="8"/>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分支机构</w:t>
            </w:r>
          </w:p>
        </w:tc>
        <w:tc>
          <w:tcPr>
            <w:tcW w:w="7229" w:type="dxa"/>
            <w:gridSpan w:val="8"/>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noWrap w:val="0"/>
            <w:vAlign w:val="center"/>
          </w:tcPr>
          <w:p>
            <w:pPr>
              <w:spacing w:line="520" w:lineRule="exact"/>
              <w:rPr>
                <w:rFonts w:ascii="宋体" w:hAnsi="宋体" w:cs="宋体"/>
                <w:color w:val="000000"/>
                <w:sz w:val="24"/>
                <w:szCs w:val="24"/>
              </w:rPr>
            </w:pPr>
            <w:r>
              <w:rPr>
                <w:rFonts w:hint="eastAsia" w:ascii="宋体" w:hAnsi="宋体" w:cs="宋体"/>
                <w:color w:val="000000"/>
                <w:sz w:val="24"/>
                <w:szCs w:val="24"/>
              </w:rPr>
              <w:t>当地代表处地址</w:t>
            </w:r>
          </w:p>
        </w:tc>
        <w:tc>
          <w:tcPr>
            <w:tcW w:w="7229" w:type="dxa"/>
            <w:gridSpan w:val="8"/>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电话</w:t>
            </w:r>
          </w:p>
        </w:tc>
        <w:tc>
          <w:tcPr>
            <w:tcW w:w="2408" w:type="dxa"/>
            <w:gridSpan w:val="3"/>
            <w:noWrap w:val="0"/>
            <w:vAlign w:val="top"/>
          </w:tcPr>
          <w:p>
            <w:pPr>
              <w:spacing w:line="520" w:lineRule="exact"/>
              <w:ind w:firstLine="484" w:firstLineChars="202"/>
              <w:rPr>
                <w:rFonts w:ascii="宋体" w:hAnsi="宋体" w:cs="宋体"/>
                <w:color w:val="000000"/>
                <w:sz w:val="24"/>
                <w:szCs w:val="24"/>
              </w:rPr>
            </w:pPr>
          </w:p>
        </w:tc>
        <w:tc>
          <w:tcPr>
            <w:tcW w:w="1875" w:type="dxa"/>
            <w:gridSpan w:val="2"/>
            <w:noWrap w:val="0"/>
            <w:vAlign w:val="top"/>
          </w:tcPr>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联系人</w:t>
            </w:r>
          </w:p>
        </w:tc>
        <w:tc>
          <w:tcPr>
            <w:tcW w:w="2946" w:type="dxa"/>
            <w:gridSpan w:val="3"/>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传真</w:t>
            </w:r>
          </w:p>
        </w:tc>
        <w:tc>
          <w:tcPr>
            <w:tcW w:w="2408" w:type="dxa"/>
            <w:gridSpan w:val="3"/>
            <w:noWrap w:val="0"/>
            <w:vAlign w:val="top"/>
          </w:tcPr>
          <w:p>
            <w:pPr>
              <w:spacing w:line="520" w:lineRule="exact"/>
              <w:ind w:firstLine="484" w:firstLineChars="202"/>
              <w:rPr>
                <w:rFonts w:ascii="宋体" w:hAnsi="宋体" w:cs="宋体"/>
                <w:color w:val="000000"/>
                <w:sz w:val="24"/>
                <w:szCs w:val="24"/>
              </w:rPr>
            </w:pPr>
          </w:p>
        </w:tc>
        <w:tc>
          <w:tcPr>
            <w:tcW w:w="1875" w:type="dxa"/>
            <w:gridSpan w:val="2"/>
            <w:noWrap w:val="0"/>
            <w:vAlign w:val="top"/>
          </w:tcPr>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电子邮件</w:t>
            </w:r>
          </w:p>
        </w:tc>
        <w:tc>
          <w:tcPr>
            <w:tcW w:w="2946" w:type="dxa"/>
            <w:gridSpan w:val="3"/>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注册地</w:t>
            </w:r>
          </w:p>
        </w:tc>
        <w:tc>
          <w:tcPr>
            <w:tcW w:w="2408" w:type="dxa"/>
            <w:gridSpan w:val="3"/>
            <w:noWrap w:val="0"/>
            <w:vAlign w:val="top"/>
          </w:tcPr>
          <w:p>
            <w:pPr>
              <w:spacing w:line="520" w:lineRule="exact"/>
              <w:ind w:firstLine="484" w:firstLineChars="202"/>
              <w:rPr>
                <w:rFonts w:ascii="宋体" w:hAnsi="宋体" w:cs="宋体"/>
                <w:color w:val="000000"/>
                <w:sz w:val="24"/>
                <w:szCs w:val="24"/>
              </w:rPr>
            </w:pPr>
          </w:p>
        </w:tc>
        <w:tc>
          <w:tcPr>
            <w:tcW w:w="1875" w:type="dxa"/>
            <w:gridSpan w:val="2"/>
            <w:noWrap w:val="0"/>
            <w:vAlign w:val="top"/>
          </w:tcPr>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注册年份</w:t>
            </w:r>
          </w:p>
        </w:tc>
        <w:tc>
          <w:tcPr>
            <w:tcW w:w="2946" w:type="dxa"/>
            <w:gridSpan w:val="3"/>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资质等级</w:t>
            </w:r>
          </w:p>
        </w:tc>
        <w:tc>
          <w:tcPr>
            <w:tcW w:w="7229" w:type="dxa"/>
            <w:gridSpan w:val="8"/>
            <w:noWrap w:val="0"/>
            <w:vAlign w:val="top"/>
          </w:tcPr>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公司</w:t>
            </w:r>
            <w:r>
              <w:rPr>
                <w:rFonts w:hint="eastAsia" w:ascii="宋体" w:hAnsi="宋体" w:cs="宋体"/>
                <w:color w:val="000000"/>
                <w:sz w:val="24"/>
                <w:szCs w:val="24"/>
              </w:rPr>
              <w:t>具备的相关</w:t>
            </w:r>
            <w:r>
              <w:rPr>
                <w:rFonts w:ascii="宋体" w:hAnsi="宋体" w:cs="宋体"/>
                <w:color w:val="000000"/>
                <w:sz w:val="24"/>
                <w:szCs w:val="24"/>
              </w:rPr>
              <w:t>资质等级</w:t>
            </w:r>
            <w:r>
              <w:rPr>
                <w:rFonts w:hint="eastAsia" w:ascii="宋体" w:hAnsi="宋体" w:cs="宋体"/>
                <w:color w:val="000000"/>
                <w:sz w:val="24"/>
                <w:szCs w:val="24"/>
              </w:rPr>
              <w:t>及相应的</w:t>
            </w:r>
            <w:r>
              <w:rPr>
                <w:rFonts w:ascii="宋体" w:hAnsi="宋体" w:cs="宋体"/>
                <w:color w:val="000000"/>
                <w:sz w:val="24"/>
                <w:szCs w:val="24"/>
              </w:rPr>
              <w:t>证书号</w:t>
            </w:r>
          </w:p>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（请附有关证书的复印件）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质量管理体系</w:t>
            </w:r>
          </w:p>
        </w:tc>
        <w:tc>
          <w:tcPr>
            <w:tcW w:w="7229" w:type="dxa"/>
            <w:gridSpan w:val="8"/>
            <w:noWrap w:val="0"/>
            <w:vAlign w:val="top"/>
          </w:tcPr>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公司   （是否通过，何种）   质量保证体系认证（如通过请附相关</w:t>
            </w:r>
            <w:r>
              <w:rPr>
                <w:rFonts w:hint="eastAsia" w:ascii="宋体" w:hAnsi="宋体" w:cs="宋体"/>
                <w:color w:val="000000"/>
                <w:sz w:val="24"/>
                <w:szCs w:val="24"/>
              </w:rPr>
              <w:t>在有效期内的</w:t>
            </w:r>
            <w:r>
              <w:rPr>
                <w:rFonts w:ascii="宋体" w:hAnsi="宋体" w:cs="宋体"/>
                <w:color w:val="000000"/>
                <w:sz w:val="24"/>
                <w:szCs w:val="24"/>
              </w:rPr>
              <w:t>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项目负责人</w:t>
            </w:r>
          </w:p>
        </w:tc>
        <w:tc>
          <w:tcPr>
            <w:tcW w:w="1559" w:type="dxa"/>
            <w:gridSpan w:val="2"/>
            <w:noWrap w:val="0"/>
            <w:vAlign w:val="top"/>
          </w:tcPr>
          <w:p>
            <w:pPr>
              <w:spacing w:line="520" w:lineRule="exact"/>
              <w:ind w:firstLine="484" w:firstLineChars="202"/>
              <w:rPr>
                <w:rFonts w:ascii="宋体" w:hAnsi="宋体" w:cs="宋体"/>
                <w:color w:val="000000"/>
                <w:sz w:val="24"/>
                <w:szCs w:val="24"/>
              </w:rPr>
            </w:pPr>
          </w:p>
        </w:tc>
        <w:tc>
          <w:tcPr>
            <w:tcW w:w="1417" w:type="dxa"/>
            <w:gridSpan w:val="2"/>
            <w:noWrap w:val="0"/>
            <w:vAlign w:val="top"/>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年龄</w:t>
            </w:r>
          </w:p>
        </w:tc>
        <w:tc>
          <w:tcPr>
            <w:tcW w:w="1466" w:type="dxa"/>
            <w:gridSpan w:val="2"/>
            <w:noWrap w:val="0"/>
            <w:vAlign w:val="top"/>
          </w:tcPr>
          <w:p>
            <w:pPr>
              <w:spacing w:line="520" w:lineRule="exact"/>
              <w:ind w:firstLine="484" w:firstLineChars="202"/>
              <w:rPr>
                <w:rFonts w:ascii="宋体" w:hAnsi="宋体" w:cs="宋体"/>
                <w:color w:val="000000"/>
                <w:sz w:val="24"/>
                <w:szCs w:val="24"/>
              </w:rPr>
            </w:pPr>
          </w:p>
        </w:tc>
        <w:tc>
          <w:tcPr>
            <w:tcW w:w="1320" w:type="dxa"/>
            <w:noWrap w:val="0"/>
            <w:vAlign w:val="top"/>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性别</w:t>
            </w:r>
          </w:p>
        </w:tc>
        <w:tc>
          <w:tcPr>
            <w:tcW w:w="1467" w:type="dxa"/>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职务职称</w:t>
            </w:r>
          </w:p>
        </w:tc>
        <w:tc>
          <w:tcPr>
            <w:tcW w:w="2976" w:type="dxa"/>
            <w:gridSpan w:val="4"/>
            <w:noWrap w:val="0"/>
            <w:vAlign w:val="top"/>
          </w:tcPr>
          <w:p>
            <w:pPr>
              <w:spacing w:line="520" w:lineRule="exact"/>
              <w:ind w:firstLine="484" w:firstLineChars="202"/>
              <w:rPr>
                <w:rFonts w:ascii="宋体" w:hAnsi="宋体" w:cs="宋体"/>
                <w:color w:val="000000"/>
                <w:sz w:val="24"/>
                <w:szCs w:val="24"/>
              </w:rPr>
            </w:pPr>
          </w:p>
        </w:tc>
        <w:tc>
          <w:tcPr>
            <w:tcW w:w="1466" w:type="dxa"/>
            <w:gridSpan w:val="2"/>
            <w:noWrap w:val="0"/>
            <w:vAlign w:val="top"/>
          </w:tcPr>
          <w:p>
            <w:pPr>
              <w:spacing w:line="520" w:lineRule="exact"/>
              <w:rPr>
                <w:rFonts w:ascii="宋体" w:hAnsi="宋体" w:cs="宋体"/>
                <w:color w:val="000000"/>
                <w:sz w:val="24"/>
                <w:szCs w:val="24"/>
              </w:rPr>
            </w:pPr>
            <w:r>
              <w:rPr>
                <w:rFonts w:hint="eastAsia" w:ascii="宋体" w:hAnsi="宋体" w:cs="宋体"/>
                <w:color w:val="000000"/>
                <w:sz w:val="24"/>
                <w:szCs w:val="24"/>
              </w:rPr>
              <w:t>执业资格</w:t>
            </w:r>
          </w:p>
        </w:tc>
        <w:tc>
          <w:tcPr>
            <w:tcW w:w="2787" w:type="dxa"/>
            <w:gridSpan w:val="2"/>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8" w:hRule="atLeast"/>
          <w:jc w:val="center"/>
        </w:trPr>
        <w:tc>
          <w:tcPr>
            <w:tcW w:w="2235" w:type="dxa"/>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经营范围</w:t>
            </w:r>
          </w:p>
        </w:tc>
        <w:tc>
          <w:tcPr>
            <w:tcW w:w="7229" w:type="dxa"/>
            <w:gridSpan w:val="8"/>
            <w:noWrap w:val="0"/>
            <w:vAlign w:val="top"/>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营业执照载明：</w:t>
            </w:r>
          </w:p>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 xml:space="preserve">1.                                               </w:t>
            </w:r>
          </w:p>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 xml:space="preserve">2.                                               </w:t>
            </w:r>
          </w:p>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 xml:space="preserve">3.                                               </w:t>
            </w:r>
          </w:p>
          <w:p>
            <w:pPr>
              <w:spacing w:line="520" w:lineRule="exact"/>
              <w:ind w:firstLine="484" w:firstLineChars="202"/>
              <w:rPr>
                <w:rFonts w:ascii="宋体" w:hAnsi="宋体" w:cs="宋体"/>
                <w:color w:val="000000"/>
                <w:sz w:val="24"/>
                <w:szCs w:val="24"/>
              </w:rPr>
            </w:pPr>
            <w:r>
              <w:rPr>
                <w:rFonts w:ascii="宋体" w:hAnsi="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3" w:type="dxa"/>
            <w:gridSpan w:val="2"/>
            <w:noWrap w:val="0"/>
            <w:vAlign w:val="center"/>
          </w:tcPr>
          <w:p>
            <w:pPr>
              <w:spacing w:line="520" w:lineRule="exact"/>
              <w:rPr>
                <w:rFonts w:ascii="宋体" w:hAnsi="宋体" w:cs="宋体"/>
                <w:color w:val="000000"/>
                <w:sz w:val="24"/>
                <w:szCs w:val="24"/>
              </w:rPr>
            </w:pPr>
            <w:r>
              <w:rPr>
                <w:rFonts w:hint="eastAsia" w:ascii="宋体" w:hAnsi="宋体" w:cs="宋体"/>
                <w:color w:val="000000"/>
                <w:sz w:val="24"/>
                <w:szCs w:val="24"/>
              </w:rPr>
              <w:t>从事类似相关项目的经历及</w:t>
            </w:r>
            <w:r>
              <w:rPr>
                <w:rFonts w:ascii="宋体" w:hAnsi="宋体" w:cs="宋体"/>
                <w:color w:val="000000"/>
                <w:sz w:val="24"/>
                <w:szCs w:val="24"/>
              </w:rPr>
              <w:t>年数</w:t>
            </w:r>
          </w:p>
        </w:tc>
        <w:tc>
          <w:tcPr>
            <w:tcW w:w="6521" w:type="dxa"/>
            <w:gridSpan w:val="7"/>
            <w:noWrap w:val="0"/>
            <w:vAlign w:val="top"/>
          </w:tcPr>
          <w:p>
            <w:pPr>
              <w:spacing w:line="520" w:lineRule="exact"/>
              <w:ind w:firstLine="484" w:firstLineChars="202"/>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3" w:type="dxa"/>
            <w:gridSpan w:val="2"/>
            <w:noWrap w:val="0"/>
            <w:vAlign w:val="center"/>
          </w:tcPr>
          <w:p>
            <w:pPr>
              <w:spacing w:line="520" w:lineRule="exact"/>
              <w:ind w:firstLine="484" w:firstLineChars="202"/>
              <w:rPr>
                <w:rFonts w:ascii="宋体" w:hAnsi="宋体" w:cs="宋体"/>
                <w:color w:val="000000"/>
                <w:sz w:val="24"/>
                <w:szCs w:val="24"/>
              </w:rPr>
            </w:pPr>
            <w:r>
              <w:rPr>
                <w:rFonts w:hint="eastAsia" w:ascii="宋体" w:hAnsi="宋体" w:cs="宋体"/>
                <w:color w:val="000000"/>
                <w:sz w:val="24"/>
                <w:szCs w:val="24"/>
              </w:rPr>
              <w:t>其他认为有必要提供的内容，可自行添加</w:t>
            </w:r>
          </w:p>
        </w:tc>
        <w:tc>
          <w:tcPr>
            <w:tcW w:w="6521" w:type="dxa"/>
            <w:gridSpan w:val="7"/>
            <w:noWrap w:val="0"/>
            <w:vAlign w:val="top"/>
          </w:tcPr>
          <w:p>
            <w:pPr>
              <w:spacing w:line="520" w:lineRule="exact"/>
              <w:ind w:firstLine="484" w:firstLineChars="202"/>
              <w:rPr>
                <w:rFonts w:ascii="宋体" w:hAnsi="宋体" w:cs="宋体"/>
                <w:color w:val="000000"/>
                <w:sz w:val="24"/>
                <w:szCs w:val="24"/>
              </w:rPr>
            </w:pPr>
          </w:p>
        </w:tc>
      </w:tr>
    </w:tbl>
    <w:p>
      <w:pPr>
        <w:snapToGrid w:val="0"/>
        <w:spacing w:line="360" w:lineRule="auto"/>
        <w:ind w:right="79"/>
        <w:textAlignment w:val="baseline"/>
        <w:rPr>
          <w:rFonts w:ascii="宋体" w:hAnsi="宋体" w:cs="宋体"/>
          <w:color w:val="000000"/>
          <w:sz w:val="24"/>
          <w:szCs w:val="24"/>
        </w:rPr>
      </w:pPr>
      <w:r>
        <w:rPr>
          <w:rFonts w:hint="eastAsia" w:ascii="宋体" w:hAnsi="宋体" w:cs="宋体"/>
          <w:color w:val="000000"/>
          <w:sz w:val="24"/>
          <w:szCs w:val="24"/>
        </w:rPr>
        <w:t>竞争性磋商响应</w:t>
      </w:r>
      <w:r>
        <w:rPr>
          <w:rFonts w:hint="eastAsia" w:ascii="宋体" w:hAnsi="宋体" w:cs="宋体"/>
          <w:szCs w:val="24"/>
        </w:rPr>
        <w:t>供应商：（单位盖章）</w:t>
      </w:r>
    </w:p>
    <w:p>
      <w:pPr>
        <w:snapToGrid w:val="0"/>
        <w:spacing w:line="360" w:lineRule="auto"/>
        <w:rPr>
          <w:rFonts w:ascii="宋体" w:hAnsi="宋体" w:cs="宋体"/>
          <w:color w:val="000000"/>
          <w:sz w:val="24"/>
          <w:szCs w:val="24"/>
        </w:rPr>
      </w:pPr>
      <w:r>
        <w:rPr>
          <w:rFonts w:hint="eastAsia" w:hAnsi="宋体" w:cs="宋体"/>
          <w:sz w:val="24"/>
        </w:rPr>
        <w:t>法定代表人或</w:t>
      </w:r>
      <w:r>
        <w:rPr>
          <w:rFonts w:hint="eastAsia" w:hAnsi="宋体" w:cs="仿宋_GB2312"/>
          <w:sz w:val="24"/>
        </w:rPr>
        <w:t>被授权人（签字或盖章）</w:t>
      </w:r>
      <w:r>
        <w:rPr>
          <w:rFonts w:hint="eastAsia" w:hAnsi="宋体" w:cs="宋体"/>
          <w:sz w:val="24"/>
        </w:rPr>
        <w:t>：</w:t>
      </w:r>
      <w:r>
        <w:rPr>
          <w:rFonts w:hint="eastAsia" w:ascii="宋体" w:hAnsi="宋体" w:cs="宋体"/>
          <w:color w:val="000000"/>
          <w:sz w:val="24"/>
          <w:szCs w:val="24"/>
        </w:rPr>
        <w:t xml:space="preserve">            </w:t>
      </w:r>
    </w:p>
    <w:p>
      <w:pPr>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日期：  年  月  日</w:t>
      </w:r>
      <w:r>
        <w:rPr>
          <w:rFonts w:hint="eastAsia" w:ascii="宋体" w:hAnsi="宋体" w:cs="宋体"/>
          <w:color w:val="000000"/>
          <w:sz w:val="24"/>
          <w:szCs w:val="24"/>
        </w:rPr>
        <w:br w:type="page"/>
      </w:r>
    </w:p>
    <w:p>
      <w:pPr>
        <w:jc w:val="center"/>
        <w:rPr>
          <w:rFonts w:hint="eastAsia" w:asciiTheme="minorEastAsia" w:hAnsiTheme="minorEastAsia" w:eastAsiaTheme="minorEastAsia" w:cstheme="minorEastAsia"/>
          <w:b/>
          <w:color w:val="000000"/>
          <w:sz w:val="24"/>
          <w:szCs w:val="24"/>
        </w:rPr>
      </w:pPr>
      <w:r>
        <w:rPr>
          <w:rFonts w:hint="eastAsia" w:ascii="宋体" w:hAnsi="宋体" w:cs="宋体"/>
          <w:b/>
          <w:bCs/>
          <w:color w:val="000000"/>
          <w:sz w:val="28"/>
          <w:szCs w:val="28"/>
        </w:rPr>
        <w:t>4、</w:t>
      </w:r>
      <w:r>
        <w:rPr>
          <w:rFonts w:hint="eastAsia" w:asciiTheme="minorEastAsia" w:hAnsiTheme="minorEastAsia" w:eastAsiaTheme="minorEastAsia" w:cstheme="minorEastAsia"/>
          <w:b/>
          <w:color w:val="000000"/>
          <w:sz w:val="24"/>
          <w:szCs w:val="24"/>
          <w:lang w:val="en-US" w:eastAsia="zh-CN"/>
        </w:rPr>
        <w:t>供应商</w:t>
      </w:r>
      <w:r>
        <w:rPr>
          <w:rFonts w:hint="eastAsia" w:asciiTheme="minorEastAsia" w:hAnsiTheme="minorEastAsia" w:eastAsiaTheme="minorEastAsia" w:cstheme="minorEastAsia"/>
          <w:b/>
          <w:color w:val="000000"/>
          <w:sz w:val="24"/>
          <w:szCs w:val="24"/>
        </w:rPr>
        <w:t>符合《政府采购法》第二十二条规定条件的声明函</w:t>
      </w:r>
    </w:p>
    <w:p>
      <w:pPr>
        <w:spacing w:line="460" w:lineRule="exact"/>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 xml:space="preserve">                          </w:t>
      </w:r>
    </w:p>
    <w:p>
      <w:pPr>
        <w:spacing w:line="520" w:lineRule="exact"/>
        <w:ind w:firstLine="480" w:firstLineChars="200"/>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Cs/>
          <w:color w:val="000000"/>
          <w:sz w:val="24"/>
          <w:szCs w:val="24"/>
        </w:rPr>
        <w:t>我单位参加</w:t>
      </w:r>
      <w:r>
        <w:rPr>
          <w:rFonts w:hint="eastAsia" w:asciiTheme="minorEastAsia" w:hAnsiTheme="minorEastAsia" w:eastAsiaTheme="minorEastAsia" w:cstheme="minorEastAsia"/>
          <w:bCs/>
          <w:color w:val="000000"/>
          <w:sz w:val="24"/>
          <w:szCs w:val="24"/>
          <w:lang w:val="en-US" w:eastAsia="zh-CN"/>
        </w:rPr>
        <w:t xml:space="preserve"> </w:t>
      </w:r>
      <w:r>
        <w:rPr>
          <w:rFonts w:hint="eastAsia" w:asciiTheme="minorEastAsia" w:hAnsiTheme="minorEastAsia" w:eastAsiaTheme="minorEastAsia" w:cstheme="minorEastAsia"/>
          <w:bCs/>
          <w:color w:val="000000"/>
          <w:sz w:val="24"/>
          <w:szCs w:val="24"/>
          <w:u w:val="single"/>
          <w:lang w:val="en-US" w:eastAsia="zh-CN"/>
        </w:rPr>
        <w:t xml:space="preserve">          </w:t>
      </w:r>
      <w:r>
        <w:rPr>
          <w:rFonts w:hint="eastAsia" w:asciiTheme="minorEastAsia" w:hAnsiTheme="minorEastAsia" w:eastAsiaTheme="minorEastAsia" w:cstheme="minorEastAsia"/>
          <w:bCs/>
          <w:color w:val="000000"/>
          <w:sz w:val="24"/>
          <w:szCs w:val="24"/>
        </w:rPr>
        <w:t>（项目名称）投标活动。针对《中华人民共和国政府采购法》第二十二条规定做出如下声明：</w:t>
      </w:r>
    </w:p>
    <w:p>
      <w:pPr>
        <w:spacing w:line="520" w:lineRule="exact"/>
        <w:ind w:firstLine="48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1.我单位具有独立承担民事责任的能力；</w:t>
      </w:r>
    </w:p>
    <w:p>
      <w:pPr>
        <w:spacing w:line="520" w:lineRule="exact"/>
        <w:ind w:firstLine="48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2.我单位具有良好的商业信誉和健全的财务会计制度；</w:t>
      </w:r>
    </w:p>
    <w:p>
      <w:pPr>
        <w:spacing w:line="520" w:lineRule="exact"/>
        <w:ind w:firstLine="48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3.我单位具有履行合同所必需的设备和专业技术能力；</w:t>
      </w:r>
    </w:p>
    <w:p>
      <w:pPr>
        <w:spacing w:line="520" w:lineRule="exact"/>
        <w:ind w:firstLine="48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4.我单位有依法缴纳税收和社会保障资金的良好记录；</w:t>
      </w:r>
    </w:p>
    <w:p>
      <w:pPr>
        <w:spacing w:line="520" w:lineRule="exact"/>
        <w:ind w:firstLine="48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48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6.我单位满足法律、行政法规规定的其他条件。</w:t>
      </w:r>
    </w:p>
    <w:p>
      <w:pPr>
        <w:spacing w:line="500" w:lineRule="exact"/>
        <w:rPr>
          <w:rFonts w:hint="eastAsia" w:asciiTheme="minorEastAsia" w:hAnsiTheme="minorEastAsia" w:eastAsiaTheme="minorEastAsia" w:cstheme="minorEastAsia"/>
          <w:bCs/>
          <w:color w:val="000000"/>
          <w:sz w:val="24"/>
          <w:szCs w:val="24"/>
        </w:rPr>
      </w:pPr>
    </w:p>
    <w:p>
      <w:pPr>
        <w:spacing w:line="460" w:lineRule="exact"/>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 xml:space="preserve">                                             承诺人名称（公章）：</w:t>
      </w:r>
    </w:p>
    <w:p>
      <w:pPr>
        <w:spacing w:line="460" w:lineRule="exact"/>
        <w:jc w:val="righ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 xml:space="preserve">    </w:t>
      </w:r>
    </w:p>
    <w:p>
      <w:pPr>
        <w:pStyle w:val="142"/>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Cs/>
          <w:color w:val="000000"/>
          <w:sz w:val="24"/>
          <w:szCs w:val="24"/>
        </w:rPr>
        <w:t xml:space="preserve">                                 </w:t>
      </w:r>
      <w:r>
        <w:rPr>
          <w:rFonts w:hint="eastAsia" w:asciiTheme="minorEastAsia" w:hAnsiTheme="minorEastAsia" w:eastAsiaTheme="minorEastAsia" w:cstheme="minorEastAsia"/>
          <w:bCs/>
          <w:color w:val="000000"/>
          <w:sz w:val="24"/>
          <w:szCs w:val="24"/>
          <w:lang w:val="en-US" w:eastAsia="zh-CN"/>
        </w:rPr>
        <w:t xml:space="preserve">              </w:t>
      </w:r>
      <w:r>
        <w:rPr>
          <w:rFonts w:hint="eastAsia" w:asciiTheme="minorEastAsia" w:hAnsiTheme="minorEastAsia" w:eastAsiaTheme="minorEastAsia" w:cstheme="minorEastAsia"/>
          <w:bCs/>
          <w:color w:val="000000"/>
          <w:sz w:val="24"/>
          <w:szCs w:val="24"/>
        </w:rPr>
        <w:t>日期：</w:t>
      </w:r>
      <w:r>
        <w:rPr>
          <w:rFonts w:hint="eastAsia" w:asciiTheme="minorEastAsia" w:hAnsiTheme="minorEastAsia" w:eastAsiaTheme="minorEastAsia" w:cstheme="minorEastAsia"/>
          <w:bCs/>
          <w:color w:val="000000"/>
          <w:sz w:val="24"/>
          <w:szCs w:val="24"/>
          <w:u w:val="single"/>
        </w:rPr>
        <w:t>______</w:t>
      </w:r>
      <w:r>
        <w:rPr>
          <w:rFonts w:hint="eastAsia" w:asciiTheme="minorEastAsia" w:hAnsiTheme="minorEastAsia" w:eastAsiaTheme="minorEastAsia" w:cstheme="minorEastAsia"/>
          <w:bCs/>
          <w:color w:val="000000"/>
          <w:sz w:val="24"/>
          <w:szCs w:val="24"/>
        </w:rPr>
        <w:t>年</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月</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日</w:t>
      </w:r>
    </w:p>
    <w:p>
      <w:pPr>
        <w:snapToGrid w:val="0"/>
        <w:spacing w:line="520" w:lineRule="exact"/>
        <w:jc w:val="right"/>
        <w:rPr>
          <w:rFonts w:ascii="宋体"/>
          <w:sz w:val="24"/>
          <w:szCs w:val="24"/>
        </w:rPr>
      </w:pPr>
    </w:p>
    <w:p>
      <w:pPr>
        <w:snapToGrid w:val="0"/>
        <w:spacing w:line="520" w:lineRule="exact"/>
        <w:jc w:val="center"/>
        <w:outlineLvl w:val="3"/>
        <w:rPr>
          <w:rFonts w:ascii="宋体"/>
          <w:b/>
          <w:bCs/>
          <w:sz w:val="28"/>
          <w:szCs w:val="28"/>
        </w:rPr>
      </w:pPr>
    </w:p>
    <w:p>
      <w:pPr>
        <w:snapToGrid w:val="0"/>
        <w:spacing w:line="520" w:lineRule="exact"/>
        <w:jc w:val="center"/>
        <w:outlineLvl w:val="3"/>
        <w:rPr>
          <w:rFonts w:ascii="宋体"/>
          <w:b/>
          <w:bCs/>
          <w:sz w:val="28"/>
          <w:szCs w:val="28"/>
        </w:rPr>
      </w:pPr>
    </w:p>
    <w:p>
      <w:pPr>
        <w:snapToGrid w:val="0"/>
        <w:spacing w:line="520" w:lineRule="exact"/>
        <w:jc w:val="center"/>
        <w:outlineLvl w:val="3"/>
        <w:rPr>
          <w:rFonts w:ascii="宋体"/>
          <w:b/>
          <w:bCs/>
          <w:sz w:val="28"/>
          <w:szCs w:val="28"/>
        </w:rPr>
      </w:pPr>
    </w:p>
    <w:p>
      <w:pPr>
        <w:spacing w:line="360" w:lineRule="auto"/>
        <w:rPr>
          <w:rFonts w:ascii="宋体"/>
          <w:b/>
          <w:bCs/>
          <w:sz w:val="30"/>
          <w:szCs w:val="30"/>
        </w:rPr>
      </w:pPr>
    </w:p>
    <w:p>
      <w:pPr>
        <w:snapToGrid w:val="0"/>
        <w:spacing w:line="520" w:lineRule="exact"/>
        <w:ind w:firstLine="420" w:firstLineChars="200"/>
        <w:jc w:val="center"/>
        <w:rPr>
          <w:rFonts w:ascii="宋体"/>
          <w:b/>
          <w:bCs/>
          <w:sz w:val="28"/>
          <w:szCs w:val="28"/>
        </w:rPr>
      </w:pPr>
      <w:r>
        <w:br w:type="page"/>
      </w:r>
      <w:r>
        <w:rPr>
          <w:rFonts w:hint="eastAsia" w:ascii="宋体" w:hAnsi="宋体" w:cs="宋体"/>
          <w:b/>
          <w:bCs/>
          <w:sz w:val="28"/>
          <w:szCs w:val="28"/>
          <w:lang w:val="en-US" w:eastAsia="zh-CN"/>
        </w:rPr>
        <w:t>5</w:t>
      </w:r>
      <w:r>
        <w:rPr>
          <w:rFonts w:hint="eastAsia" w:ascii="宋体" w:hAnsi="宋体" w:cs="宋体"/>
          <w:b/>
          <w:bCs/>
          <w:sz w:val="28"/>
          <w:szCs w:val="28"/>
        </w:rPr>
        <w:t>、竞争性磋商响应函（格式不得变动）</w:t>
      </w:r>
    </w:p>
    <w:p>
      <w:pPr>
        <w:snapToGrid w:val="0"/>
        <w:spacing w:line="520" w:lineRule="exact"/>
        <w:rPr>
          <w:rFonts w:ascii="宋体"/>
          <w:sz w:val="24"/>
          <w:szCs w:val="24"/>
          <w:u w:val="single"/>
        </w:rPr>
      </w:pPr>
    </w:p>
    <w:p>
      <w:pPr>
        <w:snapToGrid w:val="0"/>
        <w:spacing w:line="520" w:lineRule="exact"/>
        <w:rPr>
          <w:rFonts w:ascii="宋体"/>
          <w:sz w:val="24"/>
          <w:szCs w:val="24"/>
          <w:u w:val="single"/>
        </w:rPr>
      </w:pPr>
      <w:r>
        <w:rPr>
          <w:rFonts w:hint="eastAsia" w:ascii="宋体" w:hAnsi="宋体" w:cs="宋体"/>
          <w:sz w:val="24"/>
          <w:szCs w:val="24"/>
          <w:u w:val="single"/>
          <w:lang w:eastAsia="zh-CN"/>
        </w:rPr>
        <w:t>南通市保安服务有限公司</w:t>
      </w:r>
      <w:r>
        <w:rPr>
          <w:rFonts w:hint="eastAsia" w:ascii="宋体" w:hAnsi="宋体" w:cs="宋体"/>
          <w:sz w:val="24"/>
          <w:szCs w:val="24"/>
          <w:u w:val="single"/>
        </w:rPr>
        <w:t>：</w:t>
      </w:r>
    </w:p>
    <w:p>
      <w:pPr>
        <w:snapToGrid w:val="0"/>
        <w:spacing w:line="520" w:lineRule="exact"/>
        <w:ind w:firstLine="480" w:firstLineChars="200"/>
        <w:rPr>
          <w:rFonts w:ascii="宋体"/>
          <w:sz w:val="24"/>
          <w:szCs w:val="24"/>
        </w:rPr>
      </w:pPr>
      <w:r>
        <w:rPr>
          <w:rFonts w:hint="eastAsia" w:ascii="宋体" w:hAnsi="宋体" w:cs="宋体"/>
          <w:sz w:val="24"/>
          <w:szCs w:val="24"/>
        </w:rPr>
        <w:t>依据贵单位委托代理机构组织的</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（磋商项目名称</w:t>
      </w:r>
      <w:r>
        <w:rPr>
          <w:rFonts w:ascii="宋体" w:hAnsi="宋体" w:cs="宋体"/>
          <w:sz w:val="24"/>
          <w:szCs w:val="24"/>
        </w:rPr>
        <w:t>)</w:t>
      </w:r>
      <w:r>
        <w:rPr>
          <w:rFonts w:hint="eastAsia" w:ascii="宋体" w:hAnsi="宋体" w:cs="宋体"/>
          <w:sz w:val="24"/>
          <w:szCs w:val="24"/>
        </w:rPr>
        <w:t>项目竞争性磋商的邀请，我方授权</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（姓名）</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（职务）为全权代表参加该项目的磋商工作，全权处理本次竞争性磋商的有关事宜。同时，我公司声明如下：</w:t>
      </w:r>
    </w:p>
    <w:p>
      <w:pPr>
        <w:snapToGrid w:val="0"/>
        <w:spacing w:line="52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、同意并接受竞争性磋商文件的各项要求，遵守竞争性磋商文件中的各项规定，按竞争性磋商文件的要求提供报价。</w:t>
      </w:r>
    </w:p>
    <w:p>
      <w:pPr>
        <w:snapToGrid w:val="0"/>
        <w:spacing w:line="52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、我公司已经详细阅读了竞争性磋商文件的全部内容，我方已完全清晰理解竞争性磋商文件的要求，不存在任何含糊不清和误解之处，同意放弃对竞争性磋商文件所表述的内容提出异议和质疑的权利。</w:t>
      </w:r>
    </w:p>
    <w:p>
      <w:pPr>
        <w:snapToGrid w:val="0"/>
        <w:spacing w:line="520" w:lineRule="exact"/>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、我公司已毫无保留地向贵方提供一切所需的证明材料。</w:t>
      </w:r>
    </w:p>
    <w:p>
      <w:pPr>
        <w:snapToGrid w:val="0"/>
        <w:spacing w:line="520" w:lineRule="exact"/>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、我公司承诺在本次磋商响应中提供的一切文件，无论是原件还是复印件均真实有效，绝无任何虚假、伪造和夸大的成份。否则，愿承担相应的后果和法律责任。</w:t>
      </w:r>
    </w:p>
    <w:p>
      <w:pPr>
        <w:snapToGrid w:val="0"/>
        <w:spacing w:line="520" w:lineRule="exact"/>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、一旦成交，我方承诺无正当理由拒绝签订合同，将被贵方取消成交资格。</w:t>
      </w:r>
    </w:p>
    <w:p>
      <w:pPr>
        <w:snapToGrid w:val="0"/>
        <w:spacing w:line="520" w:lineRule="exact"/>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w:t>
      </w:r>
      <w:r>
        <w:rPr>
          <w:rFonts w:hint="eastAsia" w:ascii="宋体" w:hAnsi="宋体" w:cs="宋体"/>
          <w:b/>
          <w:bCs/>
          <w:sz w:val="24"/>
          <w:szCs w:val="24"/>
        </w:rPr>
        <w:t>一旦成交，我方将根据竞争性磋商文件的规定，严格履行合同规定的责任和义务，并保证在竞争性磋商文件中规定的时间期限内完成合同项目。</w:t>
      </w:r>
    </w:p>
    <w:p>
      <w:pPr>
        <w:snapToGrid w:val="0"/>
        <w:spacing w:line="520" w:lineRule="exact"/>
        <w:ind w:firstLine="480" w:firstLineChars="200"/>
        <w:rPr>
          <w:rFonts w:ascii="宋体"/>
          <w:sz w:val="24"/>
          <w:szCs w:val="24"/>
        </w:rPr>
      </w:pPr>
    </w:p>
    <w:p>
      <w:pPr>
        <w:snapToGrid w:val="0"/>
        <w:spacing w:line="520" w:lineRule="exact"/>
        <w:jc w:val="right"/>
        <w:rPr>
          <w:rFonts w:ascii="宋体"/>
          <w:sz w:val="24"/>
          <w:szCs w:val="24"/>
        </w:rPr>
      </w:pPr>
      <w:r>
        <w:rPr>
          <w:rFonts w:hint="eastAsia" w:ascii="宋体" w:hAnsi="宋体" w:cs="宋体"/>
          <w:sz w:val="24"/>
          <w:szCs w:val="24"/>
        </w:rPr>
        <w:t>竞争性磋商响应单位：</w:t>
      </w:r>
      <w:r>
        <w:rPr>
          <w:rFonts w:ascii="宋体" w:hAnsi="宋体" w:cs="宋体"/>
          <w:sz w:val="24"/>
          <w:szCs w:val="24"/>
          <w:u w:val="single"/>
        </w:rPr>
        <w:t xml:space="preserve">             </w:t>
      </w:r>
      <w:r>
        <w:rPr>
          <w:rFonts w:hint="eastAsia" w:ascii="宋体" w:hAnsi="宋体" w:cs="宋体"/>
          <w:sz w:val="24"/>
          <w:szCs w:val="24"/>
        </w:rPr>
        <w:t>（加盖公章）</w:t>
      </w:r>
    </w:p>
    <w:p>
      <w:pPr>
        <w:snapToGrid w:val="0"/>
        <w:spacing w:line="520" w:lineRule="exact"/>
        <w:ind w:firstLine="2400" w:firstLineChars="1000"/>
        <w:jc w:val="right"/>
        <w:rPr>
          <w:rFonts w:ascii="宋体"/>
          <w:sz w:val="24"/>
          <w:szCs w:val="24"/>
        </w:rPr>
      </w:pPr>
      <w:r>
        <w:rPr>
          <w:rFonts w:hint="eastAsia" w:ascii="宋体" w:hAnsi="宋体" w:cs="宋体"/>
          <w:sz w:val="24"/>
          <w:szCs w:val="24"/>
        </w:rPr>
        <w:t>法定代表人或被授权人：</w:t>
      </w:r>
      <w:r>
        <w:rPr>
          <w:rFonts w:ascii="宋体" w:hAnsi="宋体" w:cs="宋体"/>
          <w:sz w:val="24"/>
          <w:szCs w:val="24"/>
          <w:u w:val="single"/>
        </w:rPr>
        <w:t xml:space="preserve">         </w:t>
      </w:r>
      <w:r>
        <w:rPr>
          <w:rFonts w:hint="eastAsia" w:ascii="宋体" w:hAnsi="宋体" w:cs="宋体"/>
          <w:sz w:val="24"/>
          <w:szCs w:val="24"/>
        </w:rPr>
        <w:t>（签字或盖章）</w:t>
      </w:r>
    </w:p>
    <w:p>
      <w:pPr>
        <w:snapToGrid w:val="0"/>
        <w:spacing w:line="520" w:lineRule="exact"/>
        <w:jc w:val="right"/>
        <w:rPr>
          <w:rFonts w:ascii="宋体"/>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snapToGrid w:val="0"/>
        <w:spacing w:line="520" w:lineRule="exact"/>
        <w:jc w:val="center"/>
        <w:outlineLvl w:val="3"/>
        <w:rPr>
          <w:rFonts w:ascii="宋体"/>
          <w:b/>
          <w:bCs/>
          <w:sz w:val="28"/>
          <w:szCs w:val="28"/>
        </w:rPr>
      </w:pPr>
    </w:p>
    <w:p>
      <w:pPr>
        <w:snapToGrid w:val="0"/>
        <w:spacing w:line="520" w:lineRule="exact"/>
        <w:jc w:val="center"/>
        <w:outlineLvl w:val="3"/>
        <w:rPr>
          <w:rFonts w:ascii="宋体"/>
          <w:b/>
          <w:bCs/>
          <w:sz w:val="28"/>
          <w:szCs w:val="28"/>
        </w:rPr>
      </w:pPr>
    </w:p>
    <w:p>
      <w:pPr>
        <w:widowControl/>
        <w:snapToGrid w:val="0"/>
        <w:jc w:val="center"/>
        <w:textAlignment w:val="baseline"/>
        <w:rPr>
          <w:rFonts w:ascii="宋体"/>
          <w:b/>
          <w:bCs/>
          <w:sz w:val="28"/>
          <w:szCs w:val="28"/>
        </w:rPr>
      </w:pPr>
      <w:r>
        <w:rPr>
          <w:rFonts w:ascii="宋体"/>
          <w:b/>
          <w:bCs/>
          <w:sz w:val="28"/>
          <w:szCs w:val="28"/>
        </w:rPr>
        <w:br w:type="page"/>
      </w:r>
    </w:p>
    <w:p>
      <w:pPr>
        <w:widowControl/>
        <w:snapToGrid w:val="0"/>
        <w:jc w:val="center"/>
        <w:textAlignment w:val="baseline"/>
        <w:rPr>
          <w:rFonts w:hint="eastAsia" w:ascii="宋体" w:hAnsi="宋体" w:cs="宋体"/>
          <w:b/>
          <w:bCs/>
          <w:sz w:val="28"/>
          <w:szCs w:val="28"/>
        </w:rPr>
      </w:pPr>
      <w:r>
        <w:rPr>
          <w:rFonts w:hint="eastAsia" w:ascii="宋体" w:hAnsi="宋体" w:cs="宋体"/>
          <w:b/>
          <w:bCs/>
          <w:sz w:val="28"/>
          <w:szCs w:val="28"/>
          <w:lang w:val="en-US" w:eastAsia="zh-CN"/>
        </w:rPr>
        <w:t>6、</w:t>
      </w:r>
      <w:r>
        <w:rPr>
          <w:rFonts w:hint="eastAsia" w:ascii="宋体" w:hAnsi="宋体" w:cs="宋体"/>
          <w:b/>
          <w:bCs/>
          <w:sz w:val="28"/>
          <w:szCs w:val="28"/>
        </w:rPr>
        <w:t>现场勘查函</w:t>
      </w:r>
    </w:p>
    <w:p>
      <w:pPr>
        <w:adjustRightInd w:val="0"/>
        <w:snapToGrid w:val="0"/>
        <w:spacing w:line="440" w:lineRule="exact"/>
        <w:ind w:firstLine="475" w:firstLineChars="198"/>
        <w:rPr>
          <w:rFonts w:ascii="等线" w:hAnsi="等线" w:eastAsia="等线"/>
          <w:sz w:val="24"/>
        </w:rPr>
      </w:pPr>
      <w:r>
        <w:rPr>
          <w:rFonts w:hint="eastAsia" w:ascii="宋体" w:hAnsi="宋体"/>
          <w:sz w:val="24"/>
          <w:u w:val="single"/>
        </w:rPr>
        <w:t>（招标人名称）</w:t>
      </w:r>
      <w:r>
        <w:rPr>
          <w:rFonts w:hint="eastAsia" w:ascii="宋体" w:hAnsi="宋体"/>
          <w:sz w:val="24"/>
          <w:u w:val="single"/>
          <w:lang w:val="en-US" w:eastAsia="zh-CN"/>
        </w:rPr>
        <w:t xml:space="preserve">     </w:t>
      </w:r>
      <w:r>
        <w:rPr>
          <w:rFonts w:hint="eastAsia" w:ascii="宋体" w:hAnsi="宋体"/>
          <w:sz w:val="24"/>
        </w:rPr>
        <w:t>：</w:t>
      </w:r>
    </w:p>
    <w:p>
      <w:pPr>
        <w:spacing w:line="480" w:lineRule="exact"/>
        <w:ind w:firstLine="480" w:firstLineChars="200"/>
        <w:rPr>
          <w:rFonts w:hint="eastAsia" w:ascii="宋体" w:hAnsi="宋体"/>
          <w:sz w:val="24"/>
        </w:rPr>
      </w:pPr>
      <w:r>
        <w:rPr>
          <w:rFonts w:hint="eastAsia" w:ascii="宋体" w:hAnsi="宋体"/>
          <w:sz w:val="24"/>
        </w:rPr>
        <w:t>依据贵单位</w:t>
      </w:r>
      <w:r>
        <w:rPr>
          <w:rFonts w:hint="eastAsia" w:ascii="宋体" w:hAnsi="宋体"/>
          <w:sz w:val="24"/>
          <w:u w:val="single"/>
          <w:lang w:val="en-US" w:eastAsia="zh-CN"/>
        </w:rPr>
        <w:t xml:space="preserve">                   </w:t>
      </w:r>
      <w:r>
        <w:rPr>
          <w:rFonts w:hint="eastAsia" w:ascii="宋体" w:hAnsi="宋体"/>
          <w:sz w:val="24"/>
        </w:rPr>
        <w:t>（项目名称</w:t>
      </w:r>
      <w:r>
        <w:rPr>
          <w:rFonts w:ascii="宋体" w:hAnsi="宋体"/>
          <w:sz w:val="24"/>
        </w:rPr>
        <w:t>)</w:t>
      </w:r>
      <w:r>
        <w:rPr>
          <w:rFonts w:hint="eastAsia" w:ascii="宋体" w:hAnsi="宋体"/>
          <w:sz w:val="24"/>
        </w:rPr>
        <w:t>项目</w:t>
      </w:r>
      <w:r>
        <w:rPr>
          <w:rFonts w:hint="eastAsia" w:ascii="宋体" w:hAnsi="宋体"/>
          <w:sz w:val="24"/>
          <w:lang w:eastAsia="zh-CN"/>
        </w:rPr>
        <w:t>竞争性磋商文件</w:t>
      </w:r>
      <w:r>
        <w:rPr>
          <w:rFonts w:hint="eastAsia" w:ascii="宋体" w:hAnsi="宋体"/>
          <w:sz w:val="24"/>
        </w:rPr>
        <w:t>的要求。我方已于</w:t>
      </w:r>
      <w:r>
        <w:rPr>
          <w:rFonts w:hint="eastAsia" w:ascii="宋体" w:hAnsi="宋体"/>
          <w:sz w:val="24"/>
          <w:u w:val="single"/>
        </w:rPr>
        <w:t xml:space="preserve">   年    月   日</w:t>
      </w:r>
      <w:r>
        <w:rPr>
          <w:rFonts w:hint="eastAsia" w:ascii="宋体" w:hAnsi="宋体"/>
          <w:sz w:val="24"/>
        </w:rPr>
        <w:t xml:space="preserve">对该项目进行了现场勘察，现就现场勘察情况做如下承诺： </w:t>
      </w:r>
    </w:p>
    <w:p>
      <w:pPr>
        <w:pStyle w:val="2"/>
      </w:pPr>
    </w:p>
    <w:p>
      <w:pPr>
        <w:spacing w:line="480" w:lineRule="exact"/>
        <w:ind w:firstLine="480" w:firstLineChars="200"/>
        <w:rPr>
          <w:rFonts w:ascii="宋体" w:hAnsi="宋体"/>
          <w:sz w:val="24"/>
        </w:rPr>
      </w:pPr>
      <w:r>
        <w:rPr>
          <w:rFonts w:hint="eastAsia" w:ascii="宋体" w:hAnsi="宋体"/>
          <w:sz w:val="24"/>
          <w:lang w:val="en-US" w:eastAsia="zh-CN"/>
        </w:rPr>
        <w:t>（1）</w:t>
      </w:r>
      <w:r>
        <w:rPr>
          <w:rFonts w:hint="eastAsia" w:ascii="宋体" w:hAnsi="宋体"/>
          <w:sz w:val="24"/>
        </w:rPr>
        <w:t>我方自行承担本次勘察现场的相关责任和风险。</w:t>
      </w:r>
    </w:p>
    <w:p>
      <w:pPr>
        <w:spacing w:line="480" w:lineRule="exact"/>
        <w:ind w:firstLine="480" w:firstLineChars="200"/>
        <w:rPr>
          <w:rFonts w:ascii="Arial" w:hAnsi="Arial" w:cs="Arial"/>
          <w:sz w:val="24"/>
        </w:rPr>
      </w:pPr>
      <w:r>
        <w:rPr>
          <w:rFonts w:hint="eastAsia" w:ascii="宋体" w:hAnsi="宋体"/>
          <w:sz w:val="24"/>
          <w:lang w:val="en-US" w:eastAsia="zh-CN"/>
        </w:rPr>
        <w:t>（2）</w:t>
      </w:r>
      <w:r>
        <w:rPr>
          <w:rFonts w:hint="eastAsia" w:ascii="宋体" w:hAnsi="宋体"/>
          <w:sz w:val="24"/>
        </w:rPr>
        <w:t>我方承诺在任何情况下均不以不完全了解现场情况为理由而向招标方提出投标报价以外的任何费用及任何不合理的要求。</w:t>
      </w:r>
    </w:p>
    <w:p>
      <w:pPr>
        <w:kinsoku w:val="0"/>
        <w:topLinePunct/>
        <w:snapToGrid w:val="0"/>
        <w:spacing w:line="320" w:lineRule="exact"/>
        <w:ind w:left="5040" w:firstLine="420"/>
        <w:rPr>
          <w:rFonts w:ascii="宋体" w:hAnsi="宋体" w:cs="宋体"/>
          <w:sz w:val="24"/>
        </w:rPr>
      </w:pPr>
    </w:p>
    <w:p>
      <w:pPr>
        <w:kinsoku w:val="0"/>
        <w:topLinePunct/>
        <w:snapToGrid w:val="0"/>
        <w:spacing w:line="320" w:lineRule="exact"/>
        <w:ind w:left="5040" w:firstLine="420"/>
        <w:rPr>
          <w:rFonts w:ascii="宋体" w:hAnsi="宋体" w:cs="宋体"/>
          <w:sz w:val="24"/>
        </w:rPr>
      </w:pPr>
    </w:p>
    <w:p>
      <w:pPr>
        <w:kinsoku w:val="0"/>
        <w:topLinePunct/>
        <w:snapToGrid w:val="0"/>
        <w:spacing w:line="360" w:lineRule="auto"/>
        <w:ind w:left="2942" w:firstLine="420"/>
        <w:rPr>
          <w:rFonts w:ascii="宋体" w:hAnsi="宋体" w:cs="宋体"/>
          <w:sz w:val="24"/>
        </w:rPr>
      </w:pPr>
      <w:r>
        <w:rPr>
          <w:rFonts w:hint="eastAsia" w:ascii="宋体" w:hAnsi="宋体" w:cs="宋体"/>
          <w:sz w:val="24"/>
        </w:rPr>
        <w:t>投标</w:t>
      </w:r>
      <w:r>
        <w:rPr>
          <w:rFonts w:hint="eastAsia" w:ascii="宋体" w:hAnsi="宋体" w:cs="宋体"/>
          <w:sz w:val="24"/>
          <w:lang w:val="en-US" w:eastAsia="zh-CN"/>
        </w:rPr>
        <w:t>供应商</w:t>
      </w:r>
      <w:r>
        <w:rPr>
          <w:rFonts w:hint="eastAsia" w:ascii="宋体" w:hAnsi="宋体" w:cs="宋体"/>
          <w:sz w:val="24"/>
        </w:rPr>
        <w:t xml:space="preserve">：（盖章）             </w:t>
      </w:r>
    </w:p>
    <w:p>
      <w:pPr>
        <w:kinsoku w:val="0"/>
        <w:topLinePunct/>
        <w:snapToGrid w:val="0"/>
        <w:spacing w:line="360" w:lineRule="auto"/>
        <w:ind w:left="2942" w:firstLine="420"/>
        <w:rPr>
          <w:rFonts w:ascii="宋体" w:hAnsi="宋体" w:cs="宋体"/>
          <w:sz w:val="24"/>
        </w:rPr>
      </w:pPr>
      <w:r>
        <w:rPr>
          <w:rFonts w:hint="eastAsia" w:ascii="宋体" w:hAnsi="宋体" w:cs="宋体"/>
          <w:sz w:val="24"/>
        </w:rPr>
        <w:t>法定代表人或委托代理人（签字或盖章）：</w:t>
      </w:r>
    </w:p>
    <w:p>
      <w:pPr>
        <w:kinsoku w:val="0"/>
        <w:topLinePunct/>
        <w:snapToGrid w:val="0"/>
        <w:spacing w:line="360" w:lineRule="auto"/>
        <w:ind w:left="2942" w:firstLine="420"/>
        <w:rPr>
          <w:rFonts w:hint="eastAsia" w:ascii="宋体" w:hAnsi="宋体" w:cs="宋体"/>
          <w:sz w:val="24"/>
        </w:rPr>
      </w:pPr>
      <w:r>
        <w:rPr>
          <w:rFonts w:hint="eastAsia" w:ascii="宋体" w:hAnsi="宋体" w:cs="宋体"/>
          <w:sz w:val="24"/>
        </w:rPr>
        <w:t>日期：</w:t>
      </w:r>
    </w:p>
    <w:p>
      <w:pPr>
        <w:kinsoku w:val="0"/>
        <w:topLinePunct/>
        <w:snapToGrid w:val="0"/>
        <w:spacing w:line="360" w:lineRule="auto"/>
        <w:ind w:left="2942" w:firstLine="420"/>
        <w:rPr>
          <w:rFonts w:hint="default" w:ascii="宋体" w:hAnsi="宋体" w:cs="宋体"/>
          <w:sz w:val="24"/>
          <w:lang w:val="en-US" w:eastAsia="zh-CN"/>
        </w:rPr>
      </w:pPr>
      <w:r>
        <w:rPr>
          <w:rFonts w:hint="eastAsia" w:ascii="宋体" w:hAnsi="宋体" w:cs="宋体"/>
          <w:sz w:val="24"/>
          <w:lang w:val="en-US" w:eastAsia="zh-CN"/>
        </w:rPr>
        <w:t>采购人代表签字：</w:t>
      </w:r>
    </w:p>
    <w:p>
      <w:pPr>
        <w:widowControl/>
        <w:snapToGrid w:val="0"/>
        <w:jc w:val="center"/>
        <w:textAlignment w:val="baseline"/>
        <w:rPr>
          <w:rFonts w:ascii="宋体"/>
          <w:b/>
          <w:bCs/>
          <w:sz w:val="28"/>
          <w:szCs w:val="28"/>
        </w:rPr>
      </w:pPr>
    </w:p>
    <w:p>
      <w:pPr>
        <w:widowControl/>
        <w:snapToGrid w:val="0"/>
        <w:jc w:val="center"/>
        <w:textAlignment w:val="baseline"/>
        <w:rPr>
          <w:rFonts w:hint="eastAsia" w:ascii="宋体" w:hAnsi="宋体" w:cs="宋体"/>
          <w:b/>
          <w:bCs/>
          <w:sz w:val="28"/>
          <w:szCs w:val="28"/>
        </w:rPr>
      </w:pPr>
      <w:r>
        <w:rPr>
          <w:rFonts w:hint="eastAsia" w:ascii="宋体" w:hAnsi="宋体" w:cs="宋体"/>
          <w:b/>
          <w:bCs/>
          <w:sz w:val="28"/>
          <w:szCs w:val="28"/>
          <w:lang w:val="en-US" w:eastAsia="zh-CN"/>
        </w:rPr>
        <w:t>7</w:t>
      </w:r>
      <w:r>
        <w:rPr>
          <w:rFonts w:hint="eastAsia" w:ascii="宋体" w:hAnsi="宋体" w:cs="宋体"/>
          <w:b/>
          <w:bCs/>
          <w:sz w:val="28"/>
          <w:szCs w:val="28"/>
        </w:rPr>
        <w:t>、磋商响应报价总表</w:t>
      </w:r>
    </w:p>
    <w:p>
      <w:pPr>
        <w:pStyle w:val="2"/>
        <w:snapToGrid w:val="0"/>
        <w:textAlignment w:val="baseline"/>
      </w:pPr>
    </w:p>
    <w:tbl>
      <w:tblPr>
        <w:tblStyle w:val="51"/>
        <w:tblW w:w="10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7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460" w:type="dxa"/>
            <w:noWrap w:val="0"/>
            <w:vAlign w:val="center"/>
          </w:tcPr>
          <w:p>
            <w:pPr>
              <w:snapToGrid w:val="0"/>
              <w:spacing w:line="480" w:lineRule="exact"/>
              <w:jc w:val="center"/>
              <w:textAlignment w:val="baseline"/>
              <w:rPr>
                <w:rFonts w:ascii="宋体" w:hAnsi="宋体" w:cs="宋体"/>
                <w:sz w:val="24"/>
                <w:szCs w:val="24"/>
              </w:rPr>
            </w:pPr>
            <w:r>
              <w:rPr>
                <w:rFonts w:hint="eastAsia" w:ascii="宋体" w:hAnsi="宋体" w:cs="宋体"/>
                <w:sz w:val="24"/>
                <w:szCs w:val="24"/>
              </w:rPr>
              <w:t>项目名称</w:t>
            </w:r>
          </w:p>
        </w:tc>
        <w:tc>
          <w:tcPr>
            <w:tcW w:w="7564" w:type="dxa"/>
            <w:noWrap w:val="0"/>
            <w:vAlign w:val="center"/>
          </w:tcPr>
          <w:p>
            <w:pPr>
              <w:snapToGrid w:val="0"/>
              <w:spacing w:line="480" w:lineRule="exact"/>
              <w:jc w:val="center"/>
              <w:textAlignment w:val="baseline"/>
              <w:rPr>
                <w:rFonts w:ascii="宋体" w:hAnsi="宋体" w:cs="宋体"/>
                <w:sz w:val="24"/>
                <w:szCs w:val="24"/>
              </w:rPr>
            </w:pPr>
            <w:r>
              <w:rPr>
                <w:rFonts w:hint="eastAsia" w:ascii="宋体" w:hAnsi="宋体" w:cs="宋体"/>
                <w:sz w:val="24"/>
                <w:szCs w:val="24"/>
                <w:lang w:val="zh-CN"/>
              </w:rPr>
              <w:t>南通市保安服务有限公司电梯维保服务项目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460" w:type="dxa"/>
            <w:noWrap w:val="0"/>
            <w:vAlign w:val="center"/>
          </w:tcPr>
          <w:p>
            <w:pPr>
              <w:snapToGrid w:val="0"/>
              <w:spacing w:line="480" w:lineRule="exact"/>
              <w:jc w:val="center"/>
              <w:textAlignment w:val="baseline"/>
              <w:rPr>
                <w:rFonts w:ascii="宋体" w:hAnsi="宋体" w:cs="宋体"/>
                <w:sz w:val="24"/>
                <w:szCs w:val="24"/>
              </w:rPr>
            </w:pPr>
            <w:r>
              <w:rPr>
                <w:rFonts w:hint="eastAsia" w:ascii="宋体" w:hAnsi="宋体" w:cs="宋体"/>
                <w:sz w:val="24"/>
                <w:szCs w:val="24"/>
              </w:rPr>
              <w:t>磋商总价报价（首次）</w:t>
            </w:r>
          </w:p>
        </w:tc>
        <w:tc>
          <w:tcPr>
            <w:tcW w:w="7564" w:type="dxa"/>
            <w:noWrap w:val="0"/>
            <w:vAlign w:val="center"/>
          </w:tcPr>
          <w:p>
            <w:pPr>
              <w:snapToGrid w:val="0"/>
              <w:spacing w:line="420" w:lineRule="exact"/>
              <w:rPr>
                <w:rFonts w:hint="eastAsia" w:cs="宋体"/>
                <w:sz w:val="24"/>
                <w:szCs w:val="24"/>
              </w:rPr>
            </w:pPr>
            <w:r>
              <w:rPr>
                <w:rFonts w:hint="eastAsia" w:cs="宋体"/>
                <w:sz w:val="24"/>
                <w:szCs w:val="24"/>
              </w:rPr>
              <w:t>大写：</w:t>
            </w:r>
            <w:r>
              <w:rPr>
                <w:rFonts w:hint="eastAsia" w:ascii="宋体" w:hAnsi="宋体" w:cs="宋体"/>
                <w:snapToGrid w:val="0"/>
                <w:sz w:val="24"/>
                <w:szCs w:val="24"/>
              </w:rPr>
              <w:t>人民币</w:t>
            </w:r>
            <w:r>
              <w:rPr>
                <w:rFonts w:hint="eastAsia" w:ascii="宋体" w:hAnsi="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元/年</w:t>
            </w:r>
            <w:r>
              <w:rPr>
                <w:rFonts w:hint="eastAsia" w:cs="宋体"/>
                <w:sz w:val="24"/>
                <w:szCs w:val="24"/>
              </w:rPr>
              <w:t xml:space="preserve"> </w:t>
            </w:r>
          </w:p>
          <w:p>
            <w:pPr>
              <w:snapToGrid w:val="0"/>
              <w:spacing w:line="420" w:lineRule="exact"/>
              <w:ind w:left="1130" w:hanging="1130" w:hangingChars="471"/>
              <w:textAlignment w:val="baseline"/>
              <w:rPr>
                <w:sz w:val="20"/>
                <w:szCs w:val="22"/>
              </w:rPr>
            </w:pPr>
            <w:r>
              <w:rPr>
                <w:rFonts w:hint="eastAsia" w:cs="宋体"/>
                <w:sz w:val="24"/>
                <w:szCs w:val="24"/>
              </w:rPr>
              <w:t>小写：￥</w:t>
            </w:r>
            <w:r>
              <w:rPr>
                <w:rFonts w:hint="eastAsia" w:cs="宋体"/>
                <w:sz w:val="24"/>
                <w:szCs w:val="24"/>
                <w:u w:val="single"/>
              </w:rPr>
              <w:t xml:space="preserve">                 </w:t>
            </w:r>
            <w:r>
              <w:rPr>
                <w:rFonts w:hint="eastAsia" w:ascii="宋体" w:hAnsi="宋体" w:cs="宋体"/>
                <w:snapToGrid w:val="0"/>
                <w:sz w:val="24"/>
                <w:szCs w:val="24"/>
                <w:u w:val="single"/>
                <w:lang w:val="en-US" w:eastAsia="zh-CN"/>
              </w:rPr>
              <w:t>元/年</w:t>
            </w:r>
            <w:r>
              <w:rPr>
                <w:rFonts w:hint="eastAsia"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460" w:type="dxa"/>
            <w:noWrap w:val="0"/>
            <w:vAlign w:val="center"/>
          </w:tcPr>
          <w:p>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磋商总价报价</w:t>
            </w:r>
          </w:p>
          <w:p>
            <w:pPr>
              <w:snapToGrid w:val="0"/>
              <w:spacing w:line="480" w:lineRule="exact"/>
              <w:jc w:val="center"/>
              <w:textAlignment w:val="baseline"/>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eastAsia="zh-CN"/>
              </w:rPr>
              <w:t>第二次</w:t>
            </w:r>
            <w:r>
              <w:rPr>
                <w:rFonts w:hint="eastAsia" w:ascii="宋体" w:hAnsi="宋体" w:cs="宋体"/>
                <w:sz w:val="24"/>
                <w:szCs w:val="24"/>
              </w:rPr>
              <w:t>）</w:t>
            </w:r>
          </w:p>
          <w:p>
            <w:pPr>
              <w:snapToGrid w:val="0"/>
              <w:spacing w:line="480" w:lineRule="exact"/>
              <w:jc w:val="center"/>
              <w:textAlignment w:val="baseline"/>
              <w:rPr>
                <w:sz w:val="20"/>
                <w:szCs w:val="22"/>
              </w:rPr>
            </w:pPr>
            <w:r>
              <w:rPr>
                <w:rFonts w:hint="eastAsia" w:ascii="宋体" w:hAnsi="宋体" w:cs="宋体"/>
                <w:b/>
                <w:bCs/>
                <w:sz w:val="24"/>
                <w:szCs w:val="24"/>
                <w:highlight w:val="none"/>
                <w:u w:val="single" w:color="000000"/>
              </w:rPr>
              <w:t>（磋商现场填写）</w:t>
            </w:r>
          </w:p>
        </w:tc>
        <w:tc>
          <w:tcPr>
            <w:tcW w:w="7564" w:type="dxa"/>
            <w:noWrap w:val="0"/>
            <w:vAlign w:val="center"/>
          </w:tcPr>
          <w:p>
            <w:pPr>
              <w:snapToGrid w:val="0"/>
              <w:spacing w:line="420" w:lineRule="exact"/>
              <w:rPr>
                <w:rFonts w:hint="eastAsia" w:cs="宋体"/>
                <w:sz w:val="24"/>
                <w:szCs w:val="24"/>
              </w:rPr>
            </w:pPr>
            <w:r>
              <w:rPr>
                <w:rFonts w:hint="eastAsia" w:cs="宋体"/>
                <w:sz w:val="24"/>
                <w:szCs w:val="24"/>
              </w:rPr>
              <w:t>大写：</w:t>
            </w:r>
            <w:r>
              <w:rPr>
                <w:rFonts w:hint="eastAsia" w:ascii="宋体" w:hAnsi="宋体" w:cs="宋体"/>
                <w:snapToGrid w:val="0"/>
                <w:sz w:val="24"/>
                <w:szCs w:val="24"/>
              </w:rPr>
              <w:t>人民币</w:t>
            </w:r>
            <w:r>
              <w:rPr>
                <w:rFonts w:hint="eastAsia" w:ascii="宋体" w:hAnsi="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元/年</w:t>
            </w:r>
            <w:r>
              <w:rPr>
                <w:rFonts w:hint="eastAsia" w:ascii="宋体" w:hAnsi="宋体" w:cs="宋体"/>
                <w:snapToGrid w:val="0"/>
                <w:sz w:val="24"/>
                <w:szCs w:val="24"/>
              </w:rPr>
              <w:t>。</w:t>
            </w:r>
            <w:r>
              <w:rPr>
                <w:rFonts w:hint="eastAsia" w:cs="宋体"/>
                <w:sz w:val="24"/>
                <w:szCs w:val="24"/>
              </w:rPr>
              <w:t xml:space="preserve"> </w:t>
            </w:r>
          </w:p>
          <w:p>
            <w:pPr>
              <w:snapToGrid w:val="0"/>
              <w:spacing w:line="420" w:lineRule="exact"/>
              <w:ind w:left="1130" w:hanging="1130" w:hangingChars="471"/>
              <w:textAlignment w:val="baseline"/>
              <w:rPr>
                <w:rFonts w:cs="宋体"/>
                <w:sz w:val="20"/>
                <w:szCs w:val="22"/>
              </w:rPr>
            </w:pPr>
            <w:r>
              <w:rPr>
                <w:rFonts w:hint="eastAsia" w:cs="宋体"/>
                <w:sz w:val="24"/>
                <w:szCs w:val="24"/>
              </w:rPr>
              <w:t>小写：￥</w:t>
            </w:r>
            <w:r>
              <w:rPr>
                <w:rFonts w:hint="eastAsia" w:cs="宋体"/>
                <w:sz w:val="24"/>
                <w:szCs w:val="24"/>
                <w:u w:val="single"/>
              </w:rPr>
              <w:t xml:space="preserve">                 </w:t>
            </w:r>
            <w:r>
              <w:rPr>
                <w:rFonts w:hint="eastAsia" w:ascii="宋体" w:hAnsi="宋体" w:cs="宋体"/>
                <w:snapToGrid w:val="0"/>
                <w:sz w:val="24"/>
                <w:szCs w:val="24"/>
                <w:u w:val="single"/>
                <w:lang w:val="en-US" w:eastAsia="zh-CN"/>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460" w:type="dxa"/>
            <w:noWrap w:val="0"/>
            <w:vAlign w:val="center"/>
          </w:tcPr>
          <w:p>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付款条件</w:t>
            </w:r>
          </w:p>
        </w:tc>
        <w:tc>
          <w:tcPr>
            <w:tcW w:w="7564" w:type="dxa"/>
            <w:noWrap w:val="0"/>
            <w:vAlign w:val="center"/>
          </w:tcPr>
          <w:p>
            <w:pPr>
              <w:snapToGrid w:val="0"/>
              <w:spacing w:line="480" w:lineRule="exact"/>
              <w:jc w:val="center"/>
              <w:textAlignment w:val="baseline"/>
              <w:rPr>
                <w:rFonts w:hint="eastAsia" w:ascii="宋体" w:hAnsi="宋体" w:cs="宋体"/>
                <w:sz w:val="24"/>
                <w:szCs w:val="24"/>
              </w:rPr>
            </w:pPr>
            <w:r>
              <w:rPr>
                <w:rFonts w:hint="eastAsia" w:ascii="宋体" w:hAnsi="宋体" w:cs="宋体"/>
                <w:sz w:val="24"/>
                <w:szCs w:val="24"/>
              </w:rPr>
              <w:t>完全接受并响应本项目磋商文件的要求。</w:t>
            </w:r>
          </w:p>
        </w:tc>
      </w:tr>
    </w:tbl>
    <w:p>
      <w:pPr>
        <w:pStyle w:val="50"/>
        <w:snapToGrid w:val="0"/>
        <w:ind w:firstLine="0" w:firstLineChars="0"/>
        <w:textAlignment w:val="baseline"/>
        <w:rPr>
          <w:szCs w:val="24"/>
        </w:rPr>
      </w:pPr>
    </w:p>
    <w:p>
      <w:pPr>
        <w:pStyle w:val="114"/>
        <w:snapToGrid w:val="0"/>
        <w:spacing w:line="360" w:lineRule="auto"/>
        <w:ind w:firstLine="241" w:firstLineChars="100"/>
        <w:textAlignment w:val="baseline"/>
        <w:rPr>
          <w:rFonts w:hint="eastAsia" w:ascii="Times New Roman" w:hAnsi="宋体"/>
          <w:b/>
          <w:sz w:val="24"/>
        </w:rPr>
      </w:pPr>
      <w:r>
        <w:rPr>
          <w:rFonts w:hint="eastAsia" w:ascii="Times New Roman" w:hAnsi="宋体"/>
          <w:b/>
          <w:sz w:val="24"/>
        </w:rPr>
        <w:t>注：1、最终总价报价将在磋商现场填写，响应文件密封提交时只需填写首次磋商总价报价。</w:t>
      </w:r>
    </w:p>
    <w:p>
      <w:pPr>
        <w:pStyle w:val="114"/>
        <w:snapToGrid w:val="0"/>
        <w:spacing w:line="360" w:lineRule="auto"/>
        <w:ind w:firstLine="482" w:firstLineChars="200"/>
        <w:textAlignment w:val="baseline"/>
        <w:rPr>
          <w:rFonts w:ascii="Times New Roman" w:hAnsi="宋体"/>
          <w:b/>
          <w:sz w:val="24"/>
        </w:rPr>
      </w:pPr>
      <w:r>
        <w:rPr>
          <w:rFonts w:hint="eastAsia" w:ascii="Times New Roman" w:hAnsi="宋体"/>
          <w:b/>
          <w:sz w:val="24"/>
        </w:rPr>
        <w:t>2、本表式不得自行改动。</w:t>
      </w:r>
    </w:p>
    <w:p>
      <w:pPr>
        <w:snapToGrid w:val="0"/>
        <w:spacing w:line="360" w:lineRule="auto"/>
        <w:ind w:firstLine="482" w:firstLineChars="200"/>
        <w:outlineLvl w:val="1"/>
      </w:pPr>
      <w:r>
        <w:rPr>
          <w:rFonts w:hint="eastAsia" w:hAnsi="宋体" w:cs="宋体"/>
          <w:b/>
          <w:sz w:val="24"/>
        </w:rPr>
        <w:t>3</w:t>
      </w:r>
      <w:r>
        <w:rPr>
          <w:rFonts w:hint="eastAsia" w:ascii="宋体" w:hAnsi="宋体" w:cs="宋体"/>
          <w:b/>
          <w:bCs/>
          <w:sz w:val="24"/>
          <w:szCs w:val="24"/>
        </w:rPr>
        <w:t>、磋商报价（以人民币计价</w:t>
      </w:r>
      <w:r>
        <w:rPr>
          <w:rFonts w:hint="eastAsia" w:ascii="宋体" w:hAnsi="宋体" w:cs="宋体"/>
          <w:b/>
          <w:bCs/>
          <w:color w:val="auto"/>
          <w:sz w:val="24"/>
          <w:szCs w:val="24"/>
        </w:rPr>
        <w:t>）应包括但不限于所有与本项目实施有关的所有费用包括：材料费（涉及到电梯维保的所有配件）、设备费、设备维修或更换费、上门服务费（含业主临时或应急要求）、人员工资（含保险费）、管理费、利润、税金、政策性文件规定及为达到采购人要求所包含的所有风险、责任等各项费用。但不包括</w:t>
      </w:r>
      <w:r>
        <w:rPr>
          <w:rFonts w:hint="eastAsia" w:ascii="宋体" w:hAnsi="宋体" w:cs="宋体"/>
          <w:b/>
          <w:bCs/>
          <w:color w:val="auto"/>
          <w:sz w:val="24"/>
          <w:szCs w:val="24"/>
          <w:lang w:eastAsia="zh-CN"/>
        </w:rPr>
        <w:t>：</w:t>
      </w:r>
      <w:r>
        <w:rPr>
          <w:rFonts w:hint="eastAsia" w:ascii="宋体" w:hAnsi="宋体" w:cs="宋体"/>
          <w:b/>
          <w:bCs/>
          <w:color w:val="auto"/>
          <w:sz w:val="24"/>
          <w:szCs w:val="24"/>
        </w:rPr>
        <w:t>国家新规定的为电梯进行改造、重大维修工作所需要的材料和人工费用</w:t>
      </w:r>
      <w:r>
        <w:rPr>
          <w:rFonts w:hint="eastAsia" w:ascii="宋体" w:hAnsi="宋体" w:cs="宋体"/>
          <w:b/>
          <w:bCs/>
          <w:color w:val="auto"/>
          <w:sz w:val="24"/>
          <w:szCs w:val="24"/>
          <w:lang w:eastAsia="zh-CN"/>
        </w:rPr>
        <w:t>以及</w:t>
      </w:r>
      <w:r>
        <w:rPr>
          <w:rFonts w:hint="eastAsia" w:ascii="宋体" w:hAnsi="宋体" w:cs="宋体"/>
          <w:b/>
          <w:bCs/>
          <w:color w:val="auto"/>
          <w:sz w:val="24"/>
          <w:szCs w:val="24"/>
        </w:rPr>
        <w:t>国家特种设备检验机构在电梯检验时的相关配合费用和年检费。</w:t>
      </w:r>
    </w:p>
    <w:p>
      <w:pPr>
        <w:snapToGrid w:val="0"/>
        <w:spacing w:line="360" w:lineRule="auto"/>
        <w:ind w:right="79"/>
        <w:textAlignment w:val="baseline"/>
        <w:rPr>
          <w:rFonts w:ascii="宋体" w:hAnsi="宋体" w:cs="宋体"/>
          <w:color w:val="000000"/>
          <w:sz w:val="24"/>
          <w:szCs w:val="24"/>
        </w:rPr>
      </w:pPr>
      <w:r>
        <w:rPr>
          <w:rFonts w:hint="eastAsia" w:ascii="宋体" w:hAnsi="宋体" w:cs="宋体"/>
          <w:sz w:val="24"/>
          <w:szCs w:val="24"/>
        </w:rPr>
        <w:t>竞争性磋商响应供应商：（单位盖章）</w:t>
      </w:r>
    </w:p>
    <w:p>
      <w:pPr>
        <w:pStyle w:val="114"/>
        <w:tabs>
          <w:tab w:val="left" w:pos="5665"/>
          <w:tab w:val="right" w:pos="8360"/>
        </w:tabs>
        <w:snapToGrid w:val="0"/>
        <w:spacing w:line="360" w:lineRule="auto"/>
        <w:ind w:right="42"/>
        <w:textAlignment w:val="baseline"/>
        <w:rPr>
          <w:rFonts w:hAnsi="宋体"/>
          <w:sz w:val="24"/>
          <w:u w:val="single"/>
        </w:rPr>
      </w:pPr>
      <w:r>
        <w:rPr>
          <w:rFonts w:hint="eastAsia" w:hAnsi="宋体"/>
          <w:sz w:val="24"/>
        </w:rPr>
        <w:t>法定代表人或</w:t>
      </w:r>
      <w:r>
        <w:rPr>
          <w:rFonts w:hint="eastAsia" w:hAnsi="宋体" w:cs="仿宋_GB2312"/>
          <w:sz w:val="24"/>
        </w:rPr>
        <w:t>被授权人（签字或盖章）</w:t>
      </w:r>
      <w:r>
        <w:rPr>
          <w:rFonts w:hint="eastAsia" w:hAnsi="宋体"/>
          <w:sz w:val="24"/>
        </w:rPr>
        <w:t>：</w:t>
      </w:r>
    </w:p>
    <w:p>
      <w:pPr>
        <w:pStyle w:val="114"/>
        <w:tabs>
          <w:tab w:val="left" w:pos="5665"/>
          <w:tab w:val="right" w:pos="8360"/>
        </w:tabs>
        <w:snapToGrid w:val="0"/>
        <w:spacing w:line="360" w:lineRule="auto"/>
        <w:ind w:right="42"/>
        <w:textAlignment w:val="baseline"/>
        <w:rPr>
          <w:rFonts w:hint="eastAsia" w:hAnsi="宋体"/>
          <w:color w:val="000000"/>
          <w:sz w:val="24"/>
          <w:lang w:val="zh-CN"/>
        </w:rPr>
      </w:pPr>
      <w:r>
        <w:rPr>
          <w:rFonts w:hint="eastAsia" w:hAnsi="宋体"/>
          <w:color w:val="000000"/>
          <w:sz w:val="24"/>
          <w:lang w:val="zh-CN"/>
        </w:rPr>
        <w:t>日期：</w:t>
      </w:r>
      <w:r>
        <w:rPr>
          <w:rFonts w:hint="eastAsia"/>
          <w:color w:val="000000"/>
          <w:sz w:val="24"/>
        </w:rPr>
        <w:t xml:space="preserve">  </w:t>
      </w:r>
      <w:r>
        <w:rPr>
          <w:rFonts w:hint="eastAsia" w:hAnsi="宋体"/>
          <w:color w:val="000000"/>
          <w:sz w:val="24"/>
          <w:lang w:val="zh-CN"/>
        </w:rPr>
        <w:t>年</w:t>
      </w:r>
      <w:r>
        <w:rPr>
          <w:rFonts w:hint="eastAsia"/>
          <w:color w:val="000000"/>
          <w:sz w:val="24"/>
        </w:rPr>
        <w:t xml:space="preserve">   </w:t>
      </w:r>
      <w:r>
        <w:rPr>
          <w:rFonts w:hint="eastAsia" w:hAnsi="宋体"/>
          <w:color w:val="000000"/>
          <w:sz w:val="24"/>
          <w:lang w:val="zh-CN"/>
        </w:rPr>
        <w:t>月</w:t>
      </w:r>
      <w:r>
        <w:rPr>
          <w:rFonts w:hint="eastAsia"/>
          <w:color w:val="000000"/>
          <w:sz w:val="24"/>
        </w:rPr>
        <w:t xml:space="preserve">   </w:t>
      </w:r>
      <w:r>
        <w:rPr>
          <w:rFonts w:hint="eastAsia" w:hAnsi="宋体"/>
          <w:color w:val="000000"/>
          <w:sz w:val="24"/>
          <w:lang w:val="zh-CN"/>
        </w:rPr>
        <w:t>日</w:t>
      </w:r>
    </w:p>
    <w:p>
      <w:pPr>
        <w:snapToGrid w:val="0"/>
        <w:spacing w:line="420" w:lineRule="exact"/>
        <w:textAlignment w:val="baseline"/>
        <w:rPr>
          <w:sz w:val="20"/>
        </w:rPr>
      </w:pPr>
    </w:p>
    <w:p>
      <w:pPr>
        <w:snapToGrid w:val="0"/>
        <w:spacing w:line="420" w:lineRule="exact"/>
        <w:jc w:val="center"/>
        <w:textAlignment w:val="baseline"/>
        <w:rPr>
          <w:b/>
          <w:bCs/>
        </w:rPr>
      </w:pPr>
      <w:r>
        <w:rPr>
          <w:b/>
          <w:bCs/>
        </w:rPr>
        <w:t>……</w:t>
      </w:r>
      <w:r>
        <w:rPr>
          <w:rFonts w:hint="eastAsia" w:cs="宋体"/>
          <w:b/>
          <w:bCs/>
        </w:rPr>
        <w:t>全文结束</w:t>
      </w:r>
      <w:r>
        <w:rPr>
          <w:b/>
          <w:bCs/>
        </w:rPr>
        <w:t>……</w:t>
      </w:r>
    </w:p>
    <w:p>
      <w:pPr>
        <w:pStyle w:val="50"/>
        <w:rPr>
          <w:b/>
          <w:bCs/>
        </w:rPr>
      </w:pPr>
    </w:p>
    <w:p>
      <w:pPr>
        <w:pStyle w:val="50"/>
        <w:rPr>
          <w:b/>
          <w:bCs/>
        </w:rPr>
      </w:pPr>
    </w:p>
    <w:p>
      <w:pPr>
        <w:pStyle w:val="50"/>
        <w:ind w:left="0" w:leftChars="0" w:firstLine="0" w:firstLineChars="0"/>
        <w:rPr>
          <w:b/>
          <w:bCs/>
        </w:rPr>
      </w:pPr>
    </w:p>
    <w:sectPr>
      <w:pgSz w:w="11906" w:h="16838"/>
      <w:pgMar w:top="1440" w:right="1361" w:bottom="1440"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rebuchet MS">
    <w:panose1 w:val="020B0603020202020204"/>
    <w:charset w:val="00"/>
    <w:family w:val="swiss"/>
    <w:pitch w:val="default"/>
    <w:sig w:usb0="00000687" w:usb1="00000000" w:usb2="00000000" w:usb3="00000000" w:csb0="2000009F" w:csb1="00000000"/>
  </w:font>
  <w:font w:name="FuturaA Bk BT">
    <w:altName w:val="Arial"/>
    <w:panose1 w:val="00000000000000000000"/>
    <w:charset w:val="00"/>
    <w:family w:val="auto"/>
    <w:pitch w:val="default"/>
    <w:sig w:usb0="00000000" w:usb1="00000000" w:usb2="00000000" w:usb3="00000000" w:csb0="00000001" w:csb1="00000000"/>
  </w:font>
  <w:font w:name="Helvetica">
    <w:altName w:val="Arial"/>
    <w:panose1 w:val="020B0504020202030204"/>
    <w:charset w:val="00"/>
    <w:family w:val="swiss"/>
    <w:pitch w:val="default"/>
    <w:sig w:usb0="00000000" w:usb1="00000000" w:usb2="00000000" w:usb3="00000000" w:csb0="00000093"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pPr>
                            <w:pStyle w:val="30"/>
                            <w:jc w:val="center"/>
                          </w:pPr>
                          <w:r>
                            <w:rPr>
                              <w:b/>
                              <w:bCs/>
                            </w:rPr>
                            <w:fldChar w:fldCharType="begin"/>
                          </w:r>
                          <w:r>
                            <w:rPr>
                              <w:b/>
                              <w:bCs/>
                            </w:rPr>
                            <w:instrText xml:space="preserve">PAGE</w:instrText>
                          </w:r>
                          <w:r>
                            <w:rPr>
                              <w:b/>
                              <w:bCs/>
                            </w:rPr>
                            <w:fldChar w:fldCharType="separate"/>
                          </w:r>
                          <w:r>
                            <w:rPr>
                              <w:b/>
                              <w:bCs/>
                            </w:rPr>
                            <w:t>52</w:t>
                          </w:r>
                          <w:r>
                            <w:rPr>
                              <w:b/>
                              <w:bCs/>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qRS7NAAAAADAQAADwAAAAAAAAABACAAAAAiAAAAZHJzL2Rvd25yZXYueG1sUEsB&#10;AhQAFAAAAAgAh07iQI/QazL9AQAADwQAAA4AAAAAAAAAAQAgAAAAHwEAAGRycy9lMm9Eb2MueG1s&#10;UEsFBgAAAAAGAAYAWQEAAI4FAAAAAA==&#10;">
              <v:fill on="f" focussize="0,0"/>
              <v:stroke on="f"/>
              <v:imagedata o:title=""/>
              <o:lock v:ext="edit" aspectratio="f"/>
              <v:textbox inset="0mm,0mm,0mm,0mm" style="mso-fit-shape-to-text:t;">
                <w:txbxContent>
                  <w:p>
                    <w:pPr>
                      <w:pStyle w:val="30"/>
                      <w:jc w:val="center"/>
                    </w:pPr>
                    <w:r>
                      <w:rPr>
                        <w:b/>
                        <w:bCs/>
                      </w:rPr>
                      <w:fldChar w:fldCharType="begin"/>
                    </w:r>
                    <w:r>
                      <w:rPr>
                        <w:b/>
                        <w:bCs/>
                      </w:rPr>
                      <w:instrText xml:space="preserve">PAGE</w:instrText>
                    </w:r>
                    <w:r>
                      <w:rPr>
                        <w:b/>
                        <w:bCs/>
                      </w:rPr>
                      <w:fldChar w:fldCharType="separate"/>
                    </w:r>
                    <w:r>
                      <w:rPr>
                        <w:b/>
                        <w:bCs/>
                      </w:rPr>
                      <w:t>52</w:t>
                    </w:r>
                    <w:r>
                      <w:rPr>
                        <w:b/>
                        <w:bCs/>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300"/>
      </w:tabs>
      <w:snapToGrid w:val="0"/>
      <w:spacing w:line="300" w:lineRule="auto"/>
      <w:jc w:val="both"/>
    </w:pPr>
    <w:r>
      <w:rPr>
        <w:rFonts w:hint="eastAsia"/>
        <w:sz w:val="18"/>
        <w:szCs w:val="18"/>
        <w:u w:val="single"/>
        <w:lang w:eastAsia="zh-CN"/>
      </w:rPr>
      <w:t>南通市保安服务有限公司电梯维保服务项目</w:t>
    </w:r>
    <w:r>
      <w:rPr>
        <w:rFonts w:hint="eastAsia"/>
        <w:sz w:val="18"/>
        <w:szCs w:val="18"/>
        <w:u w:val="single"/>
      </w:rPr>
      <w:t xml:space="preserve">   </w:t>
    </w:r>
    <w:r>
      <w:rPr>
        <w:rFonts w:hint="eastAsia"/>
        <w:sz w:val="18"/>
        <w:szCs w:val="18"/>
        <w:u w:val="single"/>
        <w:lang w:val="zh-CN"/>
      </w:rPr>
      <w:t xml:space="preserve">             </w:t>
    </w:r>
    <w:r>
      <w:rPr>
        <w:rFonts w:hint="eastAsia"/>
        <w:sz w:val="18"/>
        <w:szCs w:val="18"/>
        <w:u w:val="single"/>
        <w:lang w:val="en-US" w:eastAsia="zh-CN"/>
      </w:rPr>
      <w:t xml:space="preserve">              </w:t>
    </w:r>
    <w:r>
      <w:rPr>
        <w:rFonts w:hint="eastAsia"/>
        <w:sz w:val="18"/>
        <w:szCs w:val="18"/>
        <w:u w:val="single"/>
        <w:lang w:val="zh-CN"/>
      </w:rPr>
      <w:t xml:space="preserve">     </w:t>
    </w:r>
    <w:r>
      <w:rPr>
        <w:rFonts w:hint="eastAsia"/>
        <w:sz w:val="18"/>
        <w:szCs w:val="18"/>
        <w:u w:val="single"/>
        <w:lang w:val="en-US" w:eastAsia="zh-CN"/>
      </w:rPr>
      <w:t xml:space="preserve">         </w:t>
    </w:r>
    <w:r>
      <w:rPr>
        <w:rFonts w:hint="eastAsia"/>
        <w:sz w:val="18"/>
        <w:szCs w:val="18"/>
        <w:u w:val="single"/>
        <w:lang w:val="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DB306"/>
    <w:multiLevelType w:val="singleLevel"/>
    <w:tmpl w:val="87CDB306"/>
    <w:lvl w:ilvl="0" w:tentative="0">
      <w:start w:val="1"/>
      <w:numFmt w:val="decimal"/>
      <w:suff w:val="nothing"/>
      <w:lvlText w:val="%1、"/>
      <w:lvlJc w:val="left"/>
    </w:lvl>
  </w:abstractNum>
  <w:abstractNum w:abstractNumId="1">
    <w:nsid w:val="F987E0F1"/>
    <w:multiLevelType w:val="singleLevel"/>
    <w:tmpl w:val="F987E0F1"/>
    <w:lvl w:ilvl="0" w:tentative="0">
      <w:start w:val="1"/>
      <w:numFmt w:val="decimal"/>
      <w:suff w:val="nothing"/>
      <w:lvlText w:val="%1、"/>
      <w:lvlJc w:val="left"/>
    </w:lvl>
  </w:abstractNum>
  <w:abstractNum w:abstractNumId="2">
    <w:nsid w:val="0000003D"/>
    <w:multiLevelType w:val="multilevel"/>
    <w:tmpl w:val="0000003D"/>
    <w:lvl w:ilvl="0" w:tentative="0">
      <w:start w:val="1"/>
      <w:numFmt w:val="chineseCountingThousand"/>
      <w:pStyle w:val="3"/>
      <w:lvlText w:val="第%1部分"/>
      <w:lvlJc w:val="left"/>
    </w:lvl>
    <w:lvl w:ilvl="1" w:tentative="0">
      <w:start w:val="1"/>
      <w:numFmt w:val="none"/>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3">
    <w:nsid w:val="1655D05D"/>
    <w:multiLevelType w:val="singleLevel"/>
    <w:tmpl w:val="1655D05D"/>
    <w:lvl w:ilvl="0" w:tentative="0">
      <w:start w:val="2"/>
      <w:numFmt w:val="decimal"/>
      <w:suff w:val="nothing"/>
      <w:lvlText w:val="%1、"/>
      <w:lvlJc w:val="left"/>
    </w:lvl>
  </w:abstractNum>
  <w:abstractNum w:abstractNumId="4">
    <w:nsid w:val="2C0DFDC2"/>
    <w:multiLevelType w:val="singleLevel"/>
    <w:tmpl w:val="2C0DFDC2"/>
    <w:lvl w:ilvl="0" w:tentative="0">
      <w:start w:val="1"/>
      <w:numFmt w:val="decimal"/>
      <w:suff w:val="nothing"/>
      <w:lvlText w:val="%1、"/>
      <w:lvlJc w:val="left"/>
    </w:lvl>
  </w:abstractNum>
  <w:abstractNum w:abstractNumId="5">
    <w:nsid w:val="358A0AB6"/>
    <w:multiLevelType w:val="singleLevel"/>
    <w:tmpl w:val="358A0AB6"/>
    <w:lvl w:ilvl="0" w:tentative="0">
      <w:start w:val="7"/>
      <w:numFmt w:val="chineseCounting"/>
      <w:suff w:val="nothing"/>
      <w:lvlText w:val="%1、"/>
      <w:lvlJc w:val="left"/>
      <w:rPr>
        <w:rFonts w:hint="eastAsia"/>
      </w:rPr>
    </w:lvl>
  </w:abstractNum>
  <w:abstractNum w:abstractNumId="6">
    <w:nsid w:val="5A0F3AED"/>
    <w:multiLevelType w:val="singleLevel"/>
    <w:tmpl w:val="5A0F3AED"/>
    <w:lvl w:ilvl="0" w:tentative="0">
      <w:start w:val="1"/>
      <w:numFmt w:val="decimal"/>
      <w:suff w:val="nothing"/>
      <w:lvlText w:val="%1、"/>
      <w:lvlJc w:val="left"/>
    </w:lvl>
  </w:abstractNum>
  <w:abstractNum w:abstractNumId="7">
    <w:nsid w:val="6F1A29ED"/>
    <w:multiLevelType w:val="singleLevel"/>
    <w:tmpl w:val="6F1A29ED"/>
    <w:lvl w:ilvl="0" w:tentative="0">
      <w:start w:val="1"/>
      <w:numFmt w:val="chineseCounting"/>
      <w:suff w:val="nothing"/>
      <w:lvlText w:val="%1、"/>
      <w:lvlJc w:val="left"/>
      <w:rPr>
        <w:rFonts w:hint="eastAsia"/>
      </w:rPr>
    </w:lvl>
  </w:abstractNum>
  <w:num w:numId="1">
    <w:abstractNumId w:val="2"/>
  </w:num>
  <w:num w:numId="2">
    <w:abstractNumId w:val="0"/>
  </w:num>
  <w:num w:numId="3">
    <w:abstractNumId w:val="5"/>
  </w:num>
  <w:num w:numId="4">
    <w:abstractNumId w:val="6"/>
  </w:num>
  <w:num w:numId="5">
    <w:abstractNumId w:val="4"/>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4"/>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xOTZiZTA5NGE2N2ZiZTY0YjVkMWYyZGIzNGU0MGIifQ=="/>
  </w:docVars>
  <w:rsids>
    <w:rsidRoot w:val="00172A27"/>
    <w:rsid w:val="000058C1"/>
    <w:rsid w:val="00005F7A"/>
    <w:rsid w:val="00007F59"/>
    <w:rsid w:val="0001029F"/>
    <w:rsid w:val="000102D4"/>
    <w:rsid w:val="00016294"/>
    <w:rsid w:val="00017BBF"/>
    <w:rsid w:val="00021EFF"/>
    <w:rsid w:val="00021FC4"/>
    <w:rsid w:val="0002291C"/>
    <w:rsid w:val="00023F8C"/>
    <w:rsid w:val="0002545F"/>
    <w:rsid w:val="00026B68"/>
    <w:rsid w:val="00027032"/>
    <w:rsid w:val="00034047"/>
    <w:rsid w:val="0003602F"/>
    <w:rsid w:val="000361E7"/>
    <w:rsid w:val="000378F2"/>
    <w:rsid w:val="00037B25"/>
    <w:rsid w:val="00037B3B"/>
    <w:rsid w:val="00037E69"/>
    <w:rsid w:val="0004431A"/>
    <w:rsid w:val="00047F32"/>
    <w:rsid w:val="00050BBD"/>
    <w:rsid w:val="00053A57"/>
    <w:rsid w:val="00054028"/>
    <w:rsid w:val="00056E5D"/>
    <w:rsid w:val="0005762B"/>
    <w:rsid w:val="000606F5"/>
    <w:rsid w:val="00061BB0"/>
    <w:rsid w:val="00062482"/>
    <w:rsid w:val="00063304"/>
    <w:rsid w:val="000643A3"/>
    <w:rsid w:val="000655FD"/>
    <w:rsid w:val="00065E68"/>
    <w:rsid w:val="00066618"/>
    <w:rsid w:val="00070B68"/>
    <w:rsid w:val="00071345"/>
    <w:rsid w:val="00071716"/>
    <w:rsid w:val="000725D4"/>
    <w:rsid w:val="00074921"/>
    <w:rsid w:val="00074B89"/>
    <w:rsid w:val="00075380"/>
    <w:rsid w:val="00083910"/>
    <w:rsid w:val="00083EDB"/>
    <w:rsid w:val="00084E31"/>
    <w:rsid w:val="000851B6"/>
    <w:rsid w:val="00085F8A"/>
    <w:rsid w:val="00090781"/>
    <w:rsid w:val="000908FA"/>
    <w:rsid w:val="000939C5"/>
    <w:rsid w:val="00094062"/>
    <w:rsid w:val="00094F40"/>
    <w:rsid w:val="000978C3"/>
    <w:rsid w:val="00097CA4"/>
    <w:rsid w:val="000A179B"/>
    <w:rsid w:val="000A2C95"/>
    <w:rsid w:val="000A2F79"/>
    <w:rsid w:val="000A5F25"/>
    <w:rsid w:val="000A60BD"/>
    <w:rsid w:val="000A710B"/>
    <w:rsid w:val="000A7F3B"/>
    <w:rsid w:val="000B2047"/>
    <w:rsid w:val="000B2801"/>
    <w:rsid w:val="000B38FB"/>
    <w:rsid w:val="000B4A07"/>
    <w:rsid w:val="000C38DC"/>
    <w:rsid w:val="000C3E5E"/>
    <w:rsid w:val="000C4679"/>
    <w:rsid w:val="000C544A"/>
    <w:rsid w:val="000D121D"/>
    <w:rsid w:val="000D204D"/>
    <w:rsid w:val="000D2C01"/>
    <w:rsid w:val="000D3847"/>
    <w:rsid w:val="000D3D00"/>
    <w:rsid w:val="000D4886"/>
    <w:rsid w:val="000D4C32"/>
    <w:rsid w:val="000D653D"/>
    <w:rsid w:val="000D694F"/>
    <w:rsid w:val="000D6E50"/>
    <w:rsid w:val="000E29DF"/>
    <w:rsid w:val="000E322F"/>
    <w:rsid w:val="000E3AAC"/>
    <w:rsid w:val="000E4F98"/>
    <w:rsid w:val="000E5934"/>
    <w:rsid w:val="000E66F3"/>
    <w:rsid w:val="000F5A0A"/>
    <w:rsid w:val="000F7BDB"/>
    <w:rsid w:val="000F7EEF"/>
    <w:rsid w:val="00100AF9"/>
    <w:rsid w:val="00100FE7"/>
    <w:rsid w:val="001020F7"/>
    <w:rsid w:val="00103D77"/>
    <w:rsid w:val="00105BBC"/>
    <w:rsid w:val="001062B6"/>
    <w:rsid w:val="001078E8"/>
    <w:rsid w:val="00110BA5"/>
    <w:rsid w:val="0011354B"/>
    <w:rsid w:val="0011396D"/>
    <w:rsid w:val="00113EAD"/>
    <w:rsid w:val="0011474C"/>
    <w:rsid w:val="00114ADB"/>
    <w:rsid w:val="00115200"/>
    <w:rsid w:val="00120CE9"/>
    <w:rsid w:val="00123BD5"/>
    <w:rsid w:val="00125073"/>
    <w:rsid w:val="001255B6"/>
    <w:rsid w:val="00127592"/>
    <w:rsid w:val="0013050F"/>
    <w:rsid w:val="0013239E"/>
    <w:rsid w:val="00132A4A"/>
    <w:rsid w:val="00133CBD"/>
    <w:rsid w:val="001350E0"/>
    <w:rsid w:val="00135173"/>
    <w:rsid w:val="00136FE5"/>
    <w:rsid w:val="001419C0"/>
    <w:rsid w:val="00141CE1"/>
    <w:rsid w:val="00141EA3"/>
    <w:rsid w:val="0014374E"/>
    <w:rsid w:val="00144A8C"/>
    <w:rsid w:val="001505CF"/>
    <w:rsid w:val="00150875"/>
    <w:rsid w:val="00150998"/>
    <w:rsid w:val="00150D75"/>
    <w:rsid w:val="001528E4"/>
    <w:rsid w:val="001533B2"/>
    <w:rsid w:val="00157327"/>
    <w:rsid w:val="001663EB"/>
    <w:rsid w:val="001711E5"/>
    <w:rsid w:val="00172A27"/>
    <w:rsid w:val="00173C54"/>
    <w:rsid w:val="001746FC"/>
    <w:rsid w:val="001750E5"/>
    <w:rsid w:val="00181ECB"/>
    <w:rsid w:val="0018394A"/>
    <w:rsid w:val="00184E4B"/>
    <w:rsid w:val="00186A58"/>
    <w:rsid w:val="001877EC"/>
    <w:rsid w:val="00192AB4"/>
    <w:rsid w:val="00196C27"/>
    <w:rsid w:val="0019750A"/>
    <w:rsid w:val="001976BE"/>
    <w:rsid w:val="001A0983"/>
    <w:rsid w:val="001A1F4A"/>
    <w:rsid w:val="001A22DA"/>
    <w:rsid w:val="001A2821"/>
    <w:rsid w:val="001A4B38"/>
    <w:rsid w:val="001B0894"/>
    <w:rsid w:val="001B271D"/>
    <w:rsid w:val="001B462C"/>
    <w:rsid w:val="001B4D1C"/>
    <w:rsid w:val="001B4E47"/>
    <w:rsid w:val="001B56E3"/>
    <w:rsid w:val="001B5775"/>
    <w:rsid w:val="001B6B02"/>
    <w:rsid w:val="001C2231"/>
    <w:rsid w:val="001C2640"/>
    <w:rsid w:val="001C2C85"/>
    <w:rsid w:val="001C5FBE"/>
    <w:rsid w:val="001C6469"/>
    <w:rsid w:val="001D0AEE"/>
    <w:rsid w:val="001D1803"/>
    <w:rsid w:val="001D1E4A"/>
    <w:rsid w:val="001D38F1"/>
    <w:rsid w:val="001D60DD"/>
    <w:rsid w:val="001E02D1"/>
    <w:rsid w:val="001E2FCD"/>
    <w:rsid w:val="001E3534"/>
    <w:rsid w:val="001E35F0"/>
    <w:rsid w:val="001E48AB"/>
    <w:rsid w:val="001E4B5A"/>
    <w:rsid w:val="001E4DE8"/>
    <w:rsid w:val="001E6317"/>
    <w:rsid w:val="001F4880"/>
    <w:rsid w:val="001F5A4B"/>
    <w:rsid w:val="001F650B"/>
    <w:rsid w:val="001F66A9"/>
    <w:rsid w:val="00200061"/>
    <w:rsid w:val="00201B85"/>
    <w:rsid w:val="002025A0"/>
    <w:rsid w:val="00206420"/>
    <w:rsid w:val="00206AF1"/>
    <w:rsid w:val="00207784"/>
    <w:rsid w:val="00207F85"/>
    <w:rsid w:val="00210BA8"/>
    <w:rsid w:val="00211E09"/>
    <w:rsid w:val="00211E0E"/>
    <w:rsid w:val="00223466"/>
    <w:rsid w:val="00224F5F"/>
    <w:rsid w:val="00225670"/>
    <w:rsid w:val="002257D7"/>
    <w:rsid w:val="00225DFC"/>
    <w:rsid w:val="00225FA1"/>
    <w:rsid w:val="00230037"/>
    <w:rsid w:val="00231148"/>
    <w:rsid w:val="002315E8"/>
    <w:rsid w:val="00232A32"/>
    <w:rsid w:val="00235015"/>
    <w:rsid w:val="0023505E"/>
    <w:rsid w:val="00235BFC"/>
    <w:rsid w:val="00236425"/>
    <w:rsid w:val="00237122"/>
    <w:rsid w:val="00240EF7"/>
    <w:rsid w:val="002416D0"/>
    <w:rsid w:val="0024174B"/>
    <w:rsid w:val="0024510C"/>
    <w:rsid w:val="002456F3"/>
    <w:rsid w:val="00245B72"/>
    <w:rsid w:val="002465F4"/>
    <w:rsid w:val="00247445"/>
    <w:rsid w:val="002476BA"/>
    <w:rsid w:val="002509ED"/>
    <w:rsid w:val="002512A5"/>
    <w:rsid w:val="00253F6B"/>
    <w:rsid w:val="00260193"/>
    <w:rsid w:val="00260CD4"/>
    <w:rsid w:val="0026106F"/>
    <w:rsid w:val="002611FD"/>
    <w:rsid w:val="00261261"/>
    <w:rsid w:val="00261BC6"/>
    <w:rsid w:val="00262F8E"/>
    <w:rsid w:val="00264685"/>
    <w:rsid w:val="002656FE"/>
    <w:rsid w:val="00265FBC"/>
    <w:rsid w:val="00266DB4"/>
    <w:rsid w:val="0026722D"/>
    <w:rsid w:val="00271E05"/>
    <w:rsid w:val="00271F9E"/>
    <w:rsid w:val="0027365F"/>
    <w:rsid w:val="002743B2"/>
    <w:rsid w:val="00275DE2"/>
    <w:rsid w:val="002764D7"/>
    <w:rsid w:val="002816D3"/>
    <w:rsid w:val="002818BB"/>
    <w:rsid w:val="00284DE4"/>
    <w:rsid w:val="00291332"/>
    <w:rsid w:val="00291680"/>
    <w:rsid w:val="00291738"/>
    <w:rsid w:val="002917E0"/>
    <w:rsid w:val="002939C3"/>
    <w:rsid w:val="00295637"/>
    <w:rsid w:val="00295FD1"/>
    <w:rsid w:val="0029796E"/>
    <w:rsid w:val="00297B18"/>
    <w:rsid w:val="002A09EE"/>
    <w:rsid w:val="002A1F8F"/>
    <w:rsid w:val="002A2D12"/>
    <w:rsid w:val="002A2F7D"/>
    <w:rsid w:val="002A5D2A"/>
    <w:rsid w:val="002A7980"/>
    <w:rsid w:val="002A7DFA"/>
    <w:rsid w:val="002B7251"/>
    <w:rsid w:val="002B77A5"/>
    <w:rsid w:val="002B7CFD"/>
    <w:rsid w:val="002C2290"/>
    <w:rsid w:val="002C3237"/>
    <w:rsid w:val="002C43C2"/>
    <w:rsid w:val="002C5470"/>
    <w:rsid w:val="002C71C8"/>
    <w:rsid w:val="002D5067"/>
    <w:rsid w:val="002D6BC6"/>
    <w:rsid w:val="002D7709"/>
    <w:rsid w:val="002D7C8B"/>
    <w:rsid w:val="002E0741"/>
    <w:rsid w:val="002E214B"/>
    <w:rsid w:val="002E385C"/>
    <w:rsid w:val="002E5876"/>
    <w:rsid w:val="002E5B21"/>
    <w:rsid w:val="002E62B0"/>
    <w:rsid w:val="002F04DA"/>
    <w:rsid w:val="002F2C1A"/>
    <w:rsid w:val="002F2F03"/>
    <w:rsid w:val="002F44CF"/>
    <w:rsid w:val="002F4912"/>
    <w:rsid w:val="002F677F"/>
    <w:rsid w:val="00301698"/>
    <w:rsid w:val="0030187C"/>
    <w:rsid w:val="00303A7A"/>
    <w:rsid w:val="00305B2D"/>
    <w:rsid w:val="0030602E"/>
    <w:rsid w:val="00307ADC"/>
    <w:rsid w:val="003101C1"/>
    <w:rsid w:val="0031212E"/>
    <w:rsid w:val="00314EA0"/>
    <w:rsid w:val="0031503B"/>
    <w:rsid w:val="003175A8"/>
    <w:rsid w:val="0032064F"/>
    <w:rsid w:val="00326242"/>
    <w:rsid w:val="003311BA"/>
    <w:rsid w:val="00331BE9"/>
    <w:rsid w:val="00332927"/>
    <w:rsid w:val="003333B8"/>
    <w:rsid w:val="003339B0"/>
    <w:rsid w:val="00335723"/>
    <w:rsid w:val="003358D8"/>
    <w:rsid w:val="00340EED"/>
    <w:rsid w:val="00342585"/>
    <w:rsid w:val="003428D6"/>
    <w:rsid w:val="00343431"/>
    <w:rsid w:val="00343F86"/>
    <w:rsid w:val="00346FA1"/>
    <w:rsid w:val="00347DEF"/>
    <w:rsid w:val="00350C1C"/>
    <w:rsid w:val="00354446"/>
    <w:rsid w:val="00355DBE"/>
    <w:rsid w:val="00356CA9"/>
    <w:rsid w:val="0036237A"/>
    <w:rsid w:val="003643E9"/>
    <w:rsid w:val="00365DFC"/>
    <w:rsid w:val="00370706"/>
    <w:rsid w:val="0037207C"/>
    <w:rsid w:val="003726F6"/>
    <w:rsid w:val="00372BAE"/>
    <w:rsid w:val="00372E97"/>
    <w:rsid w:val="003740F9"/>
    <w:rsid w:val="00374DDC"/>
    <w:rsid w:val="00375D3C"/>
    <w:rsid w:val="003817E3"/>
    <w:rsid w:val="00381EBE"/>
    <w:rsid w:val="0038506A"/>
    <w:rsid w:val="003858EF"/>
    <w:rsid w:val="0038623A"/>
    <w:rsid w:val="00393ABA"/>
    <w:rsid w:val="003943B9"/>
    <w:rsid w:val="00396574"/>
    <w:rsid w:val="003967B3"/>
    <w:rsid w:val="00397129"/>
    <w:rsid w:val="003975A5"/>
    <w:rsid w:val="0039790E"/>
    <w:rsid w:val="00397C9B"/>
    <w:rsid w:val="003A01C6"/>
    <w:rsid w:val="003A2F50"/>
    <w:rsid w:val="003A310E"/>
    <w:rsid w:val="003A3BAC"/>
    <w:rsid w:val="003A3F72"/>
    <w:rsid w:val="003A5164"/>
    <w:rsid w:val="003A5379"/>
    <w:rsid w:val="003A57BD"/>
    <w:rsid w:val="003A6093"/>
    <w:rsid w:val="003A7167"/>
    <w:rsid w:val="003B1882"/>
    <w:rsid w:val="003B3F27"/>
    <w:rsid w:val="003B481D"/>
    <w:rsid w:val="003B4B7F"/>
    <w:rsid w:val="003B5138"/>
    <w:rsid w:val="003C0241"/>
    <w:rsid w:val="003C286E"/>
    <w:rsid w:val="003D0A3A"/>
    <w:rsid w:val="003D233D"/>
    <w:rsid w:val="003D5966"/>
    <w:rsid w:val="003D6CB7"/>
    <w:rsid w:val="003D72A4"/>
    <w:rsid w:val="003D7545"/>
    <w:rsid w:val="003D77DF"/>
    <w:rsid w:val="003D78F0"/>
    <w:rsid w:val="003E5F57"/>
    <w:rsid w:val="003E6CA3"/>
    <w:rsid w:val="003E7713"/>
    <w:rsid w:val="003E7931"/>
    <w:rsid w:val="003F2753"/>
    <w:rsid w:val="003F3F9A"/>
    <w:rsid w:val="003F4B46"/>
    <w:rsid w:val="003F6F81"/>
    <w:rsid w:val="00401ABC"/>
    <w:rsid w:val="00402D58"/>
    <w:rsid w:val="00403824"/>
    <w:rsid w:val="004050BB"/>
    <w:rsid w:val="004059F8"/>
    <w:rsid w:val="004064B2"/>
    <w:rsid w:val="00407C91"/>
    <w:rsid w:val="00411773"/>
    <w:rsid w:val="0041332F"/>
    <w:rsid w:val="0041416B"/>
    <w:rsid w:val="004161DA"/>
    <w:rsid w:val="00416484"/>
    <w:rsid w:val="00417B98"/>
    <w:rsid w:val="00420773"/>
    <w:rsid w:val="00425FD6"/>
    <w:rsid w:val="00427606"/>
    <w:rsid w:val="004279C7"/>
    <w:rsid w:val="004305B4"/>
    <w:rsid w:val="004311B0"/>
    <w:rsid w:val="0043369C"/>
    <w:rsid w:val="00433D36"/>
    <w:rsid w:val="0043477C"/>
    <w:rsid w:val="00434B38"/>
    <w:rsid w:val="00434E35"/>
    <w:rsid w:val="00437A68"/>
    <w:rsid w:val="00437C76"/>
    <w:rsid w:val="00441019"/>
    <w:rsid w:val="004425EF"/>
    <w:rsid w:val="00442B6C"/>
    <w:rsid w:val="004443DA"/>
    <w:rsid w:val="00447051"/>
    <w:rsid w:val="00447C56"/>
    <w:rsid w:val="00451E6C"/>
    <w:rsid w:val="00453C4A"/>
    <w:rsid w:val="00453E65"/>
    <w:rsid w:val="004561B2"/>
    <w:rsid w:val="00456CBC"/>
    <w:rsid w:val="0045785B"/>
    <w:rsid w:val="00460058"/>
    <w:rsid w:val="004623F7"/>
    <w:rsid w:val="0046356E"/>
    <w:rsid w:val="0046763F"/>
    <w:rsid w:val="00470C4C"/>
    <w:rsid w:val="0047155C"/>
    <w:rsid w:val="004719DC"/>
    <w:rsid w:val="004721E5"/>
    <w:rsid w:val="0047357C"/>
    <w:rsid w:val="00474A51"/>
    <w:rsid w:val="00481451"/>
    <w:rsid w:val="0048159E"/>
    <w:rsid w:val="004817C2"/>
    <w:rsid w:val="004817D8"/>
    <w:rsid w:val="004819B3"/>
    <w:rsid w:val="004820DF"/>
    <w:rsid w:val="00482A61"/>
    <w:rsid w:val="004851C2"/>
    <w:rsid w:val="004861CE"/>
    <w:rsid w:val="00487729"/>
    <w:rsid w:val="00490AC6"/>
    <w:rsid w:val="004910F0"/>
    <w:rsid w:val="00491943"/>
    <w:rsid w:val="00493E82"/>
    <w:rsid w:val="00494EEB"/>
    <w:rsid w:val="00496D73"/>
    <w:rsid w:val="004A24EE"/>
    <w:rsid w:val="004A377D"/>
    <w:rsid w:val="004A405A"/>
    <w:rsid w:val="004A4129"/>
    <w:rsid w:val="004A557D"/>
    <w:rsid w:val="004A56DD"/>
    <w:rsid w:val="004A570B"/>
    <w:rsid w:val="004A5934"/>
    <w:rsid w:val="004A7F32"/>
    <w:rsid w:val="004B1233"/>
    <w:rsid w:val="004B208A"/>
    <w:rsid w:val="004B2149"/>
    <w:rsid w:val="004B2D8C"/>
    <w:rsid w:val="004B67DE"/>
    <w:rsid w:val="004B72C5"/>
    <w:rsid w:val="004B7D94"/>
    <w:rsid w:val="004C03FF"/>
    <w:rsid w:val="004C05C3"/>
    <w:rsid w:val="004C06BA"/>
    <w:rsid w:val="004C2A62"/>
    <w:rsid w:val="004C420A"/>
    <w:rsid w:val="004C434E"/>
    <w:rsid w:val="004C7A0F"/>
    <w:rsid w:val="004D00F8"/>
    <w:rsid w:val="004D097D"/>
    <w:rsid w:val="004D110E"/>
    <w:rsid w:val="004D18A5"/>
    <w:rsid w:val="004D319A"/>
    <w:rsid w:val="004D3EA6"/>
    <w:rsid w:val="004D6FC7"/>
    <w:rsid w:val="004E523D"/>
    <w:rsid w:val="004E655A"/>
    <w:rsid w:val="004E704E"/>
    <w:rsid w:val="004F364D"/>
    <w:rsid w:val="004F534F"/>
    <w:rsid w:val="004F6D64"/>
    <w:rsid w:val="004F764E"/>
    <w:rsid w:val="004F7AFA"/>
    <w:rsid w:val="0050346C"/>
    <w:rsid w:val="0050399B"/>
    <w:rsid w:val="00503EBC"/>
    <w:rsid w:val="00503F21"/>
    <w:rsid w:val="00504311"/>
    <w:rsid w:val="00507F2E"/>
    <w:rsid w:val="00510574"/>
    <w:rsid w:val="00510919"/>
    <w:rsid w:val="005121CA"/>
    <w:rsid w:val="005129D6"/>
    <w:rsid w:val="00513F04"/>
    <w:rsid w:val="00514F19"/>
    <w:rsid w:val="00515933"/>
    <w:rsid w:val="005164FD"/>
    <w:rsid w:val="0051662D"/>
    <w:rsid w:val="005167BA"/>
    <w:rsid w:val="005177C6"/>
    <w:rsid w:val="005212FD"/>
    <w:rsid w:val="00522C17"/>
    <w:rsid w:val="00524448"/>
    <w:rsid w:val="00524AD2"/>
    <w:rsid w:val="005253B2"/>
    <w:rsid w:val="005255C4"/>
    <w:rsid w:val="00526435"/>
    <w:rsid w:val="005277CA"/>
    <w:rsid w:val="005300E8"/>
    <w:rsid w:val="00531B46"/>
    <w:rsid w:val="00531DCB"/>
    <w:rsid w:val="00532531"/>
    <w:rsid w:val="00532C54"/>
    <w:rsid w:val="00532D38"/>
    <w:rsid w:val="005333A1"/>
    <w:rsid w:val="00534718"/>
    <w:rsid w:val="0053747E"/>
    <w:rsid w:val="0053785D"/>
    <w:rsid w:val="00537AF6"/>
    <w:rsid w:val="00537DF0"/>
    <w:rsid w:val="00540647"/>
    <w:rsid w:val="00540E45"/>
    <w:rsid w:val="005413C8"/>
    <w:rsid w:val="00542C5D"/>
    <w:rsid w:val="00547813"/>
    <w:rsid w:val="005478BE"/>
    <w:rsid w:val="00550396"/>
    <w:rsid w:val="005506EF"/>
    <w:rsid w:val="00550E44"/>
    <w:rsid w:val="0055181C"/>
    <w:rsid w:val="00551D57"/>
    <w:rsid w:val="005520FF"/>
    <w:rsid w:val="005542D7"/>
    <w:rsid w:val="00555558"/>
    <w:rsid w:val="00556AF7"/>
    <w:rsid w:val="00560E05"/>
    <w:rsid w:val="00562961"/>
    <w:rsid w:val="0056421D"/>
    <w:rsid w:val="00564709"/>
    <w:rsid w:val="00565450"/>
    <w:rsid w:val="00565752"/>
    <w:rsid w:val="005658DD"/>
    <w:rsid w:val="00567762"/>
    <w:rsid w:val="0057032F"/>
    <w:rsid w:val="00570C05"/>
    <w:rsid w:val="00571718"/>
    <w:rsid w:val="00571BB6"/>
    <w:rsid w:val="00573D1A"/>
    <w:rsid w:val="00573FDD"/>
    <w:rsid w:val="00574C7B"/>
    <w:rsid w:val="0057597A"/>
    <w:rsid w:val="00575CC1"/>
    <w:rsid w:val="00575F45"/>
    <w:rsid w:val="00576BA1"/>
    <w:rsid w:val="005804A2"/>
    <w:rsid w:val="00580A48"/>
    <w:rsid w:val="005823FB"/>
    <w:rsid w:val="00582534"/>
    <w:rsid w:val="005841BC"/>
    <w:rsid w:val="005843B8"/>
    <w:rsid w:val="00584C69"/>
    <w:rsid w:val="00585154"/>
    <w:rsid w:val="00591060"/>
    <w:rsid w:val="00593169"/>
    <w:rsid w:val="0059320F"/>
    <w:rsid w:val="0059390D"/>
    <w:rsid w:val="00594010"/>
    <w:rsid w:val="00594BBE"/>
    <w:rsid w:val="005955DC"/>
    <w:rsid w:val="00595FA9"/>
    <w:rsid w:val="005972C3"/>
    <w:rsid w:val="005A313F"/>
    <w:rsid w:val="005A4119"/>
    <w:rsid w:val="005A4DA2"/>
    <w:rsid w:val="005A52A9"/>
    <w:rsid w:val="005A673F"/>
    <w:rsid w:val="005A68E8"/>
    <w:rsid w:val="005B1057"/>
    <w:rsid w:val="005B21DF"/>
    <w:rsid w:val="005B308C"/>
    <w:rsid w:val="005B6B68"/>
    <w:rsid w:val="005C0614"/>
    <w:rsid w:val="005C0967"/>
    <w:rsid w:val="005C176A"/>
    <w:rsid w:val="005C29BD"/>
    <w:rsid w:val="005C2B69"/>
    <w:rsid w:val="005D0590"/>
    <w:rsid w:val="005D2DA5"/>
    <w:rsid w:val="005D4622"/>
    <w:rsid w:val="005D60C9"/>
    <w:rsid w:val="005D7453"/>
    <w:rsid w:val="005D7943"/>
    <w:rsid w:val="005E087B"/>
    <w:rsid w:val="005E110C"/>
    <w:rsid w:val="005E5586"/>
    <w:rsid w:val="005E5EDB"/>
    <w:rsid w:val="005E70E4"/>
    <w:rsid w:val="005E7AE6"/>
    <w:rsid w:val="005F44E9"/>
    <w:rsid w:val="005F6563"/>
    <w:rsid w:val="00600D08"/>
    <w:rsid w:val="00602F00"/>
    <w:rsid w:val="00603887"/>
    <w:rsid w:val="006045E6"/>
    <w:rsid w:val="0060566C"/>
    <w:rsid w:val="00605AB6"/>
    <w:rsid w:val="00607B9A"/>
    <w:rsid w:val="00612E25"/>
    <w:rsid w:val="00622E32"/>
    <w:rsid w:val="006231DE"/>
    <w:rsid w:val="00624133"/>
    <w:rsid w:val="00624E4B"/>
    <w:rsid w:val="00626C16"/>
    <w:rsid w:val="00626D07"/>
    <w:rsid w:val="00627EC6"/>
    <w:rsid w:val="00630B33"/>
    <w:rsid w:val="0063335E"/>
    <w:rsid w:val="00634CFE"/>
    <w:rsid w:val="00635629"/>
    <w:rsid w:val="00636370"/>
    <w:rsid w:val="00636961"/>
    <w:rsid w:val="0064036E"/>
    <w:rsid w:val="00640665"/>
    <w:rsid w:val="0064286B"/>
    <w:rsid w:val="00644F94"/>
    <w:rsid w:val="0065025F"/>
    <w:rsid w:val="0065063B"/>
    <w:rsid w:val="0065066E"/>
    <w:rsid w:val="006532BB"/>
    <w:rsid w:val="006533D1"/>
    <w:rsid w:val="00654A54"/>
    <w:rsid w:val="00662095"/>
    <w:rsid w:val="00662669"/>
    <w:rsid w:val="00662D7B"/>
    <w:rsid w:val="0066442C"/>
    <w:rsid w:val="00665BE5"/>
    <w:rsid w:val="006724B4"/>
    <w:rsid w:val="00674238"/>
    <w:rsid w:val="00680C22"/>
    <w:rsid w:val="00681F0C"/>
    <w:rsid w:val="0068216A"/>
    <w:rsid w:val="0068305C"/>
    <w:rsid w:val="00683FC9"/>
    <w:rsid w:val="006857B3"/>
    <w:rsid w:val="00685908"/>
    <w:rsid w:val="006859E8"/>
    <w:rsid w:val="00685AC6"/>
    <w:rsid w:val="00685DB2"/>
    <w:rsid w:val="006869E9"/>
    <w:rsid w:val="0069031B"/>
    <w:rsid w:val="00691A51"/>
    <w:rsid w:val="00695F5C"/>
    <w:rsid w:val="00696012"/>
    <w:rsid w:val="00697637"/>
    <w:rsid w:val="00697667"/>
    <w:rsid w:val="006A01B3"/>
    <w:rsid w:val="006A2399"/>
    <w:rsid w:val="006A2DE9"/>
    <w:rsid w:val="006A3276"/>
    <w:rsid w:val="006A3AC0"/>
    <w:rsid w:val="006A3E2B"/>
    <w:rsid w:val="006A454F"/>
    <w:rsid w:val="006A4FF1"/>
    <w:rsid w:val="006B137D"/>
    <w:rsid w:val="006B1AE8"/>
    <w:rsid w:val="006B4A1E"/>
    <w:rsid w:val="006B5A48"/>
    <w:rsid w:val="006B609D"/>
    <w:rsid w:val="006C0AE2"/>
    <w:rsid w:val="006C0D94"/>
    <w:rsid w:val="006C269E"/>
    <w:rsid w:val="006C2924"/>
    <w:rsid w:val="006C4232"/>
    <w:rsid w:val="006C43C0"/>
    <w:rsid w:val="006C5551"/>
    <w:rsid w:val="006C639C"/>
    <w:rsid w:val="006D22A5"/>
    <w:rsid w:val="006D2963"/>
    <w:rsid w:val="006D485E"/>
    <w:rsid w:val="006D4923"/>
    <w:rsid w:val="006D69F6"/>
    <w:rsid w:val="006E0C07"/>
    <w:rsid w:val="006E3C15"/>
    <w:rsid w:val="006E517B"/>
    <w:rsid w:val="006F005C"/>
    <w:rsid w:val="006F1BC8"/>
    <w:rsid w:val="006F2549"/>
    <w:rsid w:val="006F27A5"/>
    <w:rsid w:val="006F7D2C"/>
    <w:rsid w:val="00700877"/>
    <w:rsid w:val="00703DDF"/>
    <w:rsid w:val="00707649"/>
    <w:rsid w:val="00707BF4"/>
    <w:rsid w:val="00710FDC"/>
    <w:rsid w:val="00711087"/>
    <w:rsid w:val="00711337"/>
    <w:rsid w:val="00711C49"/>
    <w:rsid w:val="00714F75"/>
    <w:rsid w:val="00715679"/>
    <w:rsid w:val="00717AF1"/>
    <w:rsid w:val="00717BA7"/>
    <w:rsid w:val="007243DF"/>
    <w:rsid w:val="00724E58"/>
    <w:rsid w:val="0072557A"/>
    <w:rsid w:val="007256B6"/>
    <w:rsid w:val="00730BEA"/>
    <w:rsid w:val="0073114F"/>
    <w:rsid w:val="00731507"/>
    <w:rsid w:val="007319A3"/>
    <w:rsid w:val="0073343E"/>
    <w:rsid w:val="00733713"/>
    <w:rsid w:val="00734C41"/>
    <w:rsid w:val="00734D24"/>
    <w:rsid w:val="00737082"/>
    <w:rsid w:val="00743EF3"/>
    <w:rsid w:val="00751575"/>
    <w:rsid w:val="00752A41"/>
    <w:rsid w:val="00753B5F"/>
    <w:rsid w:val="00754434"/>
    <w:rsid w:val="00755BF0"/>
    <w:rsid w:val="00756C6B"/>
    <w:rsid w:val="0076084E"/>
    <w:rsid w:val="007633E9"/>
    <w:rsid w:val="00763D48"/>
    <w:rsid w:val="007643DF"/>
    <w:rsid w:val="007661C4"/>
    <w:rsid w:val="00766DBF"/>
    <w:rsid w:val="00770313"/>
    <w:rsid w:val="007707B5"/>
    <w:rsid w:val="0077231F"/>
    <w:rsid w:val="0077585D"/>
    <w:rsid w:val="007801C6"/>
    <w:rsid w:val="00780780"/>
    <w:rsid w:val="00780D8A"/>
    <w:rsid w:val="00782093"/>
    <w:rsid w:val="007869AB"/>
    <w:rsid w:val="00787753"/>
    <w:rsid w:val="00787FF9"/>
    <w:rsid w:val="0079111A"/>
    <w:rsid w:val="007912A4"/>
    <w:rsid w:val="00791918"/>
    <w:rsid w:val="00791ABB"/>
    <w:rsid w:val="00793083"/>
    <w:rsid w:val="00794363"/>
    <w:rsid w:val="00795CE4"/>
    <w:rsid w:val="00795E3E"/>
    <w:rsid w:val="007978F4"/>
    <w:rsid w:val="007A29CA"/>
    <w:rsid w:val="007A3F59"/>
    <w:rsid w:val="007A40A5"/>
    <w:rsid w:val="007A46CB"/>
    <w:rsid w:val="007A4F32"/>
    <w:rsid w:val="007A5123"/>
    <w:rsid w:val="007A57DE"/>
    <w:rsid w:val="007A775F"/>
    <w:rsid w:val="007B2832"/>
    <w:rsid w:val="007B3B39"/>
    <w:rsid w:val="007B52DA"/>
    <w:rsid w:val="007B606D"/>
    <w:rsid w:val="007C02C7"/>
    <w:rsid w:val="007C195A"/>
    <w:rsid w:val="007C49FB"/>
    <w:rsid w:val="007C7791"/>
    <w:rsid w:val="007D017C"/>
    <w:rsid w:val="007D096D"/>
    <w:rsid w:val="007D288E"/>
    <w:rsid w:val="007D5DD6"/>
    <w:rsid w:val="007D6568"/>
    <w:rsid w:val="007D7EAD"/>
    <w:rsid w:val="007E5AE8"/>
    <w:rsid w:val="007E673A"/>
    <w:rsid w:val="007F08B4"/>
    <w:rsid w:val="007F1936"/>
    <w:rsid w:val="007F392F"/>
    <w:rsid w:val="007F5837"/>
    <w:rsid w:val="007F5D32"/>
    <w:rsid w:val="007F621E"/>
    <w:rsid w:val="007F6B3A"/>
    <w:rsid w:val="007F7318"/>
    <w:rsid w:val="00801D3C"/>
    <w:rsid w:val="00803A51"/>
    <w:rsid w:val="00803D57"/>
    <w:rsid w:val="0080404F"/>
    <w:rsid w:val="00804207"/>
    <w:rsid w:val="0080429F"/>
    <w:rsid w:val="008063ED"/>
    <w:rsid w:val="00806DB3"/>
    <w:rsid w:val="008130C3"/>
    <w:rsid w:val="00813985"/>
    <w:rsid w:val="00815C6D"/>
    <w:rsid w:val="008163EB"/>
    <w:rsid w:val="008167B1"/>
    <w:rsid w:val="00821F15"/>
    <w:rsid w:val="00822664"/>
    <w:rsid w:val="00824DCB"/>
    <w:rsid w:val="0082509F"/>
    <w:rsid w:val="00826621"/>
    <w:rsid w:val="00826720"/>
    <w:rsid w:val="00830B70"/>
    <w:rsid w:val="00832A24"/>
    <w:rsid w:val="00833A03"/>
    <w:rsid w:val="00834A43"/>
    <w:rsid w:val="008364E9"/>
    <w:rsid w:val="0084159C"/>
    <w:rsid w:val="0084730D"/>
    <w:rsid w:val="00850986"/>
    <w:rsid w:val="00851D6F"/>
    <w:rsid w:val="00851DD2"/>
    <w:rsid w:val="00856C37"/>
    <w:rsid w:val="00857F09"/>
    <w:rsid w:val="008614A0"/>
    <w:rsid w:val="00861850"/>
    <w:rsid w:val="008619E5"/>
    <w:rsid w:val="00862702"/>
    <w:rsid w:val="008643F3"/>
    <w:rsid w:val="008673FE"/>
    <w:rsid w:val="00873C20"/>
    <w:rsid w:val="0087464C"/>
    <w:rsid w:val="00874679"/>
    <w:rsid w:val="008801A2"/>
    <w:rsid w:val="00881374"/>
    <w:rsid w:val="00881ADC"/>
    <w:rsid w:val="008836C9"/>
    <w:rsid w:val="00885115"/>
    <w:rsid w:val="00886A80"/>
    <w:rsid w:val="00886E32"/>
    <w:rsid w:val="0089233C"/>
    <w:rsid w:val="00896233"/>
    <w:rsid w:val="00896A6F"/>
    <w:rsid w:val="008A0162"/>
    <w:rsid w:val="008A12D0"/>
    <w:rsid w:val="008A1DDD"/>
    <w:rsid w:val="008A1F9B"/>
    <w:rsid w:val="008A33C9"/>
    <w:rsid w:val="008A34CC"/>
    <w:rsid w:val="008A5535"/>
    <w:rsid w:val="008A5FAC"/>
    <w:rsid w:val="008A671F"/>
    <w:rsid w:val="008A7716"/>
    <w:rsid w:val="008A77DF"/>
    <w:rsid w:val="008A7CCD"/>
    <w:rsid w:val="008B0042"/>
    <w:rsid w:val="008B196B"/>
    <w:rsid w:val="008B198C"/>
    <w:rsid w:val="008B51B0"/>
    <w:rsid w:val="008B5E27"/>
    <w:rsid w:val="008B6147"/>
    <w:rsid w:val="008C0A97"/>
    <w:rsid w:val="008C18A5"/>
    <w:rsid w:val="008C27C3"/>
    <w:rsid w:val="008C49C4"/>
    <w:rsid w:val="008C5022"/>
    <w:rsid w:val="008C5B13"/>
    <w:rsid w:val="008C69DF"/>
    <w:rsid w:val="008C69E4"/>
    <w:rsid w:val="008C6B0A"/>
    <w:rsid w:val="008C7DB1"/>
    <w:rsid w:val="008D1214"/>
    <w:rsid w:val="008D1A0F"/>
    <w:rsid w:val="008D2D0E"/>
    <w:rsid w:val="008D42AF"/>
    <w:rsid w:val="008D55AC"/>
    <w:rsid w:val="008D55D5"/>
    <w:rsid w:val="008D722A"/>
    <w:rsid w:val="008E0864"/>
    <w:rsid w:val="008E14D6"/>
    <w:rsid w:val="008E185D"/>
    <w:rsid w:val="008E3424"/>
    <w:rsid w:val="008E3EB1"/>
    <w:rsid w:val="008E41B2"/>
    <w:rsid w:val="008E6B35"/>
    <w:rsid w:val="008F2292"/>
    <w:rsid w:val="008F37FA"/>
    <w:rsid w:val="008F444E"/>
    <w:rsid w:val="008F44CB"/>
    <w:rsid w:val="008F45E4"/>
    <w:rsid w:val="008F4CB3"/>
    <w:rsid w:val="008F4EC0"/>
    <w:rsid w:val="008F7D03"/>
    <w:rsid w:val="00900E85"/>
    <w:rsid w:val="00901AFD"/>
    <w:rsid w:val="0090226B"/>
    <w:rsid w:val="00904DBC"/>
    <w:rsid w:val="0090587E"/>
    <w:rsid w:val="00905C6A"/>
    <w:rsid w:val="00905E0F"/>
    <w:rsid w:val="00907FB5"/>
    <w:rsid w:val="00907FE3"/>
    <w:rsid w:val="0091265E"/>
    <w:rsid w:val="009129B8"/>
    <w:rsid w:val="009142DA"/>
    <w:rsid w:val="00915AFC"/>
    <w:rsid w:val="00916BF2"/>
    <w:rsid w:val="0092106B"/>
    <w:rsid w:val="00922387"/>
    <w:rsid w:val="009230B6"/>
    <w:rsid w:val="00931165"/>
    <w:rsid w:val="009312EF"/>
    <w:rsid w:val="00931DD2"/>
    <w:rsid w:val="009343B3"/>
    <w:rsid w:val="00934E93"/>
    <w:rsid w:val="009350AF"/>
    <w:rsid w:val="009353D7"/>
    <w:rsid w:val="009401C4"/>
    <w:rsid w:val="009416CA"/>
    <w:rsid w:val="009433B0"/>
    <w:rsid w:val="00943CEB"/>
    <w:rsid w:val="00945049"/>
    <w:rsid w:val="00946634"/>
    <w:rsid w:val="00947DE2"/>
    <w:rsid w:val="009505B0"/>
    <w:rsid w:val="009533E2"/>
    <w:rsid w:val="00953469"/>
    <w:rsid w:val="00955ADB"/>
    <w:rsid w:val="00955B05"/>
    <w:rsid w:val="009601D2"/>
    <w:rsid w:val="00962E18"/>
    <w:rsid w:val="0096392C"/>
    <w:rsid w:val="00967D78"/>
    <w:rsid w:val="009710E0"/>
    <w:rsid w:val="009716AF"/>
    <w:rsid w:val="009722BC"/>
    <w:rsid w:val="0097298E"/>
    <w:rsid w:val="00974EFA"/>
    <w:rsid w:val="00975657"/>
    <w:rsid w:val="00983BA5"/>
    <w:rsid w:val="00984FCF"/>
    <w:rsid w:val="00985679"/>
    <w:rsid w:val="00985A89"/>
    <w:rsid w:val="00986B8F"/>
    <w:rsid w:val="00986BEA"/>
    <w:rsid w:val="00992988"/>
    <w:rsid w:val="00994A91"/>
    <w:rsid w:val="00995678"/>
    <w:rsid w:val="009A1807"/>
    <w:rsid w:val="009A28C8"/>
    <w:rsid w:val="009A30A5"/>
    <w:rsid w:val="009A3155"/>
    <w:rsid w:val="009A3F9E"/>
    <w:rsid w:val="009A43D8"/>
    <w:rsid w:val="009A52DD"/>
    <w:rsid w:val="009A5E11"/>
    <w:rsid w:val="009A6682"/>
    <w:rsid w:val="009A68FF"/>
    <w:rsid w:val="009B076B"/>
    <w:rsid w:val="009B097D"/>
    <w:rsid w:val="009B147A"/>
    <w:rsid w:val="009B38DD"/>
    <w:rsid w:val="009B40C7"/>
    <w:rsid w:val="009B4FA1"/>
    <w:rsid w:val="009B7D0F"/>
    <w:rsid w:val="009C1375"/>
    <w:rsid w:val="009C2BE5"/>
    <w:rsid w:val="009C3A3F"/>
    <w:rsid w:val="009C42DC"/>
    <w:rsid w:val="009C4FC2"/>
    <w:rsid w:val="009C67DC"/>
    <w:rsid w:val="009C77FF"/>
    <w:rsid w:val="009D003F"/>
    <w:rsid w:val="009D080A"/>
    <w:rsid w:val="009D3EB4"/>
    <w:rsid w:val="009D6D83"/>
    <w:rsid w:val="009D7486"/>
    <w:rsid w:val="009D7F7C"/>
    <w:rsid w:val="009E523B"/>
    <w:rsid w:val="009E52AF"/>
    <w:rsid w:val="009E5581"/>
    <w:rsid w:val="009E61A2"/>
    <w:rsid w:val="009E6908"/>
    <w:rsid w:val="009F2972"/>
    <w:rsid w:val="009F2FD8"/>
    <w:rsid w:val="009F30E6"/>
    <w:rsid w:val="009F6E7B"/>
    <w:rsid w:val="009F7311"/>
    <w:rsid w:val="00A0052B"/>
    <w:rsid w:val="00A02DBF"/>
    <w:rsid w:val="00A03A53"/>
    <w:rsid w:val="00A04558"/>
    <w:rsid w:val="00A06346"/>
    <w:rsid w:val="00A1005B"/>
    <w:rsid w:val="00A10C27"/>
    <w:rsid w:val="00A134DA"/>
    <w:rsid w:val="00A13F6A"/>
    <w:rsid w:val="00A1453E"/>
    <w:rsid w:val="00A171CD"/>
    <w:rsid w:val="00A17A38"/>
    <w:rsid w:val="00A17E64"/>
    <w:rsid w:val="00A20226"/>
    <w:rsid w:val="00A20F3F"/>
    <w:rsid w:val="00A21916"/>
    <w:rsid w:val="00A2234B"/>
    <w:rsid w:val="00A22747"/>
    <w:rsid w:val="00A23372"/>
    <w:rsid w:val="00A23B26"/>
    <w:rsid w:val="00A25ACA"/>
    <w:rsid w:val="00A30720"/>
    <w:rsid w:val="00A357CF"/>
    <w:rsid w:val="00A359A2"/>
    <w:rsid w:val="00A368BE"/>
    <w:rsid w:val="00A3754F"/>
    <w:rsid w:val="00A40656"/>
    <w:rsid w:val="00A42EAB"/>
    <w:rsid w:val="00A4335E"/>
    <w:rsid w:val="00A442F4"/>
    <w:rsid w:val="00A44F34"/>
    <w:rsid w:val="00A46D18"/>
    <w:rsid w:val="00A5270F"/>
    <w:rsid w:val="00A532DA"/>
    <w:rsid w:val="00A54344"/>
    <w:rsid w:val="00A6280D"/>
    <w:rsid w:val="00A63A3E"/>
    <w:rsid w:val="00A63CBA"/>
    <w:rsid w:val="00A642C4"/>
    <w:rsid w:val="00A6482D"/>
    <w:rsid w:val="00A652DA"/>
    <w:rsid w:val="00A66307"/>
    <w:rsid w:val="00A7282B"/>
    <w:rsid w:val="00A8000E"/>
    <w:rsid w:val="00A819CD"/>
    <w:rsid w:val="00A81B7C"/>
    <w:rsid w:val="00A825A6"/>
    <w:rsid w:val="00A82D72"/>
    <w:rsid w:val="00A84548"/>
    <w:rsid w:val="00A86365"/>
    <w:rsid w:val="00A86970"/>
    <w:rsid w:val="00A86FF6"/>
    <w:rsid w:val="00A9067B"/>
    <w:rsid w:val="00A9252B"/>
    <w:rsid w:val="00A92EBE"/>
    <w:rsid w:val="00A9516B"/>
    <w:rsid w:val="00A95AEB"/>
    <w:rsid w:val="00AA0F61"/>
    <w:rsid w:val="00AA2853"/>
    <w:rsid w:val="00AA36C7"/>
    <w:rsid w:val="00AA4459"/>
    <w:rsid w:val="00AA495E"/>
    <w:rsid w:val="00AA6934"/>
    <w:rsid w:val="00AA6E9D"/>
    <w:rsid w:val="00AA799C"/>
    <w:rsid w:val="00AA7BA4"/>
    <w:rsid w:val="00AB0C2C"/>
    <w:rsid w:val="00AB1078"/>
    <w:rsid w:val="00AB1346"/>
    <w:rsid w:val="00AB26DB"/>
    <w:rsid w:val="00AB3176"/>
    <w:rsid w:val="00AB46D4"/>
    <w:rsid w:val="00AB4A81"/>
    <w:rsid w:val="00AB4CFA"/>
    <w:rsid w:val="00AC4838"/>
    <w:rsid w:val="00AC572A"/>
    <w:rsid w:val="00AC5D56"/>
    <w:rsid w:val="00AC7340"/>
    <w:rsid w:val="00AD0813"/>
    <w:rsid w:val="00AD24EF"/>
    <w:rsid w:val="00AD2983"/>
    <w:rsid w:val="00AD5992"/>
    <w:rsid w:val="00AD5A93"/>
    <w:rsid w:val="00AE024C"/>
    <w:rsid w:val="00AE194F"/>
    <w:rsid w:val="00AE371D"/>
    <w:rsid w:val="00AE39AB"/>
    <w:rsid w:val="00AE584F"/>
    <w:rsid w:val="00AE63C3"/>
    <w:rsid w:val="00AE7CFC"/>
    <w:rsid w:val="00AF0490"/>
    <w:rsid w:val="00AF0BB9"/>
    <w:rsid w:val="00AF291F"/>
    <w:rsid w:val="00AF3CBB"/>
    <w:rsid w:val="00AF6489"/>
    <w:rsid w:val="00AF7A9F"/>
    <w:rsid w:val="00B01D34"/>
    <w:rsid w:val="00B01F7F"/>
    <w:rsid w:val="00B03609"/>
    <w:rsid w:val="00B03831"/>
    <w:rsid w:val="00B03DBB"/>
    <w:rsid w:val="00B04254"/>
    <w:rsid w:val="00B05449"/>
    <w:rsid w:val="00B05903"/>
    <w:rsid w:val="00B066F8"/>
    <w:rsid w:val="00B06E17"/>
    <w:rsid w:val="00B10648"/>
    <w:rsid w:val="00B110E8"/>
    <w:rsid w:val="00B15007"/>
    <w:rsid w:val="00B16D73"/>
    <w:rsid w:val="00B16DE7"/>
    <w:rsid w:val="00B179CD"/>
    <w:rsid w:val="00B225D7"/>
    <w:rsid w:val="00B23C0F"/>
    <w:rsid w:val="00B24177"/>
    <w:rsid w:val="00B30D05"/>
    <w:rsid w:val="00B30DFD"/>
    <w:rsid w:val="00B31253"/>
    <w:rsid w:val="00B327DB"/>
    <w:rsid w:val="00B357A3"/>
    <w:rsid w:val="00B37370"/>
    <w:rsid w:val="00B41871"/>
    <w:rsid w:val="00B4336F"/>
    <w:rsid w:val="00B4522D"/>
    <w:rsid w:val="00B4598F"/>
    <w:rsid w:val="00B46BF7"/>
    <w:rsid w:val="00B50E29"/>
    <w:rsid w:val="00B51E97"/>
    <w:rsid w:val="00B52CBD"/>
    <w:rsid w:val="00B5327F"/>
    <w:rsid w:val="00B534B4"/>
    <w:rsid w:val="00B565FE"/>
    <w:rsid w:val="00B57C66"/>
    <w:rsid w:val="00B60458"/>
    <w:rsid w:val="00B61DC3"/>
    <w:rsid w:val="00B633C4"/>
    <w:rsid w:val="00B67AEA"/>
    <w:rsid w:val="00B72C66"/>
    <w:rsid w:val="00B72CA2"/>
    <w:rsid w:val="00B73C62"/>
    <w:rsid w:val="00B83C32"/>
    <w:rsid w:val="00B85816"/>
    <w:rsid w:val="00B875C0"/>
    <w:rsid w:val="00B90075"/>
    <w:rsid w:val="00B902A6"/>
    <w:rsid w:val="00B90608"/>
    <w:rsid w:val="00B9166F"/>
    <w:rsid w:val="00B920AD"/>
    <w:rsid w:val="00B93E24"/>
    <w:rsid w:val="00B94C8E"/>
    <w:rsid w:val="00B9514C"/>
    <w:rsid w:val="00B966AC"/>
    <w:rsid w:val="00BA0A06"/>
    <w:rsid w:val="00BA1064"/>
    <w:rsid w:val="00BA485C"/>
    <w:rsid w:val="00BA48FC"/>
    <w:rsid w:val="00BA4C75"/>
    <w:rsid w:val="00BA6979"/>
    <w:rsid w:val="00BA7863"/>
    <w:rsid w:val="00BA790D"/>
    <w:rsid w:val="00BB14DC"/>
    <w:rsid w:val="00BB279B"/>
    <w:rsid w:val="00BB3D58"/>
    <w:rsid w:val="00BB4323"/>
    <w:rsid w:val="00BB452C"/>
    <w:rsid w:val="00BB4532"/>
    <w:rsid w:val="00BB4A21"/>
    <w:rsid w:val="00BB650B"/>
    <w:rsid w:val="00BB6BFB"/>
    <w:rsid w:val="00BC2785"/>
    <w:rsid w:val="00BC30DC"/>
    <w:rsid w:val="00BC4E9E"/>
    <w:rsid w:val="00BC58A4"/>
    <w:rsid w:val="00BC781E"/>
    <w:rsid w:val="00BD03E6"/>
    <w:rsid w:val="00BD148F"/>
    <w:rsid w:val="00BD1973"/>
    <w:rsid w:val="00BD358F"/>
    <w:rsid w:val="00BD4809"/>
    <w:rsid w:val="00BD5170"/>
    <w:rsid w:val="00BD5E5C"/>
    <w:rsid w:val="00BD5F32"/>
    <w:rsid w:val="00BD6416"/>
    <w:rsid w:val="00BD774B"/>
    <w:rsid w:val="00BE437C"/>
    <w:rsid w:val="00BE5949"/>
    <w:rsid w:val="00BF0241"/>
    <w:rsid w:val="00BF19DE"/>
    <w:rsid w:val="00BF3055"/>
    <w:rsid w:val="00BF3E3E"/>
    <w:rsid w:val="00C01D39"/>
    <w:rsid w:val="00C036C5"/>
    <w:rsid w:val="00C04346"/>
    <w:rsid w:val="00C047F4"/>
    <w:rsid w:val="00C04B21"/>
    <w:rsid w:val="00C04E5F"/>
    <w:rsid w:val="00C05C52"/>
    <w:rsid w:val="00C05E68"/>
    <w:rsid w:val="00C06C84"/>
    <w:rsid w:val="00C103CD"/>
    <w:rsid w:val="00C112DA"/>
    <w:rsid w:val="00C1253A"/>
    <w:rsid w:val="00C12544"/>
    <w:rsid w:val="00C12799"/>
    <w:rsid w:val="00C213E5"/>
    <w:rsid w:val="00C24F60"/>
    <w:rsid w:val="00C25C9B"/>
    <w:rsid w:val="00C261AB"/>
    <w:rsid w:val="00C32303"/>
    <w:rsid w:val="00C324B5"/>
    <w:rsid w:val="00C36220"/>
    <w:rsid w:val="00C362DF"/>
    <w:rsid w:val="00C375ED"/>
    <w:rsid w:val="00C37B1F"/>
    <w:rsid w:val="00C37F58"/>
    <w:rsid w:val="00C42BB6"/>
    <w:rsid w:val="00C42F14"/>
    <w:rsid w:val="00C44F26"/>
    <w:rsid w:val="00C5077E"/>
    <w:rsid w:val="00C52EF2"/>
    <w:rsid w:val="00C533E2"/>
    <w:rsid w:val="00C535AB"/>
    <w:rsid w:val="00C53722"/>
    <w:rsid w:val="00C537C1"/>
    <w:rsid w:val="00C53809"/>
    <w:rsid w:val="00C53B40"/>
    <w:rsid w:val="00C55493"/>
    <w:rsid w:val="00C57D30"/>
    <w:rsid w:val="00C601D5"/>
    <w:rsid w:val="00C60DC9"/>
    <w:rsid w:val="00C623F7"/>
    <w:rsid w:val="00C62AA6"/>
    <w:rsid w:val="00C63034"/>
    <w:rsid w:val="00C6413D"/>
    <w:rsid w:val="00C65706"/>
    <w:rsid w:val="00C65ACA"/>
    <w:rsid w:val="00C66C45"/>
    <w:rsid w:val="00C67F24"/>
    <w:rsid w:val="00C716A7"/>
    <w:rsid w:val="00C73097"/>
    <w:rsid w:val="00C73F67"/>
    <w:rsid w:val="00C750E2"/>
    <w:rsid w:val="00C75E74"/>
    <w:rsid w:val="00C775B9"/>
    <w:rsid w:val="00C77802"/>
    <w:rsid w:val="00C81801"/>
    <w:rsid w:val="00C81DB2"/>
    <w:rsid w:val="00C86011"/>
    <w:rsid w:val="00C8675F"/>
    <w:rsid w:val="00C914D4"/>
    <w:rsid w:val="00C91905"/>
    <w:rsid w:val="00C92B10"/>
    <w:rsid w:val="00C94322"/>
    <w:rsid w:val="00C94724"/>
    <w:rsid w:val="00C94C06"/>
    <w:rsid w:val="00C953DF"/>
    <w:rsid w:val="00C96214"/>
    <w:rsid w:val="00C966DF"/>
    <w:rsid w:val="00C97197"/>
    <w:rsid w:val="00C97E68"/>
    <w:rsid w:val="00CA19DF"/>
    <w:rsid w:val="00CA1CDE"/>
    <w:rsid w:val="00CA27FF"/>
    <w:rsid w:val="00CA3DB6"/>
    <w:rsid w:val="00CA478F"/>
    <w:rsid w:val="00CA56B5"/>
    <w:rsid w:val="00CA5DFF"/>
    <w:rsid w:val="00CA7956"/>
    <w:rsid w:val="00CB2444"/>
    <w:rsid w:val="00CB670E"/>
    <w:rsid w:val="00CB677B"/>
    <w:rsid w:val="00CB6E94"/>
    <w:rsid w:val="00CB74DE"/>
    <w:rsid w:val="00CB7E4B"/>
    <w:rsid w:val="00CC0D30"/>
    <w:rsid w:val="00CC22FF"/>
    <w:rsid w:val="00CC6901"/>
    <w:rsid w:val="00CC79BA"/>
    <w:rsid w:val="00CC7E4B"/>
    <w:rsid w:val="00CD078C"/>
    <w:rsid w:val="00CD27BA"/>
    <w:rsid w:val="00CD2C75"/>
    <w:rsid w:val="00CD5DE2"/>
    <w:rsid w:val="00CD6C97"/>
    <w:rsid w:val="00CD72D6"/>
    <w:rsid w:val="00CE37CD"/>
    <w:rsid w:val="00CE5DE5"/>
    <w:rsid w:val="00CE64D2"/>
    <w:rsid w:val="00CF055B"/>
    <w:rsid w:val="00CF2334"/>
    <w:rsid w:val="00CF2864"/>
    <w:rsid w:val="00CF3ACB"/>
    <w:rsid w:val="00CF4491"/>
    <w:rsid w:val="00CF53AC"/>
    <w:rsid w:val="00CF7598"/>
    <w:rsid w:val="00D01A91"/>
    <w:rsid w:val="00D0364B"/>
    <w:rsid w:val="00D062E0"/>
    <w:rsid w:val="00D06F21"/>
    <w:rsid w:val="00D11D6B"/>
    <w:rsid w:val="00D12B9D"/>
    <w:rsid w:val="00D135A1"/>
    <w:rsid w:val="00D14282"/>
    <w:rsid w:val="00D144D7"/>
    <w:rsid w:val="00D17755"/>
    <w:rsid w:val="00D21EB2"/>
    <w:rsid w:val="00D22B47"/>
    <w:rsid w:val="00D24484"/>
    <w:rsid w:val="00D253CD"/>
    <w:rsid w:val="00D27C1B"/>
    <w:rsid w:val="00D320AF"/>
    <w:rsid w:val="00D32226"/>
    <w:rsid w:val="00D3542F"/>
    <w:rsid w:val="00D354F3"/>
    <w:rsid w:val="00D37314"/>
    <w:rsid w:val="00D3784D"/>
    <w:rsid w:val="00D41B42"/>
    <w:rsid w:val="00D41C70"/>
    <w:rsid w:val="00D43F36"/>
    <w:rsid w:val="00D44FC8"/>
    <w:rsid w:val="00D45E87"/>
    <w:rsid w:val="00D469C2"/>
    <w:rsid w:val="00D46DD3"/>
    <w:rsid w:val="00D4720E"/>
    <w:rsid w:val="00D47AE1"/>
    <w:rsid w:val="00D50E93"/>
    <w:rsid w:val="00D52A5B"/>
    <w:rsid w:val="00D54746"/>
    <w:rsid w:val="00D54CBA"/>
    <w:rsid w:val="00D55B86"/>
    <w:rsid w:val="00D61BD2"/>
    <w:rsid w:val="00D63E6D"/>
    <w:rsid w:val="00D6701F"/>
    <w:rsid w:val="00D67E85"/>
    <w:rsid w:val="00D700E9"/>
    <w:rsid w:val="00D70C0A"/>
    <w:rsid w:val="00D70E57"/>
    <w:rsid w:val="00D72AC8"/>
    <w:rsid w:val="00D730B6"/>
    <w:rsid w:val="00D7524C"/>
    <w:rsid w:val="00D76BB6"/>
    <w:rsid w:val="00D76CF0"/>
    <w:rsid w:val="00D76F95"/>
    <w:rsid w:val="00D771EC"/>
    <w:rsid w:val="00D77551"/>
    <w:rsid w:val="00D80D27"/>
    <w:rsid w:val="00D81E4C"/>
    <w:rsid w:val="00D83FC4"/>
    <w:rsid w:val="00D845E8"/>
    <w:rsid w:val="00D870B0"/>
    <w:rsid w:val="00D879F7"/>
    <w:rsid w:val="00D87B3C"/>
    <w:rsid w:val="00D91AA6"/>
    <w:rsid w:val="00D9477B"/>
    <w:rsid w:val="00D94A98"/>
    <w:rsid w:val="00D97119"/>
    <w:rsid w:val="00D97D95"/>
    <w:rsid w:val="00DA2214"/>
    <w:rsid w:val="00DA7DD8"/>
    <w:rsid w:val="00DB118B"/>
    <w:rsid w:val="00DB1ADF"/>
    <w:rsid w:val="00DB201F"/>
    <w:rsid w:val="00DB5DB5"/>
    <w:rsid w:val="00DB5E21"/>
    <w:rsid w:val="00DB6033"/>
    <w:rsid w:val="00DB7AF2"/>
    <w:rsid w:val="00DC4490"/>
    <w:rsid w:val="00DC77BC"/>
    <w:rsid w:val="00DC7E3B"/>
    <w:rsid w:val="00DD0E99"/>
    <w:rsid w:val="00DD2172"/>
    <w:rsid w:val="00DD2A18"/>
    <w:rsid w:val="00DD4A5B"/>
    <w:rsid w:val="00DD67D4"/>
    <w:rsid w:val="00DD6EF5"/>
    <w:rsid w:val="00DE070C"/>
    <w:rsid w:val="00DE3B1D"/>
    <w:rsid w:val="00DE5AF6"/>
    <w:rsid w:val="00DE7267"/>
    <w:rsid w:val="00DF0ADB"/>
    <w:rsid w:val="00DF0FAE"/>
    <w:rsid w:val="00DF1835"/>
    <w:rsid w:val="00DF2C98"/>
    <w:rsid w:val="00DF55D2"/>
    <w:rsid w:val="00DF6B0D"/>
    <w:rsid w:val="00DF7641"/>
    <w:rsid w:val="00E00A36"/>
    <w:rsid w:val="00E030A0"/>
    <w:rsid w:val="00E04F8B"/>
    <w:rsid w:val="00E05C21"/>
    <w:rsid w:val="00E06889"/>
    <w:rsid w:val="00E0728A"/>
    <w:rsid w:val="00E076B0"/>
    <w:rsid w:val="00E07812"/>
    <w:rsid w:val="00E130A4"/>
    <w:rsid w:val="00E138DB"/>
    <w:rsid w:val="00E14859"/>
    <w:rsid w:val="00E164B1"/>
    <w:rsid w:val="00E16B3D"/>
    <w:rsid w:val="00E17513"/>
    <w:rsid w:val="00E176AA"/>
    <w:rsid w:val="00E20385"/>
    <w:rsid w:val="00E21738"/>
    <w:rsid w:val="00E25058"/>
    <w:rsid w:val="00E256F6"/>
    <w:rsid w:val="00E27CA3"/>
    <w:rsid w:val="00E314D7"/>
    <w:rsid w:val="00E32D29"/>
    <w:rsid w:val="00E34192"/>
    <w:rsid w:val="00E36E77"/>
    <w:rsid w:val="00E37062"/>
    <w:rsid w:val="00E4046A"/>
    <w:rsid w:val="00E41148"/>
    <w:rsid w:val="00E41524"/>
    <w:rsid w:val="00E42471"/>
    <w:rsid w:val="00E425C8"/>
    <w:rsid w:val="00E46EF8"/>
    <w:rsid w:val="00E4769D"/>
    <w:rsid w:val="00E51424"/>
    <w:rsid w:val="00E52F6B"/>
    <w:rsid w:val="00E57D8C"/>
    <w:rsid w:val="00E62907"/>
    <w:rsid w:val="00E635E0"/>
    <w:rsid w:val="00E64374"/>
    <w:rsid w:val="00E66AB7"/>
    <w:rsid w:val="00E7010C"/>
    <w:rsid w:val="00E701DC"/>
    <w:rsid w:val="00E710E9"/>
    <w:rsid w:val="00E71856"/>
    <w:rsid w:val="00E727FE"/>
    <w:rsid w:val="00E72D7E"/>
    <w:rsid w:val="00E740E0"/>
    <w:rsid w:val="00E742E3"/>
    <w:rsid w:val="00E756ED"/>
    <w:rsid w:val="00E7625D"/>
    <w:rsid w:val="00E7633B"/>
    <w:rsid w:val="00E77BF3"/>
    <w:rsid w:val="00E8155B"/>
    <w:rsid w:val="00E82960"/>
    <w:rsid w:val="00E867DA"/>
    <w:rsid w:val="00E86A76"/>
    <w:rsid w:val="00E86BFD"/>
    <w:rsid w:val="00E90075"/>
    <w:rsid w:val="00E9041A"/>
    <w:rsid w:val="00E90B7D"/>
    <w:rsid w:val="00E923B5"/>
    <w:rsid w:val="00E92E17"/>
    <w:rsid w:val="00E933DA"/>
    <w:rsid w:val="00E938A8"/>
    <w:rsid w:val="00E95E1D"/>
    <w:rsid w:val="00EA0EC2"/>
    <w:rsid w:val="00EA63B3"/>
    <w:rsid w:val="00EB2718"/>
    <w:rsid w:val="00EB3463"/>
    <w:rsid w:val="00EB39FF"/>
    <w:rsid w:val="00EB5721"/>
    <w:rsid w:val="00EB5991"/>
    <w:rsid w:val="00EB6278"/>
    <w:rsid w:val="00EB7DC4"/>
    <w:rsid w:val="00EC0C97"/>
    <w:rsid w:val="00EC1BED"/>
    <w:rsid w:val="00EC2467"/>
    <w:rsid w:val="00EC37EB"/>
    <w:rsid w:val="00EC51EF"/>
    <w:rsid w:val="00EC737F"/>
    <w:rsid w:val="00EC7C3C"/>
    <w:rsid w:val="00ED01B4"/>
    <w:rsid w:val="00ED188F"/>
    <w:rsid w:val="00ED3A14"/>
    <w:rsid w:val="00ED3F32"/>
    <w:rsid w:val="00ED4562"/>
    <w:rsid w:val="00ED4F29"/>
    <w:rsid w:val="00ED5294"/>
    <w:rsid w:val="00ED546B"/>
    <w:rsid w:val="00ED608D"/>
    <w:rsid w:val="00ED628B"/>
    <w:rsid w:val="00ED7E54"/>
    <w:rsid w:val="00EE106C"/>
    <w:rsid w:val="00EE1077"/>
    <w:rsid w:val="00EE2482"/>
    <w:rsid w:val="00EE32BD"/>
    <w:rsid w:val="00EE43CC"/>
    <w:rsid w:val="00EE45D1"/>
    <w:rsid w:val="00EF0372"/>
    <w:rsid w:val="00EF1693"/>
    <w:rsid w:val="00EF1CBE"/>
    <w:rsid w:val="00EF2340"/>
    <w:rsid w:val="00EF378C"/>
    <w:rsid w:val="00EF3CDD"/>
    <w:rsid w:val="00EF445F"/>
    <w:rsid w:val="00EF45CE"/>
    <w:rsid w:val="00EF52E6"/>
    <w:rsid w:val="00EF601E"/>
    <w:rsid w:val="00EF7497"/>
    <w:rsid w:val="00EF7A30"/>
    <w:rsid w:val="00F00F8B"/>
    <w:rsid w:val="00F01049"/>
    <w:rsid w:val="00F012FA"/>
    <w:rsid w:val="00F0241B"/>
    <w:rsid w:val="00F0310F"/>
    <w:rsid w:val="00F036E6"/>
    <w:rsid w:val="00F0518A"/>
    <w:rsid w:val="00F0778C"/>
    <w:rsid w:val="00F12464"/>
    <w:rsid w:val="00F14957"/>
    <w:rsid w:val="00F1512F"/>
    <w:rsid w:val="00F15D6B"/>
    <w:rsid w:val="00F16031"/>
    <w:rsid w:val="00F16ABC"/>
    <w:rsid w:val="00F2684D"/>
    <w:rsid w:val="00F26C14"/>
    <w:rsid w:val="00F30AAD"/>
    <w:rsid w:val="00F32E6D"/>
    <w:rsid w:val="00F41266"/>
    <w:rsid w:val="00F41A32"/>
    <w:rsid w:val="00F43EF7"/>
    <w:rsid w:val="00F4416F"/>
    <w:rsid w:val="00F44F96"/>
    <w:rsid w:val="00F46A91"/>
    <w:rsid w:val="00F476C8"/>
    <w:rsid w:val="00F4776B"/>
    <w:rsid w:val="00F47BFA"/>
    <w:rsid w:val="00F507CC"/>
    <w:rsid w:val="00F5082F"/>
    <w:rsid w:val="00F5176C"/>
    <w:rsid w:val="00F51E56"/>
    <w:rsid w:val="00F54722"/>
    <w:rsid w:val="00F56C9F"/>
    <w:rsid w:val="00F56E6A"/>
    <w:rsid w:val="00F56F1D"/>
    <w:rsid w:val="00F60841"/>
    <w:rsid w:val="00F6120D"/>
    <w:rsid w:val="00F63553"/>
    <w:rsid w:val="00F65200"/>
    <w:rsid w:val="00F655F3"/>
    <w:rsid w:val="00F65860"/>
    <w:rsid w:val="00F65946"/>
    <w:rsid w:val="00F65D8D"/>
    <w:rsid w:val="00F6723F"/>
    <w:rsid w:val="00F6731F"/>
    <w:rsid w:val="00F67B1A"/>
    <w:rsid w:val="00F67FF1"/>
    <w:rsid w:val="00F70C83"/>
    <w:rsid w:val="00F71C2F"/>
    <w:rsid w:val="00F73122"/>
    <w:rsid w:val="00F735A6"/>
    <w:rsid w:val="00F744A3"/>
    <w:rsid w:val="00F74508"/>
    <w:rsid w:val="00F74742"/>
    <w:rsid w:val="00F75679"/>
    <w:rsid w:val="00F76605"/>
    <w:rsid w:val="00F81D88"/>
    <w:rsid w:val="00F822FA"/>
    <w:rsid w:val="00F9005F"/>
    <w:rsid w:val="00F9019E"/>
    <w:rsid w:val="00F905CA"/>
    <w:rsid w:val="00F90D04"/>
    <w:rsid w:val="00F92C22"/>
    <w:rsid w:val="00F93466"/>
    <w:rsid w:val="00F968D0"/>
    <w:rsid w:val="00FA0372"/>
    <w:rsid w:val="00FA03FA"/>
    <w:rsid w:val="00FA097E"/>
    <w:rsid w:val="00FA1667"/>
    <w:rsid w:val="00FA3DB1"/>
    <w:rsid w:val="00FA539F"/>
    <w:rsid w:val="00FA5B7C"/>
    <w:rsid w:val="00FA5EFA"/>
    <w:rsid w:val="00FA6B4A"/>
    <w:rsid w:val="00FA7953"/>
    <w:rsid w:val="00FB32E7"/>
    <w:rsid w:val="00FB5ADA"/>
    <w:rsid w:val="00FC0A61"/>
    <w:rsid w:val="00FC25F9"/>
    <w:rsid w:val="00FC3BE8"/>
    <w:rsid w:val="00FC5E7F"/>
    <w:rsid w:val="00FC65DD"/>
    <w:rsid w:val="00FD3861"/>
    <w:rsid w:val="00FD7D46"/>
    <w:rsid w:val="00FE5151"/>
    <w:rsid w:val="00FE52F4"/>
    <w:rsid w:val="00FE679E"/>
    <w:rsid w:val="00FF4CF3"/>
    <w:rsid w:val="00FF537D"/>
    <w:rsid w:val="00FF55C1"/>
    <w:rsid w:val="01274F14"/>
    <w:rsid w:val="01303A9E"/>
    <w:rsid w:val="01383FD0"/>
    <w:rsid w:val="01451617"/>
    <w:rsid w:val="0190158D"/>
    <w:rsid w:val="01B77047"/>
    <w:rsid w:val="0203063D"/>
    <w:rsid w:val="02043122"/>
    <w:rsid w:val="02055635"/>
    <w:rsid w:val="02346456"/>
    <w:rsid w:val="024E269D"/>
    <w:rsid w:val="027B1CE2"/>
    <w:rsid w:val="029F57DD"/>
    <w:rsid w:val="02D738A3"/>
    <w:rsid w:val="034464B8"/>
    <w:rsid w:val="036576B8"/>
    <w:rsid w:val="03C71EFB"/>
    <w:rsid w:val="03D735B0"/>
    <w:rsid w:val="03FA6CDF"/>
    <w:rsid w:val="04365FFA"/>
    <w:rsid w:val="04494A43"/>
    <w:rsid w:val="04500542"/>
    <w:rsid w:val="046D244C"/>
    <w:rsid w:val="046F1BE2"/>
    <w:rsid w:val="04822D08"/>
    <w:rsid w:val="04C851F1"/>
    <w:rsid w:val="04FB048C"/>
    <w:rsid w:val="052C29BF"/>
    <w:rsid w:val="05337A63"/>
    <w:rsid w:val="055C5785"/>
    <w:rsid w:val="05913412"/>
    <w:rsid w:val="05F06637"/>
    <w:rsid w:val="062C7228"/>
    <w:rsid w:val="06517EE9"/>
    <w:rsid w:val="06C55EEB"/>
    <w:rsid w:val="07004918"/>
    <w:rsid w:val="070B6221"/>
    <w:rsid w:val="07654B87"/>
    <w:rsid w:val="07BA720E"/>
    <w:rsid w:val="07CB7156"/>
    <w:rsid w:val="07E13B30"/>
    <w:rsid w:val="07EE2CA7"/>
    <w:rsid w:val="07EF709A"/>
    <w:rsid w:val="081F2D4C"/>
    <w:rsid w:val="084E2ACF"/>
    <w:rsid w:val="084F19C0"/>
    <w:rsid w:val="08635040"/>
    <w:rsid w:val="08A83B98"/>
    <w:rsid w:val="08B2562B"/>
    <w:rsid w:val="08B5584D"/>
    <w:rsid w:val="08BC41C1"/>
    <w:rsid w:val="09190838"/>
    <w:rsid w:val="095C7B83"/>
    <w:rsid w:val="098F731B"/>
    <w:rsid w:val="0996625D"/>
    <w:rsid w:val="09DE2A70"/>
    <w:rsid w:val="0A1F4EA7"/>
    <w:rsid w:val="0AB51489"/>
    <w:rsid w:val="0ABF0DA2"/>
    <w:rsid w:val="0ACE0B6C"/>
    <w:rsid w:val="0AEE6792"/>
    <w:rsid w:val="0B33524B"/>
    <w:rsid w:val="0BD17250"/>
    <w:rsid w:val="0BE64801"/>
    <w:rsid w:val="0C7965AF"/>
    <w:rsid w:val="0C8E3524"/>
    <w:rsid w:val="0C95751F"/>
    <w:rsid w:val="0CBE378C"/>
    <w:rsid w:val="0CD426C0"/>
    <w:rsid w:val="0D63355E"/>
    <w:rsid w:val="0D6402AD"/>
    <w:rsid w:val="0D6E00F5"/>
    <w:rsid w:val="0DE27351"/>
    <w:rsid w:val="0E133FA6"/>
    <w:rsid w:val="0E195228"/>
    <w:rsid w:val="0E2217A8"/>
    <w:rsid w:val="0E925E78"/>
    <w:rsid w:val="0EA20C5D"/>
    <w:rsid w:val="0EA54211"/>
    <w:rsid w:val="0EAB227A"/>
    <w:rsid w:val="0EAD5EAE"/>
    <w:rsid w:val="0EB36468"/>
    <w:rsid w:val="0EDB1EAC"/>
    <w:rsid w:val="0EDB759D"/>
    <w:rsid w:val="0F361774"/>
    <w:rsid w:val="0F3B7D92"/>
    <w:rsid w:val="0F66630C"/>
    <w:rsid w:val="0F760781"/>
    <w:rsid w:val="0FCB5DCA"/>
    <w:rsid w:val="0FF10449"/>
    <w:rsid w:val="10485433"/>
    <w:rsid w:val="104C2911"/>
    <w:rsid w:val="107B6F12"/>
    <w:rsid w:val="11053C87"/>
    <w:rsid w:val="11316C22"/>
    <w:rsid w:val="11604A5C"/>
    <w:rsid w:val="1176169D"/>
    <w:rsid w:val="117C68E7"/>
    <w:rsid w:val="118263A1"/>
    <w:rsid w:val="119603EC"/>
    <w:rsid w:val="11A331FA"/>
    <w:rsid w:val="11A87B15"/>
    <w:rsid w:val="11C224F8"/>
    <w:rsid w:val="11DA3D05"/>
    <w:rsid w:val="120038A1"/>
    <w:rsid w:val="121A67F7"/>
    <w:rsid w:val="121E029E"/>
    <w:rsid w:val="124D4083"/>
    <w:rsid w:val="12701BF6"/>
    <w:rsid w:val="1287461C"/>
    <w:rsid w:val="12D777F2"/>
    <w:rsid w:val="12DE47E6"/>
    <w:rsid w:val="12F639E2"/>
    <w:rsid w:val="133D1517"/>
    <w:rsid w:val="136532E8"/>
    <w:rsid w:val="13CC1FE7"/>
    <w:rsid w:val="141407F8"/>
    <w:rsid w:val="14747306"/>
    <w:rsid w:val="14953687"/>
    <w:rsid w:val="14D251DA"/>
    <w:rsid w:val="155913AC"/>
    <w:rsid w:val="15BC3411"/>
    <w:rsid w:val="1614567C"/>
    <w:rsid w:val="16271ECD"/>
    <w:rsid w:val="16A76302"/>
    <w:rsid w:val="16C521B5"/>
    <w:rsid w:val="16F3593D"/>
    <w:rsid w:val="173A3666"/>
    <w:rsid w:val="17405D8B"/>
    <w:rsid w:val="17482177"/>
    <w:rsid w:val="17794290"/>
    <w:rsid w:val="17DF684D"/>
    <w:rsid w:val="17F31E94"/>
    <w:rsid w:val="181736F0"/>
    <w:rsid w:val="18301873"/>
    <w:rsid w:val="185D59F5"/>
    <w:rsid w:val="18652B97"/>
    <w:rsid w:val="18D24826"/>
    <w:rsid w:val="1930763A"/>
    <w:rsid w:val="193564B7"/>
    <w:rsid w:val="198F35F7"/>
    <w:rsid w:val="199667D2"/>
    <w:rsid w:val="19C02A41"/>
    <w:rsid w:val="19C63AD7"/>
    <w:rsid w:val="19DC2403"/>
    <w:rsid w:val="19E94399"/>
    <w:rsid w:val="19EC5D5F"/>
    <w:rsid w:val="19EF6331"/>
    <w:rsid w:val="1A2417DD"/>
    <w:rsid w:val="1A3B555D"/>
    <w:rsid w:val="1AA40BC5"/>
    <w:rsid w:val="1AA52927"/>
    <w:rsid w:val="1AFC093E"/>
    <w:rsid w:val="1B63274F"/>
    <w:rsid w:val="1B751D18"/>
    <w:rsid w:val="1B837689"/>
    <w:rsid w:val="1BA35581"/>
    <w:rsid w:val="1BBC1B6B"/>
    <w:rsid w:val="1BE1312F"/>
    <w:rsid w:val="1BE54206"/>
    <w:rsid w:val="1BFD0B5F"/>
    <w:rsid w:val="1C1224F7"/>
    <w:rsid w:val="1C211FCC"/>
    <w:rsid w:val="1C215860"/>
    <w:rsid w:val="1C3B088A"/>
    <w:rsid w:val="1CD120FF"/>
    <w:rsid w:val="1CDF6B41"/>
    <w:rsid w:val="1D2F3F5E"/>
    <w:rsid w:val="1D3121A1"/>
    <w:rsid w:val="1D52110B"/>
    <w:rsid w:val="1D567D06"/>
    <w:rsid w:val="1D5E5041"/>
    <w:rsid w:val="1D6920D8"/>
    <w:rsid w:val="1DF127C5"/>
    <w:rsid w:val="1E7F0A33"/>
    <w:rsid w:val="1E994839"/>
    <w:rsid w:val="1EA43D4B"/>
    <w:rsid w:val="1ECB6CF3"/>
    <w:rsid w:val="1ED63936"/>
    <w:rsid w:val="1EE82E44"/>
    <w:rsid w:val="1F095BCD"/>
    <w:rsid w:val="1F324176"/>
    <w:rsid w:val="1F3839D1"/>
    <w:rsid w:val="1F980D5B"/>
    <w:rsid w:val="1FB35C2A"/>
    <w:rsid w:val="1FB7392F"/>
    <w:rsid w:val="1FD83FC9"/>
    <w:rsid w:val="200A7C06"/>
    <w:rsid w:val="20443B05"/>
    <w:rsid w:val="20540405"/>
    <w:rsid w:val="2056015F"/>
    <w:rsid w:val="20AB7349"/>
    <w:rsid w:val="20B11C5C"/>
    <w:rsid w:val="20BE2EDB"/>
    <w:rsid w:val="20CF18B8"/>
    <w:rsid w:val="20DC1B4D"/>
    <w:rsid w:val="20E75FEA"/>
    <w:rsid w:val="211B0EE6"/>
    <w:rsid w:val="21386BBD"/>
    <w:rsid w:val="219A49A8"/>
    <w:rsid w:val="21BE7C5E"/>
    <w:rsid w:val="21C77D00"/>
    <w:rsid w:val="21CA74E9"/>
    <w:rsid w:val="21DE261D"/>
    <w:rsid w:val="21EC2BAB"/>
    <w:rsid w:val="21F22C88"/>
    <w:rsid w:val="220D46BA"/>
    <w:rsid w:val="22A60EB5"/>
    <w:rsid w:val="22D23494"/>
    <w:rsid w:val="22D81D21"/>
    <w:rsid w:val="230F0A4B"/>
    <w:rsid w:val="23165F69"/>
    <w:rsid w:val="232B1CE8"/>
    <w:rsid w:val="238263F4"/>
    <w:rsid w:val="23AF4937"/>
    <w:rsid w:val="23D64254"/>
    <w:rsid w:val="24011960"/>
    <w:rsid w:val="24054A11"/>
    <w:rsid w:val="241137D9"/>
    <w:rsid w:val="245A05CA"/>
    <w:rsid w:val="24895FF2"/>
    <w:rsid w:val="24B66F7B"/>
    <w:rsid w:val="24B95CB1"/>
    <w:rsid w:val="25101C98"/>
    <w:rsid w:val="2549427F"/>
    <w:rsid w:val="25974A42"/>
    <w:rsid w:val="25E037D0"/>
    <w:rsid w:val="2614749F"/>
    <w:rsid w:val="268C368D"/>
    <w:rsid w:val="26B92AA7"/>
    <w:rsid w:val="26F23C5A"/>
    <w:rsid w:val="27251824"/>
    <w:rsid w:val="273F2C97"/>
    <w:rsid w:val="2750534C"/>
    <w:rsid w:val="276D2FA1"/>
    <w:rsid w:val="277838F6"/>
    <w:rsid w:val="279F2C36"/>
    <w:rsid w:val="283C7C55"/>
    <w:rsid w:val="28453812"/>
    <w:rsid w:val="28A65873"/>
    <w:rsid w:val="28A91911"/>
    <w:rsid w:val="28EC1885"/>
    <w:rsid w:val="291F27EC"/>
    <w:rsid w:val="29212C84"/>
    <w:rsid w:val="2933177B"/>
    <w:rsid w:val="29394C50"/>
    <w:rsid w:val="2974095E"/>
    <w:rsid w:val="29927401"/>
    <w:rsid w:val="299608E4"/>
    <w:rsid w:val="299B6946"/>
    <w:rsid w:val="29B80978"/>
    <w:rsid w:val="29C04EC5"/>
    <w:rsid w:val="29DE1E4D"/>
    <w:rsid w:val="2A0A7696"/>
    <w:rsid w:val="2A0D0F0C"/>
    <w:rsid w:val="2A176C00"/>
    <w:rsid w:val="2A6B1D80"/>
    <w:rsid w:val="2ADB6EB7"/>
    <w:rsid w:val="2AFB54C5"/>
    <w:rsid w:val="2B055F8A"/>
    <w:rsid w:val="2B0C03A4"/>
    <w:rsid w:val="2B200651"/>
    <w:rsid w:val="2B3841A3"/>
    <w:rsid w:val="2B6F658C"/>
    <w:rsid w:val="2BA33DC6"/>
    <w:rsid w:val="2BF16B92"/>
    <w:rsid w:val="2C820DC9"/>
    <w:rsid w:val="2D511017"/>
    <w:rsid w:val="2DA67B66"/>
    <w:rsid w:val="2DFD7CDE"/>
    <w:rsid w:val="2E8818C4"/>
    <w:rsid w:val="2E922D73"/>
    <w:rsid w:val="2EBA1864"/>
    <w:rsid w:val="2EC85D5E"/>
    <w:rsid w:val="2ED50D09"/>
    <w:rsid w:val="2EF22E53"/>
    <w:rsid w:val="2F0748E7"/>
    <w:rsid w:val="2F0A6734"/>
    <w:rsid w:val="2F3D79D9"/>
    <w:rsid w:val="2F4219B8"/>
    <w:rsid w:val="2F9C54E2"/>
    <w:rsid w:val="2FC36919"/>
    <w:rsid w:val="2FC935F5"/>
    <w:rsid w:val="3014598E"/>
    <w:rsid w:val="3019494D"/>
    <w:rsid w:val="301B4DB2"/>
    <w:rsid w:val="302F5F5A"/>
    <w:rsid w:val="305C6B22"/>
    <w:rsid w:val="30B27717"/>
    <w:rsid w:val="30DB42DF"/>
    <w:rsid w:val="30E74DA6"/>
    <w:rsid w:val="30EC34E0"/>
    <w:rsid w:val="31172A76"/>
    <w:rsid w:val="31841167"/>
    <w:rsid w:val="31962F66"/>
    <w:rsid w:val="32484C4E"/>
    <w:rsid w:val="32605D06"/>
    <w:rsid w:val="32E90B44"/>
    <w:rsid w:val="33A43C30"/>
    <w:rsid w:val="33CE2C57"/>
    <w:rsid w:val="33DE6B77"/>
    <w:rsid w:val="33EC512B"/>
    <w:rsid w:val="341C101E"/>
    <w:rsid w:val="346F43F1"/>
    <w:rsid w:val="347D281C"/>
    <w:rsid w:val="34FA467B"/>
    <w:rsid w:val="35441A8C"/>
    <w:rsid w:val="35484BCD"/>
    <w:rsid w:val="355A3D41"/>
    <w:rsid w:val="35691819"/>
    <w:rsid w:val="359A6C78"/>
    <w:rsid w:val="35A304A9"/>
    <w:rsid w:val="35D573AE"/>
    <w:rsid w:val="364D7488"/>
    <w:rsid w:val="36741E16"/>
    <w:rsid w:val="36CC7811"/>
    <w:rsid w:val="36D654B6"/>
    <w:rsid w:val="36DD32BF"/>
    <w:rsid w:val="370C7272"/>
    <w:rsid w:val="371E4419"/>
    <w:rsid w:val="372F21F8"/>
    <w:rsid w:val="37355B09"/>
    <w:rsid w:val="37450A23"/>
    <w:rsid w:val="37482467"/>
    <w:rsid w:val="375A10AE"/>
    <w:rsid w:val="375F18CE"/>
    <w:rsid w:val="376D3A14"/>
    <w:rsid w:val="377543D4"/>
    <w:rsid w:val="379E050A"/>
    <w:rsid w:val="379F42F8"/>
    <w:rsid w:val="37A227C0"/>
    <w:rsid w:val="37A563A1"/>
    <w:rsid w:val="37FE1083"/>
    <w:rsid w:val="38112289"/>
    <w:rsid w:val="381439C0"/>
    <w:rsid w:val="382C54C9"/>
    <w:rsid w:val="3842422E"/>
    <w:rsid w:val="384E7A64"/>
    <w:rsid w:val="389567FE"/>
    <w:rsid w:val="389B0595"/>
    <w:rsid w:val="38A47140"/>
    <w:rsid w:val="38F80946"/>
    <w:rsid w:val="39197560"/>
    <w:rsid w:val="39275FEC"/>
    <w:rsid w:val="393153A6"/>
    <w:rsid w:val="3939253C"/>
    <w:rsid w:val="39875A90"/>
    <w:rsid w:val="39A53523"/>
    <w:rsid w:val="39A75360"/>
    <w:rsid w:val="39C661B5"/>
    <w:rsid w:val="3A24180E"/>
    <w:rsid w:val="3A3D44A3"/>
    <w:rsid w:val="3A6570A1"/>
    <w:rsid w:val="3A883352"/>
    <w:rsid w:val="3A98285C"/>
    <w:rsid w:val="3AA7541F"/>
    <w:rsid w:val="3AB16AFD"/>
    <w:rsid w:val="3ABD3CF2"/>
    <w:rsid w:val="3AD23706"/>
    <w:rsid w:val="3AD54D74"/>
    <w:rsid w:val="3ADF1772"/>
    <w:rsid w:val="3AE83617"/>
    <w:rsid w:val="3AFC44E4"/>
    <w:rsid w:val="3B377223"/>
    <w:rsid w:val="3C200787"/>
    <w:rsid w:val="3CE43D58"/>
    <w:rsid w:val="3D056DE5"/>
    <w:rsid w:val="3D150381"/>
    <w:rsid w:val="3D242DC0"/>
    <w:rsid w:val="3D3357D0"/>
    <w:rsid w:val="3D3861CD"/>
    <w:rsid w:val="3D444D9B"/>
    <w:rsid w:val="3D603B0C"/>
    <w:rsid w:val="3D9A53D2"/>
    <w:rsid w:val="3DA82763"/>
    <w:rsid w:val="3EB24A80"/>
    <w:rsid w:val="3EF344A0"/>
    <w:rsid w:val="3F0C5499"/>
    <w:rsid w:val="3F266B61"/>
    <w:rsid w:val="3F271710"/>
    <w:rsid w:val="3F564F2E"/>
    <w:rsid w:val="3F5A618E"/>
    <w:rsid w:val="403C0BE5"/>
    <w:rsid w:val="406538E2"/>
    <w:rsid w:val="40AE2408"/>
    <w:rsid w:val="40D61F9F"/>
    <w:rsid w:val="40E6513A"/>
    <w:rsid w:val="41207F0A"/>
    <w:rsid w:val="41277CAD"/>
    <w:rsid w:val="415E7BFF"/>
    <w:rsid w:val="417254CB"/>
    <w:rsid w:val="418A329E"/>
    <w:rsid w:val="41DE7B28"/>
    <w:rsid w:val="421C406A"/>
    <w:rsid w:val="421C69ED"/>
    <w:rsid w:val="423D3A47"/>
    <w:rsid w:val="423F7E57"/>
    <w:rsid w:val="428B61F9"/>
    <w:rsid w:val="433112AC"/>
    <w:rsid w:val="43313437"/>
    <w:rsid w:val="433238B4"/>
    <w:rsid w:val="434E0C0A"/>
    <w:rsid w:val="438D6152"/>
    <w:rsid w:val="43C54EEF"/>
    <w:rsid w:val="43E02C27"/>
    <w:rsid w:val="443B1E1A"/>
    <w:rsid w:val="44535F71"/>
    <w:rsid w:val="44A17A7E"/>
    <w:rsid w:val="44EE06E7"/>
    <w:rsid w:val="453C2484"/>
    <w:rsid w:val="453D6989"/>
    <w:rsid w:val="453F4987"/>
    <w:rsid w:val="45617CBE"/>
    <w:rsid w:val="456E21D5"/>
    <w:rsid w:val="45BA70B1"/>
    <w:rsid w:val="45EA2CE8"/>
    <w:rsid w:val="45F74EDF"/>
    <w:rsid w:val="4600059B"/>
    <w:rsid w:val="46160E93"/>
    <w:rsid w:val="462D006C"/>
    <w:rsid w:val="464E252C"/>
    <w:rsid w:val="46AB5174"/>
    <w:rsid w:val="46B700F8"/>
    <w:rsid w:val="46BB44BC"/>
    <w:rsid w:val="46D272F4"/>
    <w:rsid w:val="473A4BD7"/>
    <w:rsid w:val="47510996"/>
    <w:rsid w:val="47570AD2"/>
    <w:rsid w:val="47580314"/>
    <w:rsid w:val="47B34831"/>
    <w:rsid w:val="47EB41FA"/>
    <w:rsid w:val="47EF7803"/>
    <w:rsid w:val="4804144A"/>
    <w:rsid w:val="48070487"/>
    <w:rsid w:val="48501411"/>
    <w:rsid w:val="48695334"/>
    <w:rsid w:val="486A7361"/>
    <w:rsid w:val="48890152"/>
    <w:rsid w:val="48C05E0B"/>
    <w:rsid w:val="48C93CA5"/>
    <w:rsid w:val="48F87457"/>
    <w:rsid w:val="490671E3"/>
    <w:rsid w:val="490E1280"/>
    <w:rsid w:val="4922407A"/>
    <w:rsid w:val="497A63F6"/>
    <w:rsid w:val="497B7D9F"/>
    <w:rsid w:val="498E6CD6"/>
    <w:rsid w:val="49BD25AC"/>
    <w:rsid w:val="49C93F25"/>
    <w:rsid w:val="49D14B65"/>
    <w:rsid w:val="4A7B0E59"/>
    <w:rsid w:val="4A803067"/>
    <w:rsid w:val="4AB74840"/>
    <w:rsid w:val="4AD728D0"/>
    <w:rsid w:val="4ADF597A"/>
    <w:rsid w:val="4AE30D8B"/>
    <w:rsid w:val="4B2D7D43"/>
    <w:rsid w:val="4B91508D"/>
    <w:rsid w:val="4B937275"/>
    <w:rsid w:val="4BB90631"/>
    <w:rsid w:val="4C450FB8"/>
    <w:rsid w:val="4C747E14"/>
    <w:rsid w:val="4CA84AAD"/>
    <w:rsid w:val="4CAC0E3F"/>
    <w:rsid w:val="4CEA5082"/>
    <w:rsid w:val="4D2B53D3"/>
    <w:rsid w:val="4D421E62"/>
    <w:rsid w:val="4D807BBE"/>
    <w:rsid w:val="4E01515D"/>
    <w:rsid w:val="4E405991"/>
    <w:rsid w:val="4E644A95"/>
    <w:rsid w:val="4E656BC0"/>
    <w:rsid w:val="4E65774D"/>
    <w:rsid w:val="4F0023CD"/>
    <w:rsid w:val="4F056DE1"/>
    <w:rsid w:val="4F15353E"/>
    <w:rsid w:val="4F19757E"/>
    <w:rsid w:val="4F223D03"/>
    <w:rsid w:val="4F6701AB"/>
    <w:rsid w:val="4F9E5377"/>
    <w:rsid w:val="4FCB101C"/>
    <w:rsid w:val="4FE6405E"/>
    <w:rsid w:val="50540AFB"/>
    <w:rsid w:val="50602A1B"/>
    <w:rsid w:val="50612797"/>
    <w:rsid w:val="50BB53A5"/>
    <w:rsid w:val="50DC73F1"/>
    <w:rsid w:val="50FB1272"/>
    <w:rsid w:val="51174AAA"/>
    <w:rsid w:val="51C54E50"/>
    <w:rsid w:val="51DE290C"/>
    <w:rsid w:val="51E311A7"/>
    <w:rsid w:val="521356D1"/>
    <w:rsid w:val="529D10AF"/>
    <w:rsid w:val="53494392"/>
    <w:rsid w:val="535809C3"/>
    <w:rsid w:val="53E76275"/>
    <w:rsid w:val="54372316"/>
    <w:rsid w:val="547B4505"/>
    <w:rsid w:val="548E6390"/>
    <w:rsid w:val="549E4993"/>
    <w:rsid w:val="54C51393"/>
    <w:rsid w:val="54D9333A"/>
    <w:rsid w:val="54ED6EEB"/>
    <w:rsid w:val="55966BD2"/>
    <w:rsid w:val="56B23CA6"/>
    <w:rsid w:val="570755A7"/>
    <w:rsid w:val="573072C4"/>
    <w:rsid w:val="57471187"/>
    <w:rsid w:val="576F023D"/>
    <w:rsid w:val="577B6EE4"/>
    <w:rsid w:val="57AC5A21"/>
    <w:rsid w:val="57D2146B"/>
    <w:rsid w:val="57EF1F3E"/>
    <w:rsid w:val="581C0CA5"/>
    <w:rsid w:val="5828202C"/>
    <w:rsid w:val="584E2F27"/>
    <w:rsid w:val="5886355F"/>
    <w:rsid w:val="58891F15"/>
    <w:rsid w:val="58913390"/>
    <w:rsid w:val="58A35601"/>
    <w:rsid w:val="58BA7B88"/>
    <w:rsid w:val="591C62AA"/>
    <w:rsid w:val="593C1AF7"/>
    <w:rsid w:val="597E34F4"/>
    <w:rsid w:val="59DD23FD"/>
    <w:rsid w:val="59E24A9F"/>
    <w:rsid w:val="5A737CDB"/>
    <w:rsid w:val="5B761405"/>
    <w:rsid w:val="5BEC19E4"/>
    <w:rsid w:val="5BF8521E"/>
    <w:rsid w:val="5C0A7D4F"/>
    <w:rsid w:val="5C1B1303"/>
    <w:rsid w:val="5C241BA9"/>
    <w:rsid w:val="5C2453F7"/>
    <w:rsid w:val="5C4D09E5"/>
    <w:rsid w:val="5D0852CE"/>
    <w:rsid w:val="5D2928D3"/>
    <w:rsid w:val="5D2F26AA"/>
    <w:rsid w:val="5D502207"/>
    <w:rsid w:val="5DBD180F"/>
    <w:rsid w:val="5E0369A2"/>
    <w:rsid w:val="5E1C522E"/>
    <w:rsid w:val="5E3B5015"/>
    <w:rsid w:val="5E820631"/>
    <w:rsid w:val="5E822C00"/>
    <w:rsid w:val="5ECD71E6"/>
    <w:rsid w:val="5ECF201B"/>
    <w:rsid w:val="5EDA7CAB"/>
    <w:rsid w:val="5EE501EE"/>
    <w:rsid w:val="5F332FFE"/>
    <w:rsid w:val="5F4315E3"/>
    <w:rsid w:val="5FDE769B"/>
    <w:rsid w:val="5FFB11ED"/>
    <w:rsid w:val="60380678"/>
    <w:rsid w:val="605D60B2"/>
    <w:rsid w:val="60604FB9"/>
    <w:rsid w:val="609540A8"/>
    <w:rsid w:val="60B33EB4"/>
    <w:rsid w:val="611A335C"/>
    <w:rsid w:val="61216701"/>
    <w:rsid w:val="612B1527"/>
    <w:rsid w:val="626B5F89"/>
    <w:rsid w:val="627B32D8"/>
    <w:rsid w:val="62971E0C"/>
    <w:rsid w:val="62B90CFD"/>
    <w:rsid w:val="62FF6042"/>
    <w:rsid w:val="631F3899"/>
    <w:rsid w:val="63226337"/>
    <w:rsid w:val="632D650D"/>
    <w:rsid w:val="63863E37"/>
    <w:rsid w:val="63DC4A37"/>
    <w:rsid w:val="643709EB"/>
    <w:rsid w:val="64C753D2"/>
    <w:rsid w:val="64E82635"/>
    <w:rsid w:val="64F168C1"/>
    <w:rsid w:val="64F459D0"/>
    <w:rsid w:val="654655C5"/>
    <w:rsid w:val="6553668F"/>
    <w:rsid w:val="65555035"/>
    <w:rsid w:val="65647826"/>
    <w:rsid w:val="6582338C"/>
    <w:rsid w:val="65B22786"/>
    <w:rsid w:val="65CF7848"/>
    <w:rsid w:val="65E531E0"/>
    <w:rsid w:val="65F6754E"/>
    <w:rsid w:val="661735C0"/>
    <w:rsid w:val="66692167"/>
    <w:rsid w:val="66872C44"/>
    <w:rsid w:val="66A4324F"/>
    <w:rsid w:val="66DD6DB6"/>
    <w:rsid w:val="672D01B9"/>
    <w:rsid w:val="677D58AE"/>
    <w:rsid w:val="67EE62F1"/>
    <w:rsid w:val="67FE0ABC"/>
    <w:rsid w:val="68272B8D"/>
    <w:rsid w:val="682B4CB5"/>
    <w:rsid w:val="684A0973"/>
    <w:rsid w:val="688D6550"/>
    <w:rsid w:val="68A36922"/>
    <w:rsid w:val="68A638C2"/>
    <w:rsid w:val="68C1245B"/>
    <w:rsid w:val="68CF44E4"/>
    <w:rsid w:val="68D474B9"/>
    <w:rsid w:val="68D9247A"/>
    <w:rsid w:val="692837A3"/>
    <w:rsid w:val="69520021"/>
    <w:rsid w:val="696E18C3"/>
    <w:rsid w:val="69774602"/>
    <w:rsid w:val="699A4315"/>
    <w:rsid w:val="699A7243"/>
    <w:rsid w:val="69B50573"/>
    <w:rsid w:val="69BE7D9A"/>
    <w:rsid w:val="6A2D2B79"/>
    <w:rsid w:val="6A3376F7"/>
    <w:rsid w:val="6A4533FD"/>
    <w:rsid w:val="6A477F04"/>
    <w:rsid w:val="6A496835"/>
    <w:rsid w:val="6A8E7740"/>
    <w:rsid w:val="6AD5648B"/>
    <w:rsid w:val="6AE90C42"/>
    <w:rsid w:val="6B122298"/>
    <w:rsid w:val="6B44347E"/>
    <w:rsid w:val="6B4B7148"/>
    <w:rsid w:val="6B7409C3"/>
    <w:rsid w:val="6C026F3C"/>
    <w:rsid w:val="6C1769F6"/>
    <w:rsid w:val="6C19025F"/>
    <w:rsid w:val="6C2C4F32"/>
    <w:rsid w:val="6C396029"/>
    <w:rsid w:val="6C3B64A7"/>
    <w:rsid w:val="6CD83A9C"/>
    <w:rsid w:val="6D220952"/>
    <w:rsid w:val="6D256766"/>
    <w:rsid w:val="6D461855"/>
    <w:rsid w:val="6D6830E8"/>
    <w:rsid w:val="6D7F405A"/>
    <w:rsid w:val="6DB9174A"/>
    <w:rsid w:val="6DC248E6"/>
    <w:rsid w:val="6DC54E3E"/>
    <w:rsid w:val="6E1F0E23"/>
    <w:rsid w:val="6E8A1B32"/>
    <w:rsid w:val="6FA6229E"/>
    <w:rsid w:val="6FB96E19"/>
    <w:rsid w:val="6FCA266F"/>
    <w:rsid w:val="6FF900E7"/>
    <w:rsid w:val="70294286"/>
    <w:rsid w:val="708C7ADE"/>
    <w:rsid w:val="70C96F94"/>
    <w:rsid w:val="70D05D03"/>
    <w:rsid w:val="70F93881"/>
    <w:rsid w:val="711575EE"/>
    <w:rsid w:val="715349F8"/>
    <w:rsid w:val="71945E92"/>
    <w:rsid w:val="71BF1449"/>
    <w:rsid w:val="71DF3747"/>
    <w:rsid w:val="721A1FF2"/>
    <w:rsid w:val="72356C20"/>
    <w:rsid w:val="723E4008"/>
    <w:rsid w:val="725929D4"/>
    <w:rsid w:val="72A4317D"/>
    <w:rsid w:val="72AC1216"/>
    <w:rsid w:val="72B00049"/>
    <w:rsid w:val="72B70F99"/>
    <w:rsid w:val="73192710"/>
    <w:rsid w:val="732D44FD"/>
    <w:rsid w:val="73981574"/>
    <w:rsid w:val="73A03AE9"/>
    <w:rsid w:val="73B92936"/>
    <w:rsid w:val="73FB49FD"/>
    <w:rsid w:val="74376D48"/>
    <w:rsid w:val="74446098"/>
    <w:rsid w:val="746B414F"/>
    <w:rsid w:val="7472539D"/>
    <w:rsid w:val="747678BB"/>
    <w:rsid w:val="749036DA"/>
    <w:rsid w:val="74A13F3D"/>
    <w:rsid w:val="74DC45A8"/>
    <w:rsid w:val="750227FB"/>
    <w:rsid w:val="75693A34"/>
    <w:rsid w:val="759C3169"/>
    <w:rsid w:val="75B770CD"/>
    <w:rsid w:val="75CD34AB"/>
    <w:rsid w:val="75CF7ADF"/>
    <w:rsid w:val="764B4F25"/>
    <w:rsid w:val="76686C67"/>
    <w:rsid w:val="766C48DD"/>
    <w:rsid w:val="76CE603E"/>
    <w:rsid w:val="77162A8D"/>
    <w:rsid w:val="774025C7"/>
    <w:rsid w:val="77894212"/>
    <w:rsid w:val="7800271B"/>
    <w:rsid w:val="782E08A0"/>
    <w:rsid w:val="78440AB3"/>
    <w:rsid w:val="785B79C8"/>
    <w:rsid w:val="78751BD5"/>
    <w:rsid w:val="787A7054"/>
    <w:rsid w:val="788F0084"/>
    <w:rsid w:val="78A73067"/>
    <w:rsid w:val="78A9768A"/>
    <w:rsid w:val="78AA4077"/>
    <w:rsid w:val="78CA0ADB"/>
    <w:rsid w:val="78D85865"/>
    <w:rsid w:val="792C66E3"/>
    <w:rsid w:val="79947274"/>
    <w:rsid w:val="79FE73E8"/>
    <w:rsid w:val="7A237A12"/>
    <w:rsid w:val="7A6054E2"/>
    <w:rsid w:val="7A8B7D4E"/>
    <w:rsid w:val="7A98230D"/>
    <w:rsid w:val="7B4269B8"/>
    <w:rsid w:val="7B60499C"/>
    <w:rsid w:val="7B6276D7"/>
    <w:rsid w:val="7BBF0CBF"/>
    <w:rsid w:val="7BCD0EC9"/>
    <w:rsid w:val="7C0C430A"/>
    <w:rsid w:val="7C361D53"/>
    <w:rsid w:val="7C515A2B"/>
    <w:rsid w:val="7CBF1AA2"/>
    <w:rsid w:val="7CF92CB6"/>
    <w:rsid w:val="7D841C93"/>
    <w:rsid w:val="7DA92046"/>
    <w:rsid w:val="7DDF015B"/>
    <w:rsid w:val="7DEE0A06"/>
    <w:rsid w:val="7E745C2A"/>
    <w:rsid w:val="7EA95F25"/>
    <w:rsid w:val="7EBF6D37"/>
    <w:rsid w:val="7ED31DC1"/>
    <w:rsid w:val="7EF47C86"/>
    <w:rsid w:val="7F3B5B00"/>
    <w:rsid w:val="7F3C785D"/>
    <w:rsid w:val="7F510FB4"/>
    <w:rsid w:val="7FCB0BE9"/>
    <w:rsid w:val="7FE147D1"/>
    <w:rsid w:val="7FEB6C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64"/>
    <w:qFormat/>
    <w:uiPriority w:val="99"/>
    <w:pPr>
      <w:keepNext/>
      <w:keepLines/>
      <w:numPr>
        <w:ilvl w:val="0"/>
        <w:numId w:val="1"/>
      </w:numPr>
      <w:adjustRightInd w:val="0"/>
      <w:spacing w:before="340" w:after="330" w:line="578" w:lineRule="atLeast"/>
      <w:textAlignment w:val="baseline"/>
      <w:outlineLvl w:val="0"/>
    </w:pPr>
    <w:rPr>
      <w:b/>
      <w:bCs/>
      <w:kern w:val="44"/>
      <w:sz w:val="44"/>
      <w:szCs w:val="44"/>
    </w:rPr>
  </w:style>
  <w:style w:type="paragraph" w:styleId="4">
    <w:name w:val="heading 2"/>
    <w:basedOn w:val="1"/>
    <w:next w:val="1"/>
    <w:link w:val="65"/>
    <w:qFormat/>
    <w:uiPriority w:val="99"/>
    <w:pPr>
      <w:keepNext/>
      <w:keepLines/>
      <w:adjustRightInd w:val="0"/>
      <w:spacing w:before="260" w:after="260" w:line="416" w:lineRule="atLeast"/>
      <w:textAlignment w:val="baseline"/>
      <w:outlineLvl w:val="1"/>
    </w:pPr>
    <w:rPr>
      <w:rFonts w:ascii="Arial" w:hAnsi="Arial" w:eastAsia="黑体"/>
      <w:b/>
      <w:bCs/>
      <w:kern w:val="0"/>
      <w:sz w:val="32"/>
      <w:szCs w:val="32"/>
    </w:rPr>
  </w:style>
  <w:style w:type="paragraph" w:styleId="5">
    <w:name w:val="heading 3"/>
    <w:basedOn w:val="1"/>
    <w:next w:val="6"/>
    <w:link w:val="66"/>
    <w:qFormat/>
    <w:uiPriority w:val="99"/>
    <w:pPr>
      <w:keepNext/>
      <w:keepLines/>
      <w:adjustRightInd w:val="0"/>
      <w:spacing w:before="260" w:after="260" w:line="416" w:lineRule="atLeast"/>
      <w:textAlignment w:val="baseline"/>
      <w:outlineLvl w:val="2"/>
    </w:pPr>
    <w:rPr>
      <w:b/>
      <w:bCs/>
      <w:kern w:val="0"/>
      <w:sz w:val="32"/>
      <w:szCs w:val="32"/>
    </w:rPr>
  </w:style>
  <w:style w:type="paragraph" w:styleId="7">
    <w:name w:val="heading 4"/>
    <w:basedOn w:val="1"/>
    <w:next w:val="1"/>
    <w:link w:val="67"/>
    <w:qFormat/>
    <w:uiPriority w:val="99"/>
    <w:pPr>
      <w:keepNext/>
      <w:keepLines/>
      <w:adjustRightInd w:val="0"/>
      <w:spacing w:before="280" w:after="290" w:line="376" w:lineRule="atLeast"/>
      <w:textAlignment w:val="baseline"/>
      <w:outlineLvl w:val="3"/>
    </w:pPr>
    <w:rPr>
      <w:rFonts w:ascii="Arial" w:hAnsi="Arial" w:eastAsia="黑体"/>
      <w:b/>
      <w:bCs/>
      <w:sz w:val="28"/>
      <w:szCs w:val="28"/>
    </w:rPr>
  </w:style>
  <w:style w:type="paragraph" w:styleId="8">
    <w:name w:val="heading 5"/>
    <w:basedOn w:val="1"/>
    <w:next w:val="1"/>
    <w:link w:val="68"/>
    <w:qFormat/>
    <w:uiPriority w:val="99"/>
    <w:pPr>
      <w:keepNext/>
      <w:keepLines/>
      <w:adjustRightInd w:val="0"/>
      <w:spacing w:before="280" w:after="290" w:line="376" w:lineRule="atLeast"/>
      <w:textAlignment w:val="baseline"/>
      <w:outlineLvl w:val="4"/>
    </w:pPr>
    <w:rPr>
      <w:b/>
      <w:bCs/>
      <w:kern w:val="0"/>
      <w:sz w:val="28"/>
      <w:szCs w:val="28"/>
    </w:rPr>
  </w:style>
  <w:style w:type="paragraph" w:styleId="9">
    <w:name w:val="heading 6"/>
    <w:basedOn w:val="1"/>
    <w:next w:val="1"/>
    <w:link w:val="69"/>
    <w:qFormat/>
    <w:uiPriority w:val="99"/>
    <w:pPr>
      <w:keepNext/>
      <w:keepLines/>
      <w:adjustRightInd w:val="0"/>
      <w:spacing w:before="240" w:after="64" w:line="320" w:lineRule="atLeast"/>
      <w:textAlignment w:val="baseline"/>
      <w:outlineLvl w:val="5"/>
    </w:pPr>
    <w:rPr>
      <w:rFonts w:ascii="Cambria" w:hAnsi="Cambria"/>
      <w:b/>
      <w:bCs/>
      <w:kern w:val="0"/>
      <w:sz w:val="24"/>
      <w:szCs w:val="24"/>
    </w:rPr>
  </w:style>
  <w:style w:type="paragraph" w:styleId="10">
    <w:name w:val="heading 7"/>
    <w:basedOn w:val="1"/>
    <w:next w:val="1"/>
    <w:link w:val="70"/>
    <w:qFormat/>
    <w:uiPriority w:val="99"/>
    <w:pPr>
      <w:keepNext/>
      <w:keepLines/>
      <w:adjustRightInd w:val="0"/>
      <w:spacing w:before="240" w:after="64" w:line="320" w:lineRule="atLeast"/>
      <w:textAlignment w:val="baseline"/>
      <w:outlineLvl w:val="6"/>
    </w:pPr>
    <w:rPr>
      <w:b/>
      <w:bCs/>
      <w:kern w:val="0"/>
      <w:sz w:val="24"/>
      <w:szCs w:val="24"/>
    </w:rPr>
  </w:style>
  <w:style w:type="paragraph" w:styleId="11">
    <w:name w:val="heading 8"/>
    <w:basedOn w:val="1"/>
    <w:next w:val="1"/>
    <w:link w:val="71"/>
    <w:qFormat/>
    <w:uiPriority w:val="99"/>
    <w:pPr>
      <w:keepNext/>
      <w:keepLines/>
      <w:adjustRightInd w:val="0"/>
      <w:spacing w:before="240" w:after="64" w:line="320" w:lineRule="atLeast"/>
      <w:textAlignment w:val="baseline"/>
      <w:outlineLvl w:val="7"/>
    </w:pPr>
    <w:rPr>
      <w:rFonts w:ascii="Cambria" w:hAnsi="Cambria"/>
      <w:kern w:val="0"/>
      <w:sz w:val="24"/>
      <w:szCs w:val="24"/>
    </w:rPr>
  </w:style>
  <w:style w:type="paragraph" w:styleId="12">
    <w:name w:val="heading 9"/>
    <w:basedOn w:val="1"/>
    <w:next w:val="1"/>
    <w:link w:val="72"/>
    <w:qFormat/>
    <w:uiPriority w:val="99"/>
    <w:pPr>
      <w:keepNext/>
      <w:keepLines/>
      <w:adjustRightInd w:val="0"/>
      <w:spacing w:before="240" w:after="64" w:line="320" w:lineRule="atLeast"/>
      <w:textAlignment w:val="baseline"/>
      <w:outlineLvl w:val="8"/>
    </w:pPr>
    <w:rPr>
      <w:rFonts w:ascii="Cambria" w:hAnsi="Cambria"/>
      <w:kern w:val="0"/>
    </w:rPr>
  </w:style>
  <w:style w:type="character" w:default="1" w:styleId="53">
    <w:name w:val="Default Paragraph Font"/>
    <w:unhideWhenUsed/>
    <w:qFormat/>
    <w:uiPriority w:val="1"/>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63"/>
    <w:qFormat/>
    <w:uiPriority w:val="99"/>
    <w:rPr>
      <w:kern w:val="0"/>
    </w:rPr>
  </w:style>
  <w:style w:type="paragraph" w:styleId="6">
    <w:name w:val="Normal Indent"/>
    <w:basedOn w:val="1"/>
    <w:link w:val="73"/>
    <w:qFormat/>
    <w:uiPriority w:val="99"/>
    <w:pPr>
      <w:ind w:firstLine="420"/>
    </w:pPr>
  </w:style>
  <w:style w:type="paragraph" w:styleId="13">
    <w:name w:val="List 3"/>
    <w:basedOn w:val="1"/>
    <w:qFormat/>
    <w:uiPriority w:val="99"/>
    <w:pPr>
      <w:ind w:left="100" w:leftChars="400" w:hanging="200" w:hangingChars="200"/>
    </w:pPr>
  </w:style>
  <w:style w:type="paragraph" w:styleId="14">
    <w:name w:val="toc 7"/>
    <w:basedOn w:val="1"/>
    <w:next w:val="1"/>
    <w:semiHidden/>
    <w:qFormat/>
    <w:uiPriority w:val="99"/>
    <w:pPr>
      <w:ind w:left="1260"/>
      <w:jc w:val="left"/>
    </w:pPr>
    <w:rPr>
      <w:sz w:val="18"/>
      <w:szCs w:val="18"/>
    </w:rPr>
  </w:style>
  <w:style w:type="paragraph" w:styleId="15">
    <w:name w:val="Document Map"/>
    <w:basedOn w:val="1"/>
    <w:link w:val="74"/>
    <w:semiHidden/>
    <w:qFormat/>
    <w:uiPriority w:val="99"/>
    <w:pPr>
      <w:shd w:val="clear" w:color="auto" w:fill="000080"/>
    </w:pPr>
    <w:rPr>
      <w:kern w:val="0"/>
      <w:sz w:val="2"/>
      <w:szCs w:val="2"/>
    </w:rPr>
  </w:style>
  <w:style w:type="paragraph" w:styleId="16">
    <w:name w:val="annotation text"/>
    <w:basedOn w:val="1"/>
    <w:link w:val="75"/>
    <w:semiHidden/>
    <w:qFormat/>
    <w:uiPriority w:val="99"/>
    <w:pPr>
      <w:jc w:val="left"/>
    </w:pPr>
  </w:style>
  <w:style w:type="paragraph" w:styleId="17">
    <w:name w:val="Body Text Indent"/>
    <w:basedOn w:val="1"/>
    <w:next w:val="18"/>
    <w:link w:val="76"/>
    <w:qFormat/>
    <w:uiPriority w:val="99"/>
    <w:pPr>
      <w:spacing w:after="156"/>
      <w:ind w:firstLine="480"/>
    </w:pPr>
    <w:rPr>
      <w:sz w:val="24"/>
      <w:szCs w:val="24"/>
    </w:rPr>
  </w:style>
  <w:style w:type="paragraph" w:styleId="18">
    <w:name w:val="envelope return"/>
    <w:basedOn w:val="1"/>
    <w:qFormat/>
    <w:locked/>
    <w:uiPriority w:val="99"/>
    <w:pPr>
      <w:snapToGrid w:val="0"/>
    </w:pPr>
    <w:rPr>
      <w:rFonts w:ascii="Arial" w:hAnsi="Arial" w:cs="Arial"/>
    </w:rPr>
  </w:style>
  <w:style w:type="paragraph" w:styleId="19">
    <w:name w:val="List 2"/>
    <w:basedOn w:val="1"/>
    <w:qFormat/>
    <w:uiPriority w:val="99"/>
    <w:pPr>
      <w:ind w:left="100" w:leftChars="200" w:hanging="200" w:hangingChars="200"/>
    </w:pPr>
  </w:style>
  <w:style w:type="paragraph" w:styleId="20">
    <w:name w:val="List Continue"/>
    <w:basedOn w:val="1"/>
    <w:qFormat/>
    <w:uiPriority w:val="99"/>
    <w:pPr>
      <w:spacing w:after="120"/>
      <w:ind w:left="420" w:leftChars="200"/>
    </w:pPr>
  </w:style>
  <w:style w:type="paragraph" w:styleId="21">
    <w:name w:val="Block Text"/>
    <w:basedOn w:val="1"/>
    <w:qFormat/>
    <w:uiPriority w:val="99"/>
    <w:pPr>
      <w:autoSpaceDE w:val="0"/>
      <w:autoSpaceDN w:val="0"/>
      <w:adjustRightInd w:val="0"/>
      <w:spacing w:line="300" w:lineRule="auto"/>
      <w:ind w:left="29" w:leftChars="12" w:right="6" w:firstLine="560" w:firstLineChars="200"/>
    </w:pPr>
    <w:rPr>
      <w:kern w:val="0"/>
      <w:sz w:val="28"/>
      <w:szCs w:val="28"/>
    </w:rPr>
  </w:style>
  <w:style w:type="paragraph" w:styleId="22">
    <w:name w:val="toc 5"/>
    <w:basedOn w:val="1"/>
    <w:next w:val="1"/>
    <w:semiHidden/>
    <w:qFormat/>
    <w:uiPriority w:val="99"/>
    <w:pPr>
      <w:ind w:left="840"/>
      <w:jc w:val="left"/>
    </w:pPr>
    <w:rPr>
      <w:sz w:val="18"/>
      <w:szCs w:val="18"/>
    </w:rPr>
  </w:style>
  <w:style w:type="paragraph" w:styleId="23">
    <w:name w:val="toc 3"/>
    <w:basedOn w:val="1"/>
    <w:next w:val="1"/>
    <w:semiHidden/>
    <w:qFormat/>
    <w:uiPriority w:val="99"/>
    <w:pPr>
      <w:ind w:left="420"/>
      <w:jc w:val="left"/>
    </w:pPr>
    <w:rPr>
      <w:i/>
      <w:iCs/>
      <w:sz w:val="20"/>
      <w:szCs w:val="20"/>
    </w:rPr>
  </w:style>
  <w:style w:type="paragraph" w:styleId="24">
    <w:name w:val="Plain Text"/>
    <w:basedOn w:val="1"/>
    <w:link w:val="77"/>
    <w:qFormat/>
    <w:uiPriority w:val="99"/>
    <w:rPr>
      <w:rFonts w:ascii="宋体" w:hAnsi="Courier New"/>
      <w:kern w:val="0"/>
    </w:rPr>
  </w:style>
  <w:style w:type="paragraph" w:styleId="25">
    <w:name w:val="toc 8"/>
    <w:basedOn w:val="1"/>
    <w:next w:val="1"/>
    <w:semiHidden/>
    <w:qFormat/>
    <w:uiPriority w:val="99"/>
    <w:pPr>
      <w:ind w:left="1470"/>
      <w:jc w:val="left"/>
    </w:pPr>
    <w:rPr>
      <w:sz w:val="18"/>
      <w:szCs w:val="18"/>
    </w:rPr>
  </w:style>
  <w:style w:type="paragraph" w:styleId="26">
    <w:name w:val="Date"/>
    <w:basedOn w:val="1"/>
    <w:next w:val="1"/>
    <w:link w:val="78"/>
    <w:qFormat/>
    <w:uiPriority w:val="99"/>
    <w:pPr>
      <w:widowControl/>
      <w:ind w:left="100"/>
      <w:jc w:val="left"/>
    </w:pPr>
    <w:rPr>
      <w:kern w:val="0"/>
    </w:rPr>
  </w:style>
  <w:style w:type="paragraph" w:styleId="27">
    <w:name w:val="Body Text Indent 2"/>
    <w:basedOn w:val="1"/>
    <w:link w:val="79"/>
    <w:qFormat/>
    <w:uiPriority w:val="99"/>
    <w:pPr>
      <w:ind w:left="1436" w:leftChars="684"/>
    </w:pPr>
    <w:rPr>
      <w:kern w:val="0"/>
    </w:rPr>
  </w:style>
  <w:style w:type="paragraph" w:styleId="28">
    <w:name w:val="List Continue 5"/>
    <w:basedOn w:val="1"/>
    <w:qFormat/>
    <w:uiPriority w:val="99"/>
    <w:pPr>
      <w:spacing w:after="120"/>
      <w:ind w:left="2100" w:leftChars="1000"/>
    </w:pPr>
  </w:style>
  <w:style w:type="paragraph" w:styleId="29">
    <w:name w:val="Balloon Text"/>
    <w:basedOn w:val="1"/>
    <w:link w:val="80"/>
    <w:semiHidden/>
    <w:qFormat/>
    <w:uiPriority w:val="99"/>
    <w:rPr>
      <w:sz w:val="18"/>
      <w:szCs w:val="18"/>
    </w:rPr>
  </w:style>
  <w:style w:type="paragraph" w:styleId="30">
    <w:name w:val="footer"/>
    <w:basedOn w:val="1"/>
    <w:link w:val="81"/>
    <w:qFormat/>
    <w:uiPriority w:val="99"/>
    <w:pPr>
      <w:tabs>
        <w:tab w:val="center" w:pos="4153"/>
        <w:tab w:val="right" w:pos="8306"/>
      </w:tabs>
      <w:snapToGrid w:val="0"/>
      <w:jc w:val="left"/>
    </w:pPr>
    <w:rPr>
      <w:sz w:val="18"/>
      <w:szCs w:val="18"/>
    </w:rPr>
  </w:style>
  <w:style w:type="paragraph" w:styleId="31">
    <w:name w:val="header"/>
    <w:basedOn w:val="1"/>
    <w:link w:val="82"/>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semiHidden/>
    <w:qFormat/>
    <w:uiPriority w:val="99"/>
    <w:pPr>
      <w:tabs>
        <w:tab w:val="left" w:pos="840"/>
        <w:tab w:val="right" w:leader="dot" w:pos="9402"/>
      </w:tabs>
      <w:adjustRightInd w:val="0"/>
      <w:snapToGrid w:val="0"/>
      <w:spacing w:line="360" w:lineRule="auto"/>
      <w:jc w:val="left"/>
    </w:pPr>
    <w:rPr>
      <w:rFonts w:ascii="Arial" w:hAnsi="宋体" w:cs="Arial"/>
      <w:caps/>
      <w:w w:val="80"/>
      <w:sz w:val="24"/>
      <w:szCs w:val="24"/>
    </w:rPr>
  </w:style>
  <w:style w:type="paragraph" w:styleId="33">
    <w:name w:val="List Continue 4"/>
    <w:basedOn w:val="1"/>
    <w:qFormat/>
    <w:uiPriority w:val="99"/>
    <w:pPr>
      <w:spacing w:after="120"/>
      <w:ind w:left="1680" w:leftChars="800"/>
    </w:pPr>
  </w:style>
  <w:style w:type="paragraph" w:styleId="34">
    <w:name w:val="toc 4"/>
    <w:basedOn w:val="1"/>
    <w:next w:val="1"/>
    <w:semiHidden/>
    <w:qFormat/>
    <w:uiPriority w:val="99"/>
    <w:pPr>
      <w:tabs>
        <w:tab w:val="left" w:pos="1080"/>
        <w:tab w:val="right" w:leader="dot" w:pos="9125"/>
      </w:tabs>
      <w:adjustRightInd w:val="0"/>
      <w:snapToGrid w:val="0"/>
      <w:spacing w:line="360" w:lineRule="auto"/>
      <w:jc w:val="left"/>
    </w:pPr>
    <w:rPr>
      <w:sz w:val="18"/>
      <w:szCs w:val="18"/>
    </w:rPr>
  </w:style>
  <w:style w:type="paragraph" w:styleId="35">
    <w:name w:val="List"/>
    <w:basedOn w:val="1"/>
    <w:qFormat/>
    <w:uiPriority w:val="99"/>
    <w:pPr>
      <w:ind w:left="200" w:hanging="200" w:hangingChars="200"/>
    </w:pPr>
  </w:style>
  <w:style w:type="paragraph" w:styleId="36">
    <w:name w:val="footnote text"/>
    <w:basedOn w:val="1"/>
    <w:link w:val="83"/>
    <w:semiHidden/>
    <w:qFormat/>
    <w:uiPriority w:val="99"/>
    <w:pPr>
      <w:snapToGrid w:val="0"/>
      <w:jc w:val="left"/>
    </w:pPr>
    <w:rPr>
      <w:kern w:val="0"/>
      <w:sz w:val="18"/>
      <w:szCs w:val="18"/>
    </w:rPr>
  </w:style>
  <w:style w:type="paragraph" w:styleId="37">
    <w:name w:val="toc 6"/>
    <w:basedOn w:val="1"/>
    <w:next w:val="1"/>
    <w:semiHidden/>
    <w:qFormat/>
    <w:uiPriority w:val="99"/>
    <w:pPr>
      <w:ind w:left="1050"/>
      <w:jc w:val="left"/>
    </w:pPr>
    <w:rPr>
      <w:sz w:val="18"/>
      <w:szCs w:val="18"/>
    </w:rPr>
  </w:style>
  <w:style w:type="paragraph" w:styleId="38">
    <w:name w:val="List 5"/>
    <w:basedOn w:val="1"/>
    <w:qFormat/>
    <w:uiPriority w:val="99"/>
    <w:pPr>
      <w:ind w:left="100" w:leftChars="800" w:hanging="200" w:hangingChars="200"/>
    </w:pPr>
  </w:style>
  <w:style w:type="paragraph" w:styleId="39">
    <w:name w:val="Body Text Indent 3"/>
    <w:basedOn w:val="1"/>
    <w:link w:val="84"/>
    <w:qFormat/>
    <w:uiPriority w:val="99"/>
    <w:pPr>
      <w:spacing w:after="120"/>
      <w:ind w:left="420" w:leftChars="200"/>
    </w:pPr>
    <w:rPr>
      <w:kern w:val="0"/>
      <w:sz w:val="16"/>
      <w:szCs w:val="16"/>
    </w:rPr>
  </w:style>
  <w:style w:type="paragraph" w:styleId="40">
    <w:name w:val="toc 2"/>
    <w:basedOn w:val="1"/>
    <w:next w:val="1"/>
    <w:semiHidden/>
    <w:qFormat/>
    <w:uiPriority w:val="99"/>
    <w:pPr>
      <w:ind w:left="210"/>
      <w:jc w:val="left"/>
    </w:pPr>
    <w:rPr>
      <w:smallCaps/>
      <w:sz w:val="20"/>
      <w:szCs w:val="20"/>
    </w:rPr>
  </w:style>
  <w:style w:type="paragraph" w:styleId="41">
    <w:name w:val="toc 9"/>
    <w:basedOn w:val="1"/>
    <w:next w:val="1"/>
    <w:semiHidden/>
    <w:qFormat/>
    <w:uiPriority w:val="99"/>
    <w:pPr>
      <w:ind w:left="1680"/>
      <w:jc w:val="left"/>
    </w:pPr>
    <w:rPr>
      <w:sz w:val="18"/>
      <w:szCs w:val="18"/>
    </w:rPr>
  </w:style>
  <w:style w:type="paragraph" w:styleId="42">
    <w:name w:val="Body Text 2"/>
    <w:basedOn w:val="1"/>
    <w:link w:val="85"/>
    <w:qFormat/>
    <w:uiPriority w:val="99"/>
    <w:rPr>
      <w:kern w:val="0"/>
    </w:rPr>
  </w:style>
  <w:style w:type="paragraph" w:styleId="43">
    <w:name w:val="List 4"/>
    <w:basedOn w:val="1"/>
    <w:qFormat/>
    <w:uiPriority w:val="99"/>
    <w:pPr>
      <w:ind w:left="100" w:leftChars="600" w:hanging="200" w:hangingChars="200"/>
    </w:pPr>
  </w:style>
  <w:style w:type="paragraph" w:styleId="44">
    <w:name w:val="List Continue 2"/>
    <w:basedOn w:val="1"/>
    <w:qFormat/>
    <w:uiPriority w:val="99"/>
    <w:pPr>
      <w:spacing w:after="120"/>
      <w:ind w:left="840" w:leftChars="400"/>
    </w:pPr>
  </w:style>
  <w:style w:type="paragraph" w:styleId="45">
    <w:name w:val="HTML Preformatted"/>
    <w:basedOn w:val="1"/>
    <w:link w:val="86"/>
    <w:qFormat/>
    <w:uiPriority w:val="99"/>
    <w:rPr>
      <w:rFonts w:ascii="Courier New" w:hAnsi="Courier New"/>
      <w:sz w:val="20"/>
      <w:szCs w:val="20"/>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7">
    <w:name w:val="List Continue 3"/>
    <w:basedOn w:val="1"/>
    <w:qFormat/>
    <w:uiPriority w:val="99"/>
    <w:pPr>
      <w:spacing w:after="120"/>
      <w:ind w:left="1260" w:leftChars="600"/>
    </w:pPr>
  </w:style>
  <w:style w:type="paragraph" w:styleId="48">
    <w:name w:val="annotation subject"/>
    <w:basedOn w:val="16"/>
    <w:next w:val="16"/>
    <w:link w:val="87"/>
    <w:semiHidden/>
    <w:qFormat/>
    <w:uiPriority w:val="99"/>
    <w:rPr>
      <w:b/>
      <w:bCs/>
    </w:rPr>
  </w:style>
  <w:style w:type="paragraph" w:styleId="49">
    <w:name w:val="Body Text First Indent"/>
    <w:basedOn w:val="2"/>
    <w:link w:val="88"/>
    <w:qFormat/>
    <w:uiPriority w:val="99"/>
    <w:pPr>
      <w:spacing w:line="360" w:lineRule="auto"/>
      <w:ind w:firstLine="482"/>
    </w:pPr>
  </w:style>
  <w:style w:type="paragraph" w:styleId="50">
    <w:name w:val="Body Text First Indent 2"/>
    <w:basedOn w:val="17"/>
    <w:next w:val="1"/>
    <w:link w:val="89"/>
    <w:qFormat/>
    <w:locked/>
    <w:uiPriority w:val="99"/>
    <w:pPr>
      <w:ind w:firstLine="420" w:firstLineChars="200"/>
    </w:pPr>
    <w:rPr>
      <w:sz w:val="21"/>
      <w:szCs w:val="21"/>
    </w:rPr>
  </w:style>
  <w:style w:type="table" w:styleId="52">
    <w:name w:val="Table Grid"/>
    <w:basedOn w:val="5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locked/>
    <w:uiPriority w:val="22"/>
    <w:rPr>
      <w:b/>
      <w:bCs/>
    </w:rPr>
  </w:style>
  <w:style w:type="character" w:styleId="55">
    <w:name w:val="page number"/>
    <w:qFormat/>
    <w:uiPriority w:val="99"/>
  </w:style>
  <w:style w:type="character" w:styleId="56">
    <w:name w:val="FollowedHyperlink"/>
    <w:qFormat/>
    <w:locked/>
    <w:uiPriority w:val="99"/>
    <w:rPr>
      <w:color w:val="auto"/>
      <w:u w:val="none"/>
    </w:rPr>
  </w:style>
  <w:style w:type="character" w:styleId="57">
    <w:name w:val="Hyperlink"/>
    <w:qFormat/>
    <w:uiPriority w:val="99"/>
    <w:rPr>
      <w:color w:val="auto"/>
      <w:u w:val="none"/>
    </w:rPr>
  </w:style>
  <w:style w:type="character" w:styleId="58">
    <w:name w:val="annotation reference"/>
    <w:semiHidden/>
    <w:qFormat/>
    <w:uiPriority w:val="99"/>
    <w:rPr>
      <w:sz w:val="21"/>
      <w:szCs w:val="21"/>
    </w:rPr>
  </w:style>
  <w:style w:type="character" w:styleId="59">
    <w:name w:val="footnote reference"/>
    <w:semiHidden/>
    <w:qFormat/>
    <w:uiPriority w:val="99"/>
    <w:rPr>
      <w:vertAlign w:val="superscript"/>
    </w:rPr>
  </w:style>
  <w:style w:type="paragraph" w:customStyle="1" w:styleId="60">
    <w:name w:val="style4"/>
    <w:basedOn w:val="1"/>
    <w:next w:val="61"/>
    <w:qFormat/>
    <w:uiPriority w:val="99"/>
    <w:pPr>
      <w:widowControl/>
      <w:spacing w:before="280" w:after="280"/>
    </w:pPr>
    <w:rPr>
      <w:rFonts w:ascii="宋体"/>
      <w:sz w:val="18"/>
    </w:rPr>
  </w:style>
  <w:style w:type="paragraph" w:customStyle="1" w:styleId="61">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62">
    <w:name w:val=" Char"/>
    <w:basedOn w:val="1"/>
    <w:qFormat/>
    <w:uiPriority w:val="0"/>
    <w:pPr>
      <w:widowControl/>
      <w:spacing w:after="160" w:afterLines="0" w:line="240" w:lineRule="exact"/>
      <w:jc w:val="left"/>
    </w:pPr>
    <w:rPr>
      <w:rFonts w:ascii="Verdana" w:hAnsi="Verdana" w:eastAsia="宋体"/>
      <w:kern w:val="0"/>
      <w:sz w:val="21"/>
      <w:lang w:eastAsia="en-US"/>
    </w:rPr>
  </w:style>
  <w:style w:type="character" w:customStyle="1" w:styleId="63">
    <w:name w:val="正文文本 Char"/>
    <w:link w:val="2"/>
    <w:semiHidden/>
    <w:qFormat/>
    <w:locked/>
    <w:uiPriority w:val="99"/>
    <w:rPr>
      <w:rFonts w:ascii="Times New Roman" w:hAnsi="Times New Roman" w:cs="Times New Roman"/>
      <w:sz w:val="21"/>
      <w:szCs w:val="21"/>
    </w:rPr>
  </w:style>
  <w:style w:type="character" w:customStyle="1" w:styleId="64">
    <w:name w:val="标题 1 Char"/>
    <w:link w:val="3"/>
    <w:qFormat/>
    <w:locked/>
    <w:uiPriority w:val="99"/>
    <w:rPr>
      <w:b/>
      <w:bCs/>
      <w:kern w:val="44"/>
      <w:sz w:val="44"/>
      <w:szCs w:val="44"/>
    </w:rPr>
  </w:style>
  <w:style w:type="character" w:customStyle="1" w:styleId="65">
    <w:name w:val="标题 2 Char"/>
    <w:link w:val="4"/>
    <w:qFormat/>
    <w:locked/>
    <w:uiPriority w:val="99"/>
    <w:rPr>
      <w:rFonts w:ascii="Arial" w:hAnsi="Arial" w:eastAsia="黑体" w:cs="Arial"/>
      <w:b/>
      <w:bCs/>
      <w:sz w:val="32"/>
      <w:szCs w:val="32"/>
    </w:rPr>
  </w:style>
  <w:style w:type="character" w:customStyle="1" w:styleId="66">
    <w:name w:val="标题 3 Char"/>
    <w:link w:val="5"/>
    <w:semiHidden/>
    <w:qFormat/>
    <w:locked/>
    <w:uiPriority w:val="99"/>
    <w:rPr>
      <w:rFonts w:ascii="Times New Roman" w:hAnsi="Times New Roman" w:cs="Times New Roman"/>
      <w:b/>
      <w:bCs/>
      <w:sz w:val="32"/>
      <w:szCs w:val="32"/>
    </w:rPr>
  </w:style>
  <w:style w:type="character" w:customStyle="1" w:styleId="67">
    <w:name w:val="标题 4 Char"/>
    <w:link w:val="7"/>
    <w:qFormat/>
    <w:locked/>
    <w:uiPriority w:val="99"/>
    <w:rPr>
      <w:rFonts w:ascii="Arial" w:hAnsi="Arial" w:eastAsia="黑体" w:cs="Arial"/>
      <w:b/>
      <w:bCs/>
      <w:kern w:val="2"/>
      <w:sz w:val="28"/>
      <w:szCs w:val="28"/>
      <w:lang w:val="en-US" w:eastAsia="zh-CN"/>
    </w:rPr>
  </w:style>
  <w:style w:type="character" w:customStyle="1" w:styleId="68">
    <w:name w:val="标题 5 Char"/>
    <w:link w:val="8"/>
    <w:semiHidden/>
    <w:qFormat/>
    <w:locked/>
    <w:uiPriority w:val="99"/>
    <w:rPr>
      <w:rFonts w:ascii="Times New Roman" w:hAnsi="Times New Roman" w:cs="Times New Roman"/>
      <w:b/>
      <w:bCs/>
      <w:sz w:val="28"/>
      <w:szCs w:val="28"/>
    </w:rPr>
  </w:style>
  <w:style w:type="character" w:customStyle="1" w:styleId="69">
    <w:name w:val="标题 6 Char"/>
    <w:link w:val="9"/>
    <w:semiHidden/>
    <w:qFormat/>
    <w:locked/>
    <w:uiPriority w:val="99"/>
    <w:rPr>
      <w:rFonts w:ascii="Cambria" w:hAnsi="Cambria" w:eastAsia="宋体" w:cs="Cambria"/>
      <w:b/>
      <w:bCs/>
      <w:sz w:val="24"/>
      <w:szCs w:val="24"/>
    </w:rPr>
  </w:style>
  <w:style w:type="character" w:customStyle="1" w:styleId="70">
    <w:name w:val="标题 7 Char"/>
    <w:link w:val="10"/>
    <w:semiHidden/>
    <w:qFormat/>
    <w:locked/>
    <w:uiPriority w:val="99"/>
    <w:rPr>
      <w:rFonts w:ascii="Times New Roman" w:hAnsi="Times New Roman" w:cs="Times New Roman"/>
      <w:b/>
      <w:bCs/>
      <w:sz w:val="24"/>
      <w:szCs w:val="24"/>
    </w:rPr>
  </w:style>
  <w:style w:type="character" w:customStyle="1" w:styleId="71">
    <w:name w:val="标题 8 Char"/>
    <w:link w:val="11"/>
    <w:semiHidden/>
    <w:qFormat/>
    <w:locked/>
    <w:uiPriority w:val="99"/>
    <w:rPr>
      <w:rFonts w:ascii="Cambria" w:hAnsi="Cambria" w:eastAsia="宋体" w:cs="Cambria"/>
      <w:sz w:val="24"/>
      <w:szCs w:val="24"/>
    </w:rPr>
  </w:style>
  <w:style w:type="character" w:customStyle="1" w:styleId="72">
    <w:name w:val="标题 9 Char"/>
    <w:link w:val="12"/>
    <w:semiHidden/>
    <w:qFormat/>
    <w:locked/>
    <w:uiPriority w:val="99"/>
    <w:rPr>
      <w:rFonts w:ascii="Cambria" w:hAnsi="Cambria" w:eastAsia="宋体" w:cs="Cambria"/>
      <w:sz w:val="21"/>
      <w:szCs w:val="21"/>
    </w:rPr>
  </w:style>
  <w:style w:type="character" w:customStyle="1" w:styleId="73">
    <w:name w:val="正文缩进 Char"/>
    <w:link w:val="6"/>
    <w:qFormat/>
    <w:locked/>
    <w:uiPriority w:val="99"/>
    <w:rPr>
      <w:kern w:val="2"/>
      <w:sz w:val="21"/>
      <w:szCs w:val="21"/>
    </w:rPr>
  </w:style>
  <w:style w:type="character" w:customStyle="1" w:styleId="74">
    <w:name w:val="文档结构图 Char"/>
    <w:link w:val="15"/>
    <w:semiHidden/>
    <w:qFormat/>
    <w:locked/>
    <w:uiPriority w:val="99"/>
    <w:rPr>
      <w:rFonts w:ascii="Times New Roman" w:hAnsi="Times New Roman" w:cs="Times New Roman"/>
      <w:sz w:val="2"/>
      <w:szCs w:val="2"/>
    </w:rPr>
  </w:style>
  <w:style w:type="character" w:customStyle="1" w:styleId="75">
    <w:name w:val="批注文字 Char"/>
    <w:link w:val="16"/>
    <w:qFormat/>
    <w:locked/>
    <w:uiPriority w:val="99"/>
    <w:rPr>
      <w:kern w:val="2"/>
      <w:sz w:val="21"/>
      <w:szCs w:val="21"/>
    </w:rPr>
  </w:style>
  <w:style w:type="character" w:customStyle="1" w:styleId="76">
    <w:name w:val="正文文本缩进 Char"/>
    <w:link w:val="17"/>
    <w:qFormat/>
    <w:locked/>
    <w:uiPriority w:val="99"/>
    <w:rPr>
      <w:kern w:val="2"/>
      <w:sz w:val="24"/>
      <w:szCs w:val="24"/>
    </w:rPr>
  </w:style>
  <w:style w:type="character" w:customStyle="1" w:styleId="77">
    <w:name w:val="纯文本 Char"/>
    <w:link w:val="24"/>
    <w:semiHidden/>
    <w:qFormat/>
    <w:locked/>
    <w:uiPriority w:val="99"/>
    <w:rPr>
      <w:rFonts w:ascii="宋体" w:hAnsi="Courier New" w:cs="宋体"/>
      <w:sz w:val="21"/>
      <w:szCs w:val="21"/>
    </w:rPr>
  </w:style>
  <w:style w:type="character" w:customStyle="1" w:styleId="78">
    <w:name w:val="日期 Char"/>
    <w:link w:val="26"/>
    <w:semiHidden/>
    <w:qFormat/>
    <w:locked/>
    <w:uiPriority w:val="99"/>
    <w:rPr>
      <w:rFonts w:ascii="Times New Roman" w:hAnsi="Times New Roman" w:cs="Times New Roman"/>
      <w:sz w:val="21"/>
      <w:szCs w:val="21"/>
    </w:rPr>
  </w:style>
  <w:style w:type="character" w:customStyle="1" w:styleId="79">
    <w:name w:val="正文文本缩进 2 Char"/>
    <w:link w:val="27"/>
    <w:semiHidden/>
    <w:qFormat/>
    <w:locked/>
    <w:uiPriority w:val="99"/>
    <w:rPr>
      <w:rFonts w:ascii="Times New Roman" w:hAnsi="Times New Roman" w:cs="Times New Roman"/>
      <w:sz w:val="21"/>
      <w:szCs w:val="21"/>
    </w:rPr>
  </w:style>
  <w:style w:type="character" w:customStyle="1" w:styleId="80">
    <w:name w:val="批注框文本 Char"/>
    <w:link w:val="29"/>
    <w:qFormat/>
    <w:locked/>
    <w:uiPriority w:val="99"/>
    <w:rPr>
      <w:rFonts w:eastAsia="宋体"/>
      <w:kern w:val="2"/>
      <w:sz w:val="18"/>
      <w:szCs w:val="18"/>
      <w:lang w:val="en-US" w:eastAsia="zh-CN"/>
    </w:rPr>
  </w:style>
  <w:style w:type="character" w:customStyle="1" w:styleId="81">
    <w:name w:val="页脚 Char"/>
    <w:link w:val="30"/>
    <w:qFormat/>
    <w:locked/>
    <w:uiPriority w:val="99"/>
    <w:rPr>
      <w:kern w:val="2"/>
      <w:sz w:val="18"/>
      <w:szCs w:val="18"/>
    </w:rPr>
  </w:style>
  <w:style w:type="character" w:customStyle="1" w:styleId="82">
    <w:name w:val="页眉 Char"/>
    <w:link w:val="31"/>
    <w:semiHidden/>
    <w:qFormat/>
    <w:locked/>
    <w:uiPriority w:val="99"/>
    <w:rPr>
      <w:rFonts w:ascii="Times New Roman" w:hAnsi="Times New Roman" w:cs="Times New Roman"/>
      <w:sz w:val="18"/>
      <w:szCs w:val="18"/>
    </w:rPr>
  </w:style>
  <w:style w:type="character" w:customStyle="1" w:styleId="83">
    <w:name w:val="脚注文本 Char"/>
    <w:link w:val="36"/>
    <w:semiHidden/>
    <w:qFormat/>
    <w:locked/>
    <w:uiPriority w:val="99"/>
    <w:rPr>
      <w:rFonts w:ascii="Times New Roman" w:hAnsi="Times New Roman" w:cs="Times New Roman"/>
      <w:sz w:val="18"/>
      <w:szCs w:val="18"/>
    </w:rPr>
  </w:style>
  <w:style w:type="character" w:customStyle="1" w:styleId="84">
    <w:name w:val="正文文本缩进 3 Char"/>
    <w:link w:val="39"/>
    <w:semiHidden/>
    <w:qFormat/>
    <w:locked/>
    <w:uiPriority w:val="99"/>
    <w:rPr>
      <w:rFonts w:ascii="Times New Roman" w:hAnsi="Times New Roman" w:cs="Times New Roman"/>
      <w:sz w:val="16"/>
      <w:szCs w:val="16"/>
    </w:rPr>
  </w:style>
  <w:style w:type="character" w:customStyle="1" w:styleId="85">
    <w:name w:val="正文文本 2 Char"/>
    <w:link w:val="42"/>
    <w:semiHidden/>
    <w:qFormat/>
    <w:locked/>
    <w:uiPriority w:val="99"/>
    <w:rPr>
      <w:rFonts w:ascii="Times New Roman" w:hAnsi="Times New Roman" w:cs="Times New Roman"/>
      <w:sz w:val="21"/>
      <w:szCs w:val="21"/>
    </w:rPr>
  </w:style>
  <w:style w:type="character" w:customStyle="1" w:styleId="86">
    <w:name w:val="HTML 预设格式 Char"/>
    <w:link w:val="45"/>
    <w:qFormat/>
    <w:locked/>
    <w:uiPriority w:val="99"/>
    <w:rPr>
      <w:rFonts w:ascii="Courier New" w:hAnsi="Courier New" w:cs="Courier New"/>
      <w:kern w:val="2"/>
    </w:rPr>
  </w:style>
  <w:style w:type="character" w:customStyle="1" w:styleId="87">
    <w:name w:val="批注主题 Char"/>
    <w:link w:val="48"/>
    <w:semiHidden/>
    <w:qFormat/>
    <w:locked/>
    <w:uiPriority w:val="99"/>
    <w:rPr>
      <w:rFonts w:ascii="Times New Roman" w:hAnsi="Times New Roman" w:cs="Times New Roman"/>
      <w:b/>
      <w:bCs/>
      <w:kern w:val="2"/>
      <w:sz w:val="21"/>
      <w:szCs w:val="21"/>
    </w:rPr>
  </w:style>
  <w:style w:type="character" w:customStyle="1" w:styleId="88">
    <w:name w:val="正文首行缩进 Char"/>
    <w:link w:val="49"/>
    <w:semiHidden/>
    <w:qFormat/>
    <w:locked/>
    <w:uiPriority w:val="99"/>
    <w:rPr>
      <w:rFonts w:ascii="Times New Roman" w:hAnsi="Times New Roman" w:cs="Times New Roman"/>
      <w:sz w:val="21"/>
      <w:szCs w:val="21"/>
    </w:rPr>
  </w:style>
  <w:style w:type="character" w:customStyle="1" w:styleId="89">
    <w:name w:val="正文首行缩进 2 Char"/>
    <w:link w:val="50"/>
    <w:qFormat/>
    <w:locked/>
    <w:uiPriority w:val="99"/>
    <w:rPr>
      <w:rFonts w:ascii="Times New Roman" w:hAnsi="Times New Roman" w:cs="Times New Roman"/>
      <w:kern w:val="2"/>
      <w:sz w:val="21"/>
      <w:szCs w:val="21"/>
    </w:rPr>
  </w:style>
  <w:style w:type="paragraph" w:customStyle="1" w:styleId="90">
    <w:name w:val="无间隔1"/>
    <w:qFormat/>
    <w:uiPriority w:val="0"/>
    <w:rPr>
      <w:rFonts w:ascii="Times New Roman" w:hAnsi="Times New Roman" w:eastAsia="宋体" w:cs="Times New Roman"/>
      <w:sz w:val="22"/>
      <w:szCs w:val="22"/>
      <w:lang w:val="en-US" w:eastAsia="en-US" w:bidi="en-US"/>
    </w:rPr>
  </w:style>
  <w:style w:type="paragraph" w:customStyle="1" w:styleId="91">
    <w:name w:val="一级条标题"/>
    <w:basedOn w:val="92"/>
    <w:next w:val="93"/>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2">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93">
    <w:name w:val="段"/>
    <w:basedOn w:val="1"/>
    <w:next w:val="1"/>
    <w:qFormat/>
    <w:uiPriority w:val="0"/>
    <w:pPr>
      <w:widowControl/>
      <w:autoSpaceDE w:val="0"/>
      <w:autoSpaceDN w:val="0"/>
      <w:ind w:firstLine="200" w:firstLineChars="200"/>
    </w:pPr>
    <w:rPr>
      <w:rFonts w:hint="eastAsia" w:ascii="宋体"/>
      <w:kern w:val="0"/>
    </w:rPr>
  </w:style>
  <w:style w:type="character" w:customStyle="1" w:styleId="94">
    <w:name w:val="font31"/>
    <w:qFormat/>
    <w:uiPriority w:val="99"/>
    <w:rPr>
      <w:rFonts w:ascii="仿宋" w:hAnsi="仿宋" w:eastAsia="仿宋" w:cs="仿宋"/>
      <w:color w:val="000000"/>
      <w:sz w:val="20"/>
      <w:szCs w:val="20"/>
      <w:u w:val="none"/>
    </w:rPr>
  </w:style>
  <w:style w:type="character" w:customStyle="1" w:styleId="95">
    <w:name w:val="font51"/>
    <w:qFormat/>
    <w:uiPriority w:val="99"/>
    <w:rPr>
      <w:rFonts w:ascii="宋体" w:hAnsi="宋体" w:eastAsia="宋体" w:cs="宋体"/>
      <w:color w:val="000000"/>
      <w:sz w:val="24"/>
      <w:szCs w:val="24"/>
      <w:u w:val="none"/>
    </w:rPr>
  </w:style>
  <w:style w:type="character" w:customStyle="1" w:styleId="96">
    <w:name w:val="font101"/>
    <w:qFormat/>
    <w:uiPriority w:val="99"/>
    <w:rPr>
      <w:rFonts w:ascii="仿宋" w:hAnsi="仿宋" w:eastAsia="仿宋" w:cs="仿宋"/>
      <w:color w:val="000000"/>
      <w:sz w:val="20"/>
      <w:szCs w:val="20"/>
      <w:u w:val="none"/>
    </w:rPr>
  </w:style>
  <w:style w:type="character" w:customStyle="1" w:styleId="97">
    <w:name w:val="font111"/>
    <w:qFormat/>
    <w:uiPriority w:val="99"/>
    <w:rPr>
      <w:rFonts w:ascii="宋体" w:hAnsi="宋体" w:eastAsia="宋体" w:cs="宋体"/>
      <w:color w:val="000000"/>
      <w:sz w:val="20"/>
      <w:szCs w:val="20"/>
      <w:u w:val="none"/>
    </w:rPr>
  </w:style>
  <w:style w:type="character" w:customStyle="1" w:styleId="98">
    <w:name w:val="font81"/>
    <w:qFormat/>
    <w:uiPriority w:val="99"/>
    <w:rPr>
      <w:rFonts w:ascii="Arial" w:hAnsi="Arial" w:cs="Arial"/>
      <w:color w:val="000000"/>
      <w:sz w:val="20"/>
      <w:szCs w:val="20"/>
      <w:u w:val="none"/>
    </w:rPr>
  </w:style>
  <w:style w:type="character" w:customStyle="1" w:styleId="99">
    <w:name w:val="style1"/>
    <w:qFormat/>
    <w:uiPriority w:val="99"/>
  </w:style>
  <w:style w:type="character" w:customStyle="1" w:styleId="100">
    <w:name w:val="font71"/>
    <w:qFormat/>
    <w:uiPriority w:val="99"/>
    <w:rPr>
      <w:rFonts w:ascii="Wingdings 2" w:hAnsi="Wingdings 2" w:cs="Wingdings 2"/>
      <w:color w:val="000000"/>
      <w:sz w:val="20"/>
      <w:szCs w:val="20"/>
      <w:u w:val="none"/>
    </w:rPr>
  </w:style>
  <w:style w:type="character" w:customStyle="1" w:styleId="101">
    <w:name w:val="font91"/>
    <w:qFormat/>
    <w:uiPriority w:val="99"/>
    <w:rPr>
      <w:rFonts w:ascii="宋体" w:hAnsi="宋体" w:eastAsia="宋体" w:cs="宋体"/>
      <w:color w:val="000000"/>
      <w:sz w:val="20"/>
      <w:szCs w:val="20"/>
      <w:u w:val="none"/>
    </w:rPr>
  </w:style>
  <w:style w:type="character" w:customStyle="1" w:styleId="102">
    <w:name w:val="font01"/>
    <w:qFormat/>
    <w:uiPriority w:val="99"/>
    <w:rPr>
      <w:rFonts w:ascii="宋体" w:hAnsi="宋体" w:eastAsia="宋体" w:cs="宋体"/>
      <w:color w:val="FF0000"/>
      <w:sz w:val="24"/>
      <w:szCs w:val="24"/>
      <w:u w:val="none"/>
    </w:rPr>
  </w:style>
  <w:style w:type="character" w:customStyle="1" w:styleId="103">
    <w:name w:val="标题 1 Char Char"/>
    <w:qFormat/>
    <w:uiPriority w:val="99"/>
    <w:rPr>
      <w:rFonts w:ascii="宋体" w:hAnsi="宋体" w:eastAsia="宋体" w:cs="宋体"/>
      <w:b/>
      <w:bCs/>
      <w:spacing w:val="-2"/>
      <w:sz w:val="24"/>
      <w:szCs w:val="24"/>
      <w:lang w:val="en-US" w:eastAsia="zh-CN"/>
    </w:rPr>
  </w:style>
  <w:style w:type="character" w:customStyle="1" w:styleId="104">
    <w:name w:val="纯文本 Char_0_0"/>
    <w:link w:val="105"/>
    <w:qFormat/>
    <w:locked/>
    <w:uiPriority w:val="99"/>
    <w:rPr>
      <w:rFonts w:ascii="宋体" w:hAnsi="Courier New" w:cs="宋体"/>
      <w:kern w:val="2"/>
      <w:sz w:val="21"/>
      <w:szCs w:val="21"/>
    </w:rPr>
  </w:style>
  <w:style w:type="paragraph" w:customStyle="1" w:styleId="105">
    <w:name w:val="纯文本_0_0"/>
    <w:basedOn w:val="106"/>
    <w:link w:val="104"/>
    <w:qFormat/>
    <w:uiPriority w:val="99"/>
    <w:rPr>
      <w:rFonts w:ascii="宋体" w:hAnsi="Courier New" w:cs="Times New Roman"/>
    </w:rPr>
  </w:style>
  <w:style w:type="paragraph" w:customStyle="1" w:styleId="106">
    <w:name w:val="正文_7_1_0"/>
    <w:qFormat/>
    <w:uiPriority w:val="99"/>
    <w:pPr>
      <w:widowControl w:val="0"/>
      <w:jc w:val="both"/>
    </w:pPr>
    <w:rPr>
      <w:rFonts w:ascii="Calibri" w:hAnsi="Calibri" w:eastAsia="宋体" w:cs="Calibri"/>
      <w:kern w:val="2"/>
      <w:sz w:val="21"/>
      <w:szCs w:val="21"/>
      <w:lang w:val="en-US" w:eastAsia="zh-CN" w:bidi="ar-SA"/>
    </w:rPr>
  </w:style>
  <w:style w:type="character" w:customStyle="1" w:styleId="107">
    <w:name w:val="Style Heading 3 + Char"/>
    <w:link w:val="108"/>
    <w:qFormat/>
    <w:locked/>
    <w:uiPriority w:val="99"/>
    <w:rPr>
      <w:rFonts w:eastAsia="宋体"/>
      <w:b/>
      <w:bCs/>
      <w:kern w:val="2"/>
      <w:sz w:val="28"/>
      <w:szCs w:val="28"/>
      <w:lang w:val="en-US" w:eastAsia="zh-CN"/>
    </w:rPr>
  </w:style>
  <w:style w:type="paragraph" w:customStyle="1" w:styleId="108">
    <w:name w:val="Style Heading 3 +"/>
    <w:basedOn w:val="5"/>
    <w:link w:val="107"/>
    <w:qFormat/>
    <w:uiPriority w:val="99"/>
    <w:pPr>
      <w:adjustRightInd/>
      <w:spacing w:before="120" w:after="120" w:line="120" w:lineRule="atLeast"/>
      <w:textAlignment w:val="auto"/>
    </w:pPr>
    <w:rPr>
      <w:kern w:val="2"/>
      <w:sz w:val="28"/>
      <w:szCs w:val="28"/>
      <w:lang w:val="en-US" w:eastAsia="zh-CN"/>
    </w:rPr>
  </w:style>
  <w:style w:type="character" w:customStyle="1" w:styleId="109">
    <w:name w:val="font11"/>
    <w:qFormat/>
    <w:uiPriority w:val="99"/>
    <w:rPr>
      <w:rFonts w:ascii="宋体" w:hAnsi="宋体" w:eastAsia="宋体" w:cs="宋体"/>
      <w:color w:val="000000"/>
      <w:sz w:val="24"/>
      <w:szCs w:val="24"/>
      <w:u w:val="none"/>
    </w:rPr>
  </w:style>
  <w:style w:type="character" w:customStyle="1" w:styleId="110">
    <w:name w:val="font21"/>
    <w:qFormat/>
    <w:uiPriority w:val="99"/>
    <w:rPr>
      <w:rFonts w:ascii="楷体_GB2312" w:eastAsia="楷体_GB2312" w:cs="楷体_GB2312"/>
      <w:color w:val="000000"/>
      <w:sz w:val="24"/>
      <w:szCs w:val="24"/>
      <w:u w:val="none"/>
    </w:rPr>
  </w:style>
  <w:style w:type="character" w:customStyle="1" w:styleId="111">
    <w:name w:val="font41"/>
    <w:qFormat/>
    <w:uiPriority w:val="99"/>
    <w:rPr>
      <w:rFonts w:ascii="仿宋" w:hAnsi="仿宋" w:eastAsia="仿宋" w:cs="仿宋"/>
      <w:color w:val="000000"/>
      <w:sz w:val="20"/>
      <w:szCs w:val="20"/>
      <w:u w:val="none"/>
    </w:rPr>
  </w:style>
  <w:style w:type="paragraph" w:customStyle="1" w:styleId="112">
    <w:name w:val="Char Char Char1 Char"/>
    <w:basedOn w:val="1"/>
    <w:qFormat/>
    <w:uiPriority w:val="99"/>
  </w:style>
  <w:style w:type="paragraph" w:customStyle="1" w:styleId="113">
    <w:name w:val="标题 41"/>
    <w:qFormat/>
    <w:uiPriority w:val="0"/>
    <w:pPr>
      <w:widowControl w:val="0"/>
      <w:jc w:val="both"/>
    </w:pPr>
    <w:rPr>
      <w:rFonts w:ascii="Times New Roman" w:hAnsi="Arial Unicode MS" w:eastAsia="Arial Unicode MS" w:cs="Arial Unicode MS"/>
      <w:color w:val="000000"/>
      <w:u w:val="none" w:color="000000"/>
      <w:lang w:val="en-US" w:eastAsia="zh-CN" w:bidi="ar-SA"/>
    </w:rPr>
  </w:style>
  <w:style w:type="paragraph" w:customStyle="1" w:styleId="114">
    <w:name w:val="纯文本2"/>
    <w:basedOn w:val="1"/>
    <w:qFormat/>
    <w:uiPriority w:val="99"/>
    <w:rPr>
      <w:rFonts w:ascii="宋体" w:hAnsi="Courier New" w:cs="宋体"/>
      <w:sz w:val="28"/>
      <w:szCs w:val="28"/>
    </w:rPr>
  </w:style>
  <w:style w:type="paragraph" w:customStyle="1" w:styleId="115">
    <w:name w:val="Default"/>
    <w:qFormat/>
    <w:uiPriority w:val="99"/>
    <w:pPr>
      <w:widowControl w:val="0"/>
      <w:autoSpaceDE w:val="0"/>
      <w:autoSpaceDN w:val="0"/>
      <w:adjustRightInd w:val="0"/>
    </w:pPr>
    <w:rPr>
      <w:rFonts w:ascii="......." w:hAnsi="Calibri" w:eastAsia="......." w:cs="......."/>
      <w:color w:val="000000"/>
      <w:sz w:val="24"/>
      <w:szCs w:val="24"/>
      <w:lang w:val="en-US" w:eastAsia="zh-CN" w:bidi="ar-SA"/>
    </w:rPr>
  </w:style>
  <w:style w:type="paragraph" w:customStyle="1" w:styleId="116">
    <w:name w:val="6"/>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7">
    <w:name w:val="正文缩进2格"/>
    <w:basedOn w:val="1"/>
    <w:qFormat/>
    <w:uiPriority w:val="99"/>
    <w:pPr>
      <w:spacing w:line="600" w:lineRule="exact"/>
      <w:ind w:firstLine="639" w:firstLineChars="206"/>
    </w:pPr>
    <w:rPr>
      <w:rFonts w:ascii="仿宋_GB2312" w:hAnsi="宋体" w:eastAsia="仿宋_GB2312" w:cs="仿宋_GB2312"/>
      <w:sz w:val="31"/>
      <w:szCs w:val="31"/>
    </w:rPr>
  </w:style>
  <w:style w:type="paragraph" w:customStyle="1" w:styleId="118">
    <w:name w:val="1"/>
    <w:basedOn w:val="1"/>
    <w:next w:val="24"/>
    <w:qFormat/>
    <w:uiPriority w:val="99"/>
    <w:rPr>
      <w:rFonts w:ascii="宋体" w:hAnsi="Courier New" w:cs="宋体"/>
    </w:rPr>
  </w:style>
  <w:style w:type="paragraph" w:customStyle="1" w:styleId="119">
    <w:name w:val="Normal_12_0"/>
    <w:qFormat/>
    <w:uiPriority w:val="99"/>
    <w:rPr>
      <w:rFonts w:ascii="黑体" w:hAnsi="黑体" w:eastAsia="黑体" w:cs="黑体"/>
      <w:b/>
      <w:bCs/>
      <w:sz w:val="32"/>
      <w:szCs w:val="32"/>
      <w:lang w:val="en-US" w:eastAsia="zh-CN" w:bidi="ar-SA"/>
    </w:rPr>
  </w:style>
  <w:style w:type="paragraph" w:customStyle="1" w:styleId="120">
    <w:name w:val="p0"/>
    <w:basedOn w:val="1"/>
    <w:qFormat/>
    <w:uiPriority w:val="99"/>
    <w:pPr>
      <w:widowControl/>
    </w:pPr>
    <w:rPr>
      <w:kern w:val="0"/>
    </w:rPr>
  </w:style>
  <w:style w:type="paragraph" w:customStyle="1" w:styleId="121">
    <w:name w:val="列出段落1"/>
    <w:basedOn w:val="1"/>
    <w:qFormat/>
    <w:uiPriority w:val="99"/>
    <w:pPr>
      <w:ind w:firstLine="420" w:firstLineChars="200"/>
    </w:pPr>
  </w:style>
  <w:style w:type="paragraph" w:customStyle="1" w:styleId="122">
    <w:name w:val="样式 标题 1 + 宋体 段前: 0 磅 段后: 0 磅 行距: 单倍行距"/>
    <w:basedOn w:val="3"/>
    <w:next w:val="1"/>
    <w:qFormat/>
    <w:uiPriority w:val="99"/>
    <w:pPr>
      <w:spacing w:beforeLines="100" w:afterLines="100"/>
    </w:pPr>
    <w:rPr>
      <w:rFonts w:ascii="仿宋_GB2312" w:hAnsi="宋体" w:cs="仿宋_GB2312"/>
    </w:rPr>
  </w:style>
  <w:style w:type="paragraph" w:customStyle="1" w:styleId="123">
    <w:name w:val="图文"/>
    <w:basedOn w:val="1"/>
    <w:qFormat/>
    <w:uiPriority w:val="99"/>
    <w:pPr>
      <w:adjustRightInd w:val="0"/>
      <w:snapToGrid w:val="0"/>
      <w:spacing w:after="50" w:line="360" w:lineRule="auto"/>
    </w:pPr>
    <w:rPr>
      <w:sz w:val="24"/>
      <w:szCs w:val="24"/>
    </w:rPr>
  </w:style>
  <w:style w:type="paragraph" w:customStyle="1" w:styleId="124">
    <w:name w:val="列出段落11"/>
    <w:basedOn w:val="1"/>
    <w:qFormat/>
    <w:uiPriority w:val="99"/>
    <w:pPr>
      <w:ind w:firstLine="200" w:firstLineChars="200"/>
    </w:pPr>
    <w:rPr>
      <w:rFonts w:ascii="Calibri" w:hAnsi="Calibri" w:cs="Calibri"/>
    </w:rPr>
  </w:style>
  <w:style w:type="paragraph" w:styleId="125">
    <w:name w:val="List Paragraph"/>
    <w:basedOn w:val="1"/>
    <w:qFormat/>
    <w:uiPriority w:val="99"/>
    <w:pPr>
      <w:ind w:firstLine="420" w:firstLineChars="200"/>
    </w:pPr>
  </w:style>
  <w:style w:type="paragraph" w:customStyle="1" w:styleId="126">
    <w:name w:val="Char2"/>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27">
    <w:name w:val="默认段落字体 Para Char Char Char Char"/>
    <w:basedOn w:val="1"/>
    <w:qFormat/>
    <w:uiPriority w:val="99"/>
  </w:style>
  <w:style w:type="paragraph" w:customStyle="1" w:styleId="128">
    <w:name w:val="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29">
    <w:name w:val="二级目录"/>
    <w:next w:val="1"/>
    <w:qFormat/>
    <w:uiPriority w:val="99"/>
    <w:pPr>
      <w:tabs>
        <w:tab w:val="left" w:pos="720"/>
      </w:tabs>
      <w:ind w:left="720" w:hanging="720"/>
      <w:outlineLvl w:val="1"/>
    </w:pPr>
    <w:rPr>
      <w:rFonts w:ascii="Times New Roman" w:hAnsi="Times New Roman" w:eastAsia="宋体" w:cs="Times New Roman"/>
      <w:b/>
      <w:bCs/>
      <w:kern w:val="2"/>
      <w:sz w:val="30"/>
      <w:szCs w:val="30"/>
      <w:lang w:val="en-US" w:eastAsia="zh-CN" w:bidi="ar-SA"/>
    </w:rPr>
  </w:style>
  <w:style w:type="paragraph" w:customStyle="1" w:styleId="130">
    <w:name w:val="简单回函地址"/>
    <w:basedOn w:val="1"/>
    <w:qFormat/>
    <w:uiPriority w:val="99"/>
  </w:style>
  <w:style w:type="paragraph" w:customStyle="1" w:styleId="131">
    <w:name w:val="Plain Text1"/>
    <w:basedOn w:val="1"/>
    <w:qFormat/>
    <w:uiPriority w:val="99"/>
    <w:pPr>
      <w:widowControl/>
      <w:adjustRightInd w:val="0"/>
      <w:jc w:val="left"/>
      <w:textAlignment w:val="baseline"/>
    </w:pPr>
    <w:rPr>
      <w:rFonts w:ascii="宋体" w:hAnsi="Courier New" w:eastAsia="楷体_GB2312" w:cs="宋体"/>
      <w:kern w:val="0"/>
      <w:sz w:val="26"/>
      <w:szCs w:val="26"/>
    </w:rPr>
  </w:style>
  <w:style w:type="paragraph" w:customStyle="1" w:styleId="132">
    <w:name w:val="文档正文"/>
    <w:basedOn w:val="1"/>
    <w:qFormat/>
    <w:uiPriority w:val="99"/>
    <w:pPr>
      <w:adjustRightInd w:val="0"/>
      <w:spacing w:line="480" w:lineRule="atLeast"/>
      <w:ind w:firstLine="567"/>
      <w:textAlignment w:val="baseline"/>
    </w:pPr>
    <w:rPr>
      <w:rFonts w:ascii="仿宋_GB2312" w:eastAsia="仿宋_GB2312" w:cs="仿宋_GB2312"/>
      <w:kern w:val="0"/>
      <w:sz w:val="28"/>
      <w:szCs w:val="28"/>
    </w:rPr>
  </w:style>
  <w:style w:type="paragraph" w:customStyle="1" w:styleId="133">
    <w:name w:val="样式 标题 2 + 黑色 行距: 1.5 倍行距"/>
    <w:basedOn w:val="4"/>
    <w:qFormat/>
    <w:uiPriority w:val="99"/>
    <w:pPr>
      <w:adjustRightInd/>
      <w:spacing w:line="360" w:lineRule="auto"/>
      <w:ind w:firstLine="3502" w:firstLineChars="1246"/>
      <w:textAlignment w:val="auto"/>
    </w:pPr>
    <w:rPr>
      <w:rFonts w:ascii="楷体_GB2312" w:hAnsi="宋体" w:eastAsia="楷体_GB2312" w:cs="楷体_GB2312"/>
      <w:kern w:val="2"/>
      <w:sz w:val="28"/>
      <w:szCs w:val="28"/>
    </w:rPr>
  </w:style>
  <w:style w:type="paragraph" w:customStyle="1" w:styleId="134">
    <w:name w:val="Body Text First Indent 21"/>
    <w:qFormat/>
    <w:uiPriority w:val="99"/>
    <w:pPr>
      <w:widowControl w:val="0"/>
      <w:spacing w:line="480" w:lineRule="auto"/>
      <w:ind w:firstLine="420" w:firstLineChars="200"/>
      <w:jc w:val="both"/>
    </w:pPr>
    <w:rPr>
      <w:rFonts w:ascii="仿宋" w:hAnsi="仿宋" w:eastAsia="仿宋" w:cs="仿宋"/>
      <w:kern w:val="2"/>
      <w:sz w:val="24"/>
      <w:szCs w:val="24"/>
      <w:lang w:val="en-US" w:eastAsia="zh-CN" w:bidi="ar-SA"/>
    </w:rPr>
  </w:style>
  <w:style w:type="paragraph" w:customStyle="1" w:styleId="135">
    <w:name w:val="正文_0"/>
    <w:qFormat/>
    <w:uiPriority w:val="99"/>
    <w:rPr>
      <w:rFonts w:ascii="Times New Roman" w:hAnsi="Times New Roman" w:eastAsia="宋体" w:cs="Times New Roman"/>
      <w:sz w:val="21"/>
      <w:szCs w:val="21"/>
      <w:lang w:val="en-US" w:eastAsia="zh-CN" w:bidi="ar-SA"/>
    </w:rPr>
  </w:style>
  <w:style w:type="paragraph" w:customStyle="1" w:styleId="136">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7">
    <w:name w:val="ZX-正文"/>
    <w:qFormat/>
    <w:uiPriority w:val="0"/>
    <w:pPr>
      <w:spacing w:beforeLines="50"/>
      <w:ind w:firstLine="480" w:firstLineChars="200"/>
    </w:pPr>
    <w:rPr>
      <w:rFonts w:ascii="Trebuchet MS" w:hAnsi="FuturaA Bk BT" w:eastAsia="宋体" w:cs="Times New Roman"/>
      <w:kern w:val="2"/>
      <w:sz w:val="24"/>
      <w:lang w:val="en-US" w:eastAsia="zh-CN" w:bidi="ar-SA"/>
    </w:rPr>
  </w:style>
  <w:style w:type="paragraph" w:customStyle="1" w:styleId="138">
    <w:name w:val="Body"/>
    <w:qFormat/>
    <w:uiPriority w:val="0"/>
    <w:rPr>
      <w:rFonts w:hint="eastAsia" w:ascii="Arial Unicode MS" w:hAnsi="Arial Unicode MS" w:eastAsia="Helvetica" w:cs="Arial Unicode MS"/>
      <w:color w:val="000000"/>
      <w:sz w:val="22"/>
      <w:szCs w:val="22"/>
      <w:lang w:val="en-US" w:eastAsia="zh-CN" w:bidi="ar-SA"/>
    </w:rPr>
  </w:style>
  <w:style w:type="paragraph" w:customStyle="1" w:styleId="139">
    <w:name w:val="Body text|1"/>
    <w:basedOn w:val="1"/>
    <w:qFormat/>
    <w:uiPriority w:val="0"/>
    <w:pPr>
      <w:widowControl w:val="0"/>
      <w:shd w:val="clear" w:color="auto" w:fill="auto"/>
      <w:spacing w:line="434" w:lineRule="auto"/>
      <w:ind w:firstLine="400"/>
    </w:pPr>
    <w:rPr>
      <w:rFonts w:ascii="宋体" w:hAnsi="宋体" w:eastAsia="宋体" w:cs="宋体"/>
      <w:sz w:val="20"/>
      <w:szCs w:val="20"/>
      <w:u w:val="none"/>
      <w:shd w:val="clear" w:color="auto" w:fill="auto"/>
      <w:lang w:val="zh-TW" w:eastAsia="zh-TW" w:bidi="zh-TW"/>
    </w:rPr>
  </w:style>
  <w:style w:type="paragraph" w:customStyle="1" w:styleId="140">
    <w:name w:val="_Style 17"/>
    <w:basedOn w:val="1"/>
    <w:next w:val="125"/>
    <w:qFormat/>
    <w:uiPriority w:val="99"/>
    <w:pPr>
      <w:spacing w:line="240" w:lineRule="auto"/>
      <w:ind w:firstLine="420" w:firstLineChars="200"/>
    </w:pPr>
    <w:rPr>
      <w:rFonts w:ascii="Calibri" w:hAnsi="Calibri" w:eastAsia="宋体" w:cs="Times New Roman"/>
      <w:sz w:val="21"/>
    </w:rPr>
  </w:style>
  <w:style w:type="paragraph" w:customStyle="1" w:styleId="14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42">
    <w:name w:val="正文（缩进）"/>
    <w:basedOn w:val="1"/>
    <w:qFormat/>
    <w:uiPriority w:val="0"/>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19631</Words>
  <Characters>20087</Characters>
  <Lines>207</Lines>
  <Paragraphs>58</Paragraphs>
  <TotalTime>0</TotalTime>
  <ScaleCrop>false</ScaleCrop>
  <LinksUpToDate>false</LinksUpToDate>
  <CharactersWithSpaces>21102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2021-04-13T03:26:00Z</dcterms:created>
  <dc:creator>ql</dc:creator>
  <cp:lastModifiedBy>Da脸菇凉</cp:lastModifiedBy>
  <cp:lastPrinted>2022-09-29T07:30:00Z</cp:lastPrinted>
  <dcterms:modified xsi:type="dcterms:W3CDTF">2022-12-12T05:47:22Z</dcterms:modified>
  <dc:title>崇川区闸管所2020年闸（站）液压式启闭机维修保养项目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B9A2C430350549688177600270178B96</vt:lpwstr>
  </property>
</Properties>
</file>