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jc w:val="center"/>
        <w:rPr>
          <w:rFonts w:ascii="宋体"/>
          <w:b/>
          <w:bCs/>
          <w:sz w:val="44"/>
          <w:szCs w:val="44"/>
        </w:rPr>
      </w:pPr>
    </w:p>
    <w:p>
      <w:pPr>
        <w:pStyle w:val="2"/>
        <w:jc w:val="center"/>
        <w:rPr>
          <w:rFonts w:hint="eastAsia" w:eastAsia="宋体"/>
          <w:sz w:val="48"/>
          <w:szCs w:val="48"/>
          <w:lang w:eastAsia="zh-CN"/>
        </w:rPr>
      </w:pPr>
      <w:r>
        <w:rPr>
          <w:rFonts w:hint="eastAsia" w:ascii="宋体" w:hAnsi="宋体" w:cs="宋体"/>
          <w:b/>
          <w:bCs/>
          <w:sz w:val="48"/>
          <w:szCs w:val="48"/>
          <w:lang w:eastAsia="zh-CN"/>
        </w:rPr>
        <w:t>南通市保安服务有限公司电梯维保服务项目</w:t>
      </w:r>
    </w:p>
    <w:p>
      <w:pPr>
        <w:tabs>
          <w:tab w:val="left" w:pos="6300"/>
        </w:tabs>
        <w:snapToGrid w:val="0"/>
        <w:spacing w:line="300" w:lineRule="auto"/>
        <w:jc w:val="both"/>
        <w:rPr>
          <w:rFonts w:hint="eastAsia" w:ascii="宋体" w:hAnsi="宋体" w:cs="宋体"/>
          <w:b/>
          <w:bCs/>
          <w:w w:val="80"/>
          <w:sz w:val="96"/>
          <w:szCs w:val="96"/>
        </w:rPr>
      </w:pPr>
    </w:p>
    <w:p>
      <w:pPr>
        <w:pStyle w:val="19"/>
        <w:rPr>
          <w:rFonts w:hint="eastAsia" w:ascii="宋体" w:hAnsi="宋体" w:cs="宋体"/>
          <w:b/>
          <w:bCs/>
          <w:w w:val="80"/>
          <w:sz w:val="96"/>
          <w:szCs w:val="96"/>
        </w:rPr>
      </w:pPr>
    </w:p>
    <w:p>
      <w:pPr>
        <w:rPr>
          <w:rFonts w:hint="eastAsia"/>
        </w:rPr>
      </w:pPr>
    </w:p>
    <w:p>
      <w:pPr>
        <w:rPr>
          <w:rFonts w:hint="eastAsia"/>
        </w:rPr>
      </w:pPr>
    </w:p>
    <w:p>
      <w:pPr>
        <w:rPr>
          <w:rFonts w:hint="eastAsia"/>
        </w:rPr>
      </w:pPr>
    </w:p>
    <w:p>
      <w:pPr>
        <w:tabs>
          <w:tab w:val="left" w:pos="6300"/>
        </w:tabs>
        <w:snapToGrid w:val="0"/>
        <w:spacing w:line="300" w:lineRule="auto"/>
        <w:jc w:val="center"/>
        <w:rPr>
          <w:rFonts w:ascii="宋体"/>
          <w:b/>
          <w:bCs/>
          <w:w w:val="80"/>
          <w:sz w:val="96"/>
          <w:szCs w:val="96"/>
        </w:rPr>
      </w:pPr>
      <w:r>
        <w:rPr>
          <w:rFonts w:hint="eastAsia" w:ascii="宋体" w:hAnsi="宋体" w:cs="宋体"/>
          <w:b/>
          <w:bCs/>
          <w:w w:val="80"/>
          <w:sz w:val="96"/>
          <w:szCs w:val="96"/>
        </w:rPr>
        <w:t>竞争性磋商文件</w:t>
      </w:r>
    </w:p>
    <w:p>
      <w:pPr>
        <w:jc w:val="center"/>
        <w:rPr>
          <w:rFonts w:ascii="宋体"/>
          <w:b/>
          <w:bCs/>
          <w:sz w:val="44"/>
          <w:szCs w:val="44"/>
        </w:rPr>
      </w:pPr>
    </w:p>
    <w:p>
      <w:pPr>
        <w:pStyle w:val="2"/>
        <w:rPr>
          <w:rFonts w:hint="eastAsia"/>
        </w:rPr>
      </w:pPr>
    </w:p>
    <w:p>
      <w:pPr>
        <w:pStyle w:val="19"/>
      </w:pPr>
    </w:p>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rPr>
          <w:rFonts w:hint="eastAsia"/>
        </w:rPr>
      </w:pPr>
    </w:p>
    <w:p>
      <w:pPr>
        <w:adjustRightInd w:val="0"/>
        <w:snapToGrid w:val="0"/>
        <w:spacing w:line="360" w:lineRule="auto"/>
        <w:ind w:firstLine="2409" w:firstLineChars="800"/>
        <w:jc w:val="left"/>
        <w:rPr>
          <w:rFonts w:hint="eastAsia" w:ascii="宋体" w:hAnsi="宋体" w:eastAsia="宋体" w:cs="宋体"/>
          <w:b/>
          <w:bCs/>
          <w:sz w:val="30"/>
          <w:szCs w:val="30"/>
          <w:lang w:eastAsia="zh-CN"/>
        </w:rPr>
      </w:pPr>
      <w:bookmarkStart w:id="0" w:name="_Toc521201596"/>
      <w:bookmarkStart w:id="1" w:name="_Toc94544743"/>
      <w:bookmarkStart w:id="2" w:name="_Toc12670502"/>
      <w:bookmarkStart w:id="3" w:name="_Toc8895738"/>
      <w:bookmarkStart w:id="4" w:name="_Toc521203417"/>
      <w:bookmarkStart w:id="5" w:name="_Toc11500279"/>
      <w:bookmarkStart w:id="6" w:name="_Toc11499583"/>
      <w:bookmarkStart w:id="7" w:name="_Toc94544827"/>
      <w:bookmarkStart w:id="8" w:name="_Toc94585339"/>
      <w:bookmarkStart w:id="9" w:name="_Toc11554638"/>
      <w:r>
        <w:rPr>
          <w:rFonts w:hint="eastAsia" w:ascii="宋体" w:hAnsi="宋体" w:cs="宋体"/>
          <w:b/>
          <w:bCs/>
          <w:sz w:val="30"/>
          <w:szCs w:val="30"/>
        </w:rPr>
        <w:t>采购单位：</w:t>
      </w:r>
      <w:r>
        <w:rPr>
          <w:rFonts w:hint="eastAsia" w:ascii="宋体" w:hAnsi="宋体" w:cs="宋体"/>
          <w:b/>
          <w:bCs/>
          <w:sz w:val="30"/>
          <w:szCs w:val="30"/>
          <w:lang w:eastAsia="zh-CN"/>
        </w:rPr>
        <w:t>南通市保安服务有限公司</w:t>
      </w:r>
    </w:p>
    <w:p>
      <w:pPr>
        <w:adjustRightInd w:val="0"/>
        <w:snapToGrid w:val="0"/>
        <w:spacing w:line="360" w:lineRule="auto"/>
        <w:ind w:firstLine="2409" w:firstLineChars="800"/>
        <w:jc w:val="left"/>
        <w:rPr>
          <w:rFonts w:hint="eastAsia" w:ascii="宋体" w:hAnsi="宋体" w:eastAsia="宋体" w:cs="宋体"/>
          <w:b/>
          <w:bCs/>
          <w:sz w:val="30"/>
          <w:szCs w:val="30"/>
          <w:lang w:eastAsia="zh-CN"/>
        </w:rPr>
      </w:pPr>
      <w:r>
        <w:rPr>
          <w:rFonts w:hint="eastAsia" w:ascii="宋体" w:hAnsi="宋体" w:cs="宋体"/>
          <w:b/>
          <w:bCs/>
          <w:sz w:val="30"/>
          <w:szCs w:val="30"/>
        </w:rPr>
        <w:t>代理机构：</w:t>
      </w:r>
      <w:r>
        <w:rPr>
          <w:rFonts w:hint="eastAsia" w:ascii="宋体" w:hAnsi="宋体" w:cs="宋体"/>
          <w:b/>
          <w:bCs/>
          <w:sz w:val="30"/>
          <w:szCs w:val="30"/>
          <w:lang w:eastAsia="zh-CN"/>
        </w:rPr>
        <w:t>中诚智信工程咨询集团股份有限公司</w:t>
      </w:r>
    </w:p>
    <w:p>
      <w:pPr>
        <w:adjustRightInd w:val="0"/>
        <w:snapToGrid w:val="0"/>
        <w:spacing w:line="360" w:lineRule="auto"/>
        <w:jc w:val="center"/>
        <w:rPr>
          <w:rFonts w:ascii="宋体" w:hAnsi="宋体" w:cs="宋体"/>
          <w:b/>
          <w:bCs/>
          <w:w w:val="80"/>
          <w:sz w:val="52"/>
          <w:szCs w:val="52"/>
        </w:rPr>
      </w:pPr>
      <w:r>
        <w:rPr>
          <w:rFonts w:hint="eastAsia" w:ascii="宋体" w:hAnsi="宋体" w:cs="宋体"/>
          <w:b/>
          <w:bCs/>
          <w:sz w:val="30"/>
          <w:szCs w:val="30"/>
        </w:rPr>
        <w:t xml:space="preserve"> 二〇二</w:t>
      </w:r>
      <w:r>
        <w:rPr>
          <w:rFonts w:hint="eastAsia" w:ascii="宋体" w:hAnsi="宋体" w:cs="宋体"/>
          <w:b/>
          <w:bCs/>
          <w:sz w:val="30"/>
          <w:szCs w:val="30"/>
          <w:lang w:val="en-US" w:eastAsia="zh-CN"/>
        </w:rPr>
        <w:t>二</w:t>
      </w:r>
      <w:r>
        <w:rPr>
          <w:rFonts w:hint="eastAsia" w:ascii="宋体" w:hAnsi="宋体" w:cs="宋体"/>
          <w:b/>
          <w:bCs/>
          <w:sz w:val="30"/>
          <w:szCs w:val="30"/>
        </w:rPr>
        <w:t>年</w:t>
      </w:r>
      <w:r>
        <w:rPr>
          <w:rFonts w:hint="eastAsia" w:ascii="宋体" w:hAnsi="宋体" w:cs="宋体"/>
          <w:b/>
          <w:bCs/>
          <w:sz w:val="30"/>
          <w:szCs w:val="30"/>
          <w:lang w:val="en-US" w:eastAsia="zh-CN"/>
        </w:rPr>
        <w:t>十二</w:t>
      </w:r>
      <w:r>
        <w:rPr>
          <w:rFonts w:hint="eastAsia" w:ascii="宋体" w:hAnsi="宋体" w:cs="宋体"/>
          <w:b/>
          <w:bCs/>
          <w:sz w:val="30"/>
          <w:szCs w:val="30"/>
        </w:rPr>
        <w:t>月</w:t>
      </w:r>
      <w:r>
        <w:rPr>
          <w:rFonts w:hint="eastAsia" w:ascii="宋体" w:hAnsi="宋体" w:cs="宋体"/>
          <w:b/>
          <w:bCs/>
          <w:sz w:val="30"/>
          <w:szCs w:val="30"/>
          <w:lang w:val="en-US" w:eastAsia="zh-CN"/>
        </w:rPr>
        <w:t>九</w:t>
      </w:r>
      <w:r>
        <w:rPr>
          <w:rFonts w:hint="eastAsia" w:ascii="宋体" w:hAnsi="宋体" w:cs="宋体"/>
          <w:b/>
          <w:bCs/>
          <w:sz w:val="30"/>
          <w:szCs w:val="30"/>
          <w:lang w:eastAsia="zh-CN"/>
        </w:rPr>
        <w:t>日</w:t>
      </w:r>
      <w:r>
        <w:rPr>
          <w:rFonts w:hint="eastAsia" w:ascii="宋体" w:hAnsi="宋体" w:cs="宋体"/>
          <w:b/>
          <w:bCs/>
          <w:sz w:val="30"/>
          <w:szCs w:val="30"/>
        </w:rPr>
        <w:t xml:space="preserve">  </w:t>
      </w:r>
      <w:bookmarkStart w:id="69" w:name="_GoBack"/>
      <w:bookmarkEnd w:id="69"/>
      <w:r>
        <w:rPr>
          <w:rFonts w:ascii="宋体"/>
          <w:b/>
          <w:bCs/>
          <w:sz w:val="44"/>
          <w:szCs w:val="44"/>
        </w:rPr>
        <w:br w:type="page"/>
      </w:r>
    </w:p>
    <w:p>
      <w:pPr>
        <w:adjustRightInd w:val="0"/>
        <w:snapToGrid w:val="0"/>
        <w:spacing w:line="360" w:lineRule="auto"/>
        <w:jc w:val="center"/>
        <w:rPr>
          <w:rFonts w:ascii="宋体"/>
          <w:b/>
          <w:bCs/>
          <w:i/>
          <w:iCs/>
          <w:w w:val="80"/>
          <w:sz w:val="52"/>
          <w:szCs w:val="52"/>
        </w:rPr>
      </w:pPr>
      <w:r>
        <w:rPr>
          <w:rFonts w:hint="eastAsia" w:ascii="宋体" w:hAnsi="宋体" w:cs="宋体"/>
          <w:b/>
          <w:bCs/>
          <w:w w:val="80"/>
          <w:sz w:val="52"/>
          <w:szCs w:val="52"/>
        </w:rPr>
        <w:t>目</w:t>
      </w:r>
      <w:r>
        <w:rPr>
          <w:rFonts w:ascii="宋体" w:hAnsi="宋体" w:cs="宋体"/>
          <w:b/>
          <w:bCs/>
          <w:w w:val="80"/>
          <w:sz w:val="52"/>
          <w:szCs w:val="52"/>
        </w:rPr>
        <w:t xml:space="preserve"> </w:t>
      </w:r>
      <w:r>
        <w:rPr>
          <w:rFonts w:hint="eastAsia" w:ascii="宋体" w:hAnsi="宋体" w:cs="宋体"/>
          <w:b/>
          <w:bCs/>
          <w:w w:val="80"/>
          <w:sz w:val="52"/>
          <w:szCs w:val="52"/>
        </w:rPr>
        <w:t xml:space="preserve"> 录</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第一章</w:t>
      </w:r>
      <w:r>
        <w:rPr>
          <w:rFonts w:ascii="宋体" w:cs="宋体"/>
          <w:caps w:val="0"/>
          <w:w w:val="100"/>
          <w:sz w:val="32"/>
          <w:szCs w:val="32"/>
        </w:rPr>
        <w:t xml:space="preserve"> </w:t>
      </w:r>
      <w:r>
        <w:rPr>
          <w:rFonts w:hint="eastAsia" w:ascii="宋体" w:cs="宋体"/>
          <w:caps w:val="0"/>
          <w:w w:val="100"/>
          <w:sz w:val="32"/>
          <w:szCs w:val="32"/>
        </w:rPr>
        <w:t>竞争性磋商公告</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第二章</w:t>
      </w:r>
      <w:r>
        <w:rPr>
          <w:rFonts w:ascii="宋体" w:cs="宋体"/>
          <w:caps w:val="0"/>
          <w:w w:val="100"/>
          <w:sz w:val="32"/>
          <w:szCs w:val="32"/>
        </w:rPr>
        <w:t xml:space="preserve"> </w:t>
      </w:r>
      <w:r>
        <w:rPr>
          <w:rFonts w:hint="eastAsia" w:ascii="宋体" w:cs="宋体"/>
          <w:caps w:val="0"/>
          <w:w w:val="100"/>
          <w:sz w:val="32"/>
          <w:szCs w:val="32"/>
        </w:rPr>
        <w:t>磋商供应商须知</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第三章</w:t>
      </w:r>
      <w:r>
        <w:rPr>
          <w:rFonts w:ascii="宋体" w:cs="宋体"/>
          <w:caps w:val="0"/>
          <w:w w:val="100"/>
          <w:sz w:val="32"/>
          <w:szCs w:val="32"/>
        </w:rPr>
        <w:t xml:space="preserve"> </w:t>
      </w:r>
      <w:r>
        <w:rPr>
          <w:rFonts w:hint="eastAsia" w:ascii="宋体" w:cs="宋体"/>
          <w:caps w:val="0"/>
          <w:w w:val="100"/>
          <w:sz w:val="32"/>
          <w:szCs w:val="32"/>
        </w:rPr>
        <w:t>项目需求</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第四章</w:t>
      </w:r>
      <w:r>
        <w:rPr>
          <w:rFonts w:ascii="宋体" w:cs="宋体"/>
          <w:caps w:val="0"/>
          <w:w w:val="100"/>
          <w:sz w:val="32"/>
          <w:szCs w:val="32"/>
        </w:rPr>
        <w:t xml:space="preserve"> </w:t>
      </w:r>
      <w:r>
        <w:rPr>
          <w:rFonts w:hint="eastAsia" w:ascii="宋体" w:cs="宋体"/>
          <w:caps w:val="0"/>
          <w:w w:val="100"/>
          <w:sz w:val="32"/>
          <w:szCs w:val="32"/>
        </w:rPr>
        <w:t>评审方法和程序</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第五章</w:t>
      </w:r>
      <w:r>
        <w:rPr>
          <w:rFonts w:ascii="宋体" w:cs="宋体"/>
          <w:caps w:val="0"/>
          <w:w w:val="100"/>
          <w:sz w:val="32"/>
          <w:szCs w:val="32"/>
        </w:rPr>
        <w:t xml:space="preserve"> </w:t>
      </w:r>
      <w:r>
        <w:rPr>
          <w:rFonts w:hint="eastAsia" w:ascii="宋体" w:cs="宋体"/>
          <w:caps w:val="0"/>
          <w:w w:val="100"/>
          <w:sz w:val="32"/>
          <w:szCs w:val="32"/>
        </w:rPr>
        <w:t>合同主要条款</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第六章</w:t>
      </w:r>
      <w:r>
        <w:rPr>
          <w:rFonts w:ascii="宋体" w:cs="宋体"/>
          <w:caps w:val="0"/>
          <w:w w:val="100"/>
          <w:sz w:val="32"/>
          <w:szCs w:val="32"/>
        </w:rPr>
        <w:t xml:space="preserve"> </w:t>
      </w:r>
      <w:r>
        <w:rPr>
          <w:rFonts w:hint="eastAsia" w:ascii="宋体" w:cs="宋体"/>
          <w:caps w:val="0"/>
          <w:w w:val="100"/>
          <w:sz w:val="32"/>
          <w:szCs w:val="32"/>
        </w:rPr>
        <w:t>合同授予</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第七章</w:t>
      </w:r>
      <w:r>
        <w:rPr>
          <w:rFonts w:ascii="宋体" w:cs="宋体"/>
          <w:caps w:val="0"/>
          <w:w w:val="100"/>
          <w:sz w:val="32"/>
          <w:szCs w:val="32"/>
        </w:rPr>
        <w:t xml:space="preserve"> </w:t>
      </w:r>
      <w:r>
        <w:rPr>
          <w:rFonts w:hint="eastAsia" w:ascii="宋体" w:cs="宋体"/>
          <w:caps w:val="0"/>
          <w:w w:val="100"/>
          <w:sz w:val="32"/>
          <w:szCs w:val="32"/>
        </w:rPr>
        <w:t>质疑提出和处理</w:t>
      </w:r>
    </w:p>
    <w:p>
      <w:pPr>
        <w:pStyle w:val="35"/>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第八章</w:t>
      </w:r>
      <w:r>
        <w:rPr>
          <w:rFonts w:ascii="宋体" w:cs="宋体"/>
          <w:caps w:val="0"/>
          <w:w w:val="100"/>
          <w:sz w:val="32"/>
          <w:szCs w:val="32"/>
        </w:rPr>
        <w:t xml:space="preserve"> </w:t>
      </w:r>
      <w:r>
        <w:rPr>
          <w:rFonts w:hint="eastAsia" w:ascii="宋体" w:cs="宋体"/>
          <w:caps w:val="0"/>
          <w:w w:val="100"/>
          <w:sz w:val="32"/>
          <w:szCs w:val="32"/>
        </w:rPr>
        <w:t>响应文件组成及格式</w:t>
      </w:r>
    </w:p>
    <w:p>
      <w:pPr>
        <w:rPr>
          <w:rFonts w:ascii="宋体"/>
          <w:sz w:val="36"/>
          <w:szCs w:val="36"/>
        </w:rPr>
      </w:pPr>
    </w:p>
    <w:p>
      <w:pPr>
        <w:rPr>
          <w:rFonts w:ascii="宋体"/>
          <w:sz w:val="36"/>
          <w:szCs w:val="36"/>
        </w:rPr>
      </w:pPr>
    </w:p>
    <w:p>
      <w:pPr>
        <w:snapToGrid w:val="0"/>
        <w:spacing w:line="360" w:lineRule="auto"/>
        <w:rPr>
          <w:rFonts w:ascii="宋体"/>
          <w:b/>
          <w:bCs/>
          <w:sz w:val="24"/>
          <w:szCs w:val="24"/>
        </w:rPr>
      </w:pPr>
      <w:r>
        <w:rPr>
          <w:rFonts w:ascii="宋体"/>
          <w:b/>
          <w:bCs/>
        </w:rPr>
        <w:br w:type="page"/>
      </w:r>
      <w:r>
        <w:rPr>
          <w:rFonts w:hint="eastAsia" w:ascii="宋体" w:hAnsi="宋体" w:cs="宋体"/>
          <w:b/>
          <w:bCs/>
          <w:sz w:val="24"/>
          <w:szCs w:val="24"/>
        </w:rPr>
        <w:t>尊敬的磋商供应商：</w:t>
      </w:r>
    </w:p>
    <w:p>
      <w:pPr>
        <w:snapToGrid w:val="0"/>
        <w:spacing w:line="360" w:lineRule="auto"/>
        <w:ind w:firstLine="482" w:firstLineChars="200"/>
        <w:rPr>
          <w:rFonts w:ascii="宋体"/>
          <w:b/>
          <w:bCs/>
          <w:sz w:val="24"/>
          <w:szCs w:val="24"/>
        </w:rPr>
      </w:pPr>
      <w:r>
        <w:rPr>
          <w:rFonts w:hint="eastAsia" w:ascii="宋体" w:hAnsi="宋体" w:cs="宋体"/>
          <w:b/>
          <w:bCs/>
          <w:sz w:val="24"/>
          <w:szCs w:val="24"/>
        </w:rPr>
        <w:t>欢迎参加本采购项目的竞争性磋商。为了保证本次磋商项目顺利进行，请在制作响应文件之前，仔细阅读本竞争性磋商文件的各项条款，并按要求制作和递交响应文件。谢谢合作！</w:t>
      </w:r>
    </w:p>
    <w:p>
      <w:pPr>
        <w:pStyle w:val="26"/>
        <w:tabs>
          <w:tab w:val="left" w:pos="1050"/>
          <w:tab w:val="right" w:leader="dot" w:pos="9402"/>
        </w:tabs>
        <w:spacing w:line="360" w:lineRule="auto"/>
        <w:ind w:left="0"/>
        <w:jc w:val="center"/>
        <w:outlineLvl w:val="0"/>
        <w:rPr>
          <w:rFonts w:ascii="宋体"/>
          <w:b/>
          <w:bCs/>
          <w:i w:val="0"/>
          <w:iCs w:val="0"/>
          <w:sz w:val="44"/>
          <w:szCs w:val="44"/>
        </w:rPr>
      </w:pPr>
      <w:bookmarkStart w:id="10" w:name="_Toc363573853"/>
      <w:r>
        <w:rPr>
          <w:rFonts w:hint="eastAsia" w:ascii="宋体" w:hAnsi="宋体" w:cs="宋体"/>
          <w:b/>
          <w:bCs/>
          <w:i w:val="0"/>
          <w:iCs w:val="0"/>
          <w:w w:val="80"/>
          <w:sz w:val="44"/>
          <w:szCs w:val="44"/>
        </w:rPr>
        <w:t>第一章 竞争性磋商公</w:t>
      </w:r>
      <w:bookmarkEnd w:id="0"/>
      <w:bookmarkEnd w:id="1"/>
      <w:bookmarkEnd w:id="2"/>
      <w:bookmarkEnd w:id="3"/>
      <w:bookmarkEnd w:id="4"/>
      <w:bookmarkEnd w:id="5"/>
      <w:bookmarkEnd w:id="6"/>
      <w:bookmarkEnd w:id="7"/>
      <w:bookmarkEnd w:id="8"/>
      <w:bookmarkEnd w:id="9"/>
      <w:r>
        <w:rPr>
          <w:rFonts w:hint="eastAsia" w:ascii="宋体" w:hAnsi="宋体" w:cs="宋体"/>
          <w:b/>
          <w:bCs/>
          <w:i w:val="0"/>
          <w:iCs w:val="0"/>
          <w:w w:val="80"/>
          <w:sz w:val="44"/>
          <w:szCs w:val="44"/>
        </w:rPr>
        <w:t>告</w:t>
      </w:r>
      <w:bookmarkEnd w:id="10"/>
    </w:p>
    <w:p>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项目概况</w:t>
      </w:r>
    </w:p>
    <w:p>
      <w:pPr>
        <w:widowControl/>
        <w:snapToGrid w:val="0"/>
        <w:spacing w:line="360" w:lineRule="auto"/>
        <w:ind w:firstLine="470" w:firstLineChars="196"/>
        <w:jc w:val="left"/>
      </w:pPr>
      <w:r>
        <w:rPr>
          <w:rFonts w:hint="eastAsia" w:ascii="宋体" w:hAnsi="宋体" w:cs="宋体"/>
          <w:bCs/>
          <w:sz w:val="24"/>
          <w:szCs w:val="24"/>
          <w:u w:val="single" w:color="000000"/>
          <w:lang w:eastAsia="zh-CN"/>
        </w:rPr>
        <w:t>南通市保安服务有限公司电梯维保服务项目</w:t>
      </w:r>
      <w:r>
        <w:rPr>
          <w:rFonts w:hint="eastAsia" w:ascii="宋体" w:hAnsi="宋体" w:cs="宋体"/>
          <w:sz w:val="24"/>
          <w:szCs w:val="24"/>
        </w:rPr>
        <w:t>的潜在供应商应在</w:t>
      </w:r>
      <w:r>
        <w:rPr>
          <w:rFonts w:hint="eastAsia" w:ascii="宋体" w:hAnsi="宋体" w:cs="宋体"/>
          <w:bCs/>
          <w:sz w:val="24"/>
          <w:szCs w:val="24"/>
          <w:u w:val="single" w:color="000000"/>
          <w:lang w:eastAsia="zh-CN"/>
        </w:rPr>
        <w:t>南通市保安服务有限公司</w:t>
      </w:r>
      <w:r>
        <w:rPr>
          <w:rFonts w:hint="eastAsia" w:ascii="宋体" w:hAnsi="宋体" w:cs="宋体"/>
          <w:sz w:val="24"/>
          <w:szCs w:val="24"/>
          <w:u w:val="single"/>
        </w:rPr>
        <w:t>官网</w:t>
      </w:r>
      <w:r>
        <w:rPr>
          <w:rFonts w:hint="eastAsia" w:ascii="宋体" w:hAnsi="宋体" w:cs="宋体"/>
          <w:sz w:val="24"/>
          <w:szCs w:val="24"/>
        </w:rPr>
        <w:t>获取采购文件，并于</w:t>
      </w:r>
      <w:r>
        <w:rPr>
          <w:rFonts w:hint="eastAsia" w:ascii="宋体" w:hAnsi="宋体" w:cs="宋体"/>
          <w:b/>
          <w:bCs/>
          <w:color w:val="auto"/>
          <w:sz w:val="24"/>
          <w:szCs w:val="24"/>
          <w:u w:val="single" w:color="000000"/>
        </w:rPr>
        <w:t xml:space="preserve"> 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14</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sz w:val="24"/>
          <w:szCs w:val="24"/>
        </w:rPr>
        <w:t>（北京时间）前提交响应文件</w:t>
      </w:r>
      <w:r>
        <w:rPr>
          <w:rFonts w:hint="eastAsia" w:ascii="宋体" w:hAnsi="宋体" w:cs="宋体"/>
          <w:sz w:val="24"/>
          <w:szCs w:val="24"/>
        </w:rPr>
        <w:t>。</w:t>
      </w:r>
    </w:p>
    <w:p>
      <w:pPr>
        <w:pStyle w:val="6"/>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南通市保安服务有限公司电梯维保服务项目</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采购方式：竞争性磋商</w:t>
      </w:r>
    </w:p>
    <w:p>
      <w:pPr>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cs="宋体"/>
          <w:sz w:val="24"/>
          <w:szCs w:val="24"/>
        </w:rPr>
        <w:t>预算金额</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13.2万</w:t>
      </w:r>
      <w:r>
        <w:rPr>
          <w:rFonts w:hint="eastAsia" w:ascii="宋体" w:hAnsi="宋体" w:eastAsia="宋体" w:cs="宋体"/>
          <w:color w:val="auto"/>
          <w:sz w:val="24"/>
          <w:szCs w:val="24"/>
          <w:highlight w:val="none"/>
        </w:rPr>
        <w:t>元/年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采购需求：详见第三章项目需求</w:t>
      </w:r>
    </w:p>
    <w:p>
      <w:pPr>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三年，经采购单位确认服务质量签字后一年一续签，合同一年一签。</w:t>
      </w:r>
    </w:p>
    <w:p>
      <w:pPr>
        <w:snapToGrid w:val="0"/>
        <w:spacing w:line="360" w:lineRule="auto"/>
        <w:ind w:firstLine="508" w:firstLineChars="200"/>
        <w:textAlignment w:val="baseline"/>
        <w:rPr>
          <w:rFonts w:hint="eastAsia" w:ascii="宋体" w:hAnsi="宋体" w:cs="宋体"/>
          <w:color w:val="auto"/>
          <w:sz w:val="24"/>
          <w:szCs w:val="24"/>
        </w:rPr>
      </w:pPr>
      <w:r>
        <w:rPr>
          <w:rFonts w:hint="eastAsia" w:ascii="宋体" w:hAnsi="宋体" w:cs="宋体"/>
          <w:color w:val="auto"/>
          <w:spacing w:val="7"/>
          <w:sz w:val="24"/>
          <w:szCs w:val="24"/>
          <w:shd w:val="clear" w:color="auto" w:fill="FFFFFF"/>
        </w:rPr>
        <w:t>本项目不接受联合体。</w:t>
      </w:r>
    </w:p>
    <w:p>
      <w:pPr>
        <w:pStyle w:val="6"/>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一）符合《中华人民共和国政府采购法》第二十二条：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snapToGrid w:val="0"/>
        <w:spacing w:line="360" w:lineRule="auto"/>
        <w:ind w:firstLine="480" w:firstLineChars="200"/>
        <w:textAlignment w:val="baseline"/>
        <w:rPr>
          <w:rFonts w:hint="eastAsia"/>
        </w:rPr>
      </w:pPr>
      <w:r>
        <w:rPr>
          <w:rFonts w:hint="eastAsia" w:ascii="宋体" w:hAnsi="宋体" w:cs="宋体"/>
          <w:sz w:val="24"/>
          <w:szCs w:val="24"/>
        </w:rPr>
        <w:t>其他资格要求：</w:t>
      </w:r>
    </w:p>
    <w:p>
      <w:pPr>
        <w:snapToGrid w:val="0"/>
        <w:spacing w:line="360" w:lineRule="auto"/>
        <w:ind w:firstLine="480" w:firstLineChars="200"/>
        <w:textAlignment w:val="baseline"/>
        <w:rPr>
          <w:rFonts w:hint="eastAsia" w:ascii="宋体" w:hAnsi="宋体" w:cs="宋体"/>
          <w:sz w:val="24"/>
          <w:szCs w:val="24"/>
          <w:highlight w:val="cyan"/>
        </w:rPr>
      </w:pPr>
      <w:r>
        <w:rPr>
          <w:rFonts w:hint="eastAsia" w:ascii="宋体" w:hAnsi="宋体" w:cs="宋体"/>
          <w:sz w:val="24"/>
          <w:szCs w:val="24"/>
        </w:rPr>
        <w:t>1、供应商必须有能力按本磋商文件规定的要求提供相关服务，须提供有效的三证合一的企业法人营业执照复印件或扫描件。</w:t>
      </w:r>
    </w:p>
    <w:p>
      <w:pPr>
        <w:snapToGrid w:val="0"/>
        <w:spacing w:line="360" w:lineRule="auto"/>
        <w:ind w:left="8" w:firstLine="470" w:firstLineChars="196"/>
        <w:jc w:val="left"/>
        <w:textAlignment w:val="baseline"/>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、提供供应商的法定代表人或负责人身份证明及身份证原件的复印件或扫描件（须加盖供应商公章，格式参见竞争性磋商文件第八章）。</w:t>
      </w:r>
    </w:p>
    <w:p>
      <w:pPr>
        <w:snapToGrid w:val="0"/>
        <w:spacing w:line="360" w:lineRule="auto"/>
        <w:ind w:firstLine="559" w:firstLineChars="233"/>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、如为被委托受权人参加竞争性磋商的，还必须提供法定代表人或负责人签名或盖章的授权委托书及被委托受权人身份证这两项原件的复印件或扫描件（须加盖供应商公章，格式参见竞争性磋商文件第八章）。</w:t>
      </w:r>
    </w:p>
    <w:p>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Theme="minorEastAsia" w:hAnsiTheme="minorEastAsia" w:eastAsiaTheme="minorEastAsia"/>
          <w:sz w:val="24"/>
          <w:szCs w:val="24"/>
          <w:highlight w:val="none"/>
        </w:rPr>
        <w:t>投标人必须具有《中华人民共和国特种设备安装改造维修许可证》（电梯）曳引与强制驱动电梯（或乘客电梯）安装、维修B级及以上资质或《中华人民共和国特种设备生产许可证》（电梯）曳引驱动乘客电梯（含消防员电梯）B级及以上资质</w:t>
      </w:r>
      <w:r>
        <w:rPr>
          <w:rFonts w:hint="eastAsia" w:asciiTheme="minorEastAsia" w:hAnsiTheme="minorEastAsia" w:eastAsiaTheme="minorEastAsia"/>
          <w:sz w:val="24"/>
          <w:szCs w:val="24"/>
          <w:highlight w:val="none"/>
          <w:lang w:eastAsia="zh-CN"/>
        </w:rPr>
        <w:t>。</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、供应商须提供参与本次项目政府采购活动前三年内，在经营活动中没有重大违法记录的书面《无重大违法记录声明函》（格式参见竞争性磋商文件第八章）。</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、关于资格文件的声明函（格式参见竞争性磋商文件第八章）。</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（二）本项目的特定资格要求：无</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（三）落实政府采购政策需满足的资格要求：无</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特别提醒】请各供应商认真对照资格要求，如不符合要求，无意或故意参与磋商的，所产生的一切后果由供应商承担。若供应商提供的相关材料为虚假或伪造，将作无效响应处理，并报财政部门将其列入政府采购黑名单。</w:t>
      </w:r>
    </w:p>
    <w:p>
      <w:pPr>
        <w:pStyle w:val="2"/>
        <w:snapToGrid w:val="0"/>
        <w:spacing w:after="0" w:line="360" w:lineRule="auto"/>
        <w:ind w:firstLine="482"/>
        <w:textAlignment w:val="baseline"/>
        <w:rPr>
          <w:rFonts w:hint="eastAsia" w:ascii="宋体" w:hAnsi="宋体" w:cs="宋体"/>
          <w:b/>
          <w:bCs/>
          <w:color w:val="333333"/>
          <w:kern w:val="0"/>
          <w:sz w:val="24"/>
          <w:szCs w:val="24"/>
        </w:rPr>
      </w:pPr>
      <w:r>
        <w:rPr>
          <w:rFonts w:hint="eastAsia" w:ascii="宋体" w:hAnsi="宋体" w:cs="宋体"/>
          <w:b/>
          <w:bCs/>
          <w:color w:val="333333"/>
          <w:kern w:val="0"/>
          <w:sz w:val="24"/>
          <w:szCs w:val="24"/>
        </w:rPr>
        <w:t>磋商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pStyle w:val="2"/>
        <w:snapToGrid w:val="0"/>
        <w:spacing w:after="0" w:line="360" w:lineRule="auto"/>
        <w:ind w:firstLine="482"/>
        <w:textAlignment w:val="baseline"/>
        <w:rPr>
          <w:rFonts w:hint="eastAsia" w:ascii="宋体" w:hAnsi="宋体" w:cs="宋体"/>
          <w:b/>
          <w:bCs/>
          <w:sz w:val="24"/>
          <w:szCs w:val="24"/>
        </w:rPr>
      </w:pPr>
      <w:r>
        <w:rPr>
          <w:rFonts w:hint="eastAsia" w:ascii="宋体" w:hAnsi="宋体" w:eastAsia="宋体" w:cs="宋体"/>
          <w:b/>
          <w:bCs/>
          <w:color w:val="333333"/>
          <w:kern w:val="0"/>
          <w:sz w:val="24"/>
          <w:szCs w:val="24"/>
        </w:rPr>
        <w:t>法定代表人为同一个人的两个及两个以上法人，母公司、全资子公司及其控股公司，都不得在同一采购项目相同标段中同时参加投标，一经发现，将视同围标处理。单位负责人为同一人或者存在直接控股、管理关系</w:t>
      </w:r>
      <w:r>
        <w:rPr>
          <w:rFonts w:hint="eastAsia" w:ascii="宋体" w:hAnsi="宋体" w:cs="宋体"/>
          <w:b/>
          <w:bCs/>
          <w:color w:val="333333"/>
          <w:kern w:val="0"/>
          <w:sz w:val="24"/>
          <w:szCs w:val="24"/>
        </w:rPr>
        <w:t>的不同供应商，不得同时参与同一采购项目相同标段的政府采购活动；为采购项目提供整体设计、规范编制或者项目管理、监理、检测等服务的供应商，不得再参加该采购项目的其他磋商活动</w:t>
      </w:r>
      <w:r>
        <w:rPr>
          <w:rFonts w:hint="eastAsia" w:ascii="宋体" w:hAnsi="宋体" w:cs="宋体"/>
          <w:b/>
          <w:bCs/>
          <w:sz w:val="24"/>
          <w:szCs w:val="24"/>
        </w:rPr>
        <w:t>；如发现供应商递交的资格后审材料有弄虚作假行为，该供应商将记入不良记录，并上报有关部门，如已中标，采购人有权取消其中标资格，并由该供应商承担由此带来可能的一切责任和损失</w:t>
      </w:r>
      <w:r>
        <w:rPr>
          <w:rFonts w:hint="eastAsia" w:ascii="宋体" w:hAnsi="宋体" w:cs="宋体"/>
          <w:b/>
          <w:bCs/>
          <w:color w:val="333333"/>
          <w:kern w:val="0"/>
          <w:sz w:val="24"/>
          <w:szCs w:val="24"/>
        </w:rPr>
        <w:t>。</w:t>
      </w:r>
    </w:p>
    <w:p>
      <w:pPr>
        <w:pStyle w:val="6"/>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snapToGrid w:val="0"/>
        <w:spacing w:line="360" w:lineRule="auto"/>
        <w:ind w:firstLine="540"/>
        <w:textAlignment w:val="baseline"/>
        <w:rPr>
          <w:rFonts w:hint="eastAsia" w:ascii="宋体" w:hAnsi="宋体" w:cs="宋体"/>
          <w:b/>
          <w:bCs/>
          <w:color w:val="FF0000"/>
          <w:sz w:val="24"/>
          <w:szCs w:val="24"/>
        </w:rPr>
      </w:pPr>
      <w:r>
        <w:rPr>
          <w:rFonts w:hint="eastAsia" w:ascii="宋体" w:hAnsi="宋体" w:cs="宋体"/>
          <w:b/>
          <w:bCs/>
          <w:color w:val="auto"/>
          <w:sz w:val="24"/>
          <w:szCs w:val="24"/>
        </w:rPr>
        <w:t>时  间：</w:t>
      </w:r>
      <w:r>
        <w:rPr>
          <w:rFonts w:hint="eastAsia" w:ascii="宋体" w:hAnsi="宋体" w:cs="宋体"/>
          <w:b/>
          <w:bCs/>
          <w:color w:val="auto"/>
          <w:sz w:val="24"/>
          <w:szCs w:val="24"/>
          <w:u w:val="single"/>
        </w:rPr>
        <w:t>自公告发布之日起</w:t>
      </w:r>
      <w:r>
        <w:rPr>
          <w:rFonts w:hint="eastAsia" w:ascii="宋体" w:hAnsi="宋体" w:cs="宋体"/>
          <w:b/>
          <w:bCs/>
          <w:color w:val="auto"/>
          <w:sz w:val="24"/>
          <w:szCs w:val="24"/>
        </w:rPr>
        <w:t>至</w:t>
      </w:r>
      <w:r>
        <w:rPr>
          <w:rFonts w:hint="eastAsia" w:ascii="宋体" w:hAnsi="宋体" w:cs="宋体"/>
          <w:b/>
          <w:bCs/>
          <w:color w:val="auto"/>
          <w:sz w:val="24"/>
          <w:szCs w:val="24"/>
          <w:u w:val="single" w:color="000000"/>
        </w:rPr>
        <w:t xml:space="preserve"> 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p>
    <w:p>
      <w:pPr>
        <w:snapToGrid w:val="0"/>
        <w:spacing w:line="360" w:lineRule="auto"/>
        <w:ind w:firstLine="540"/>
        <w:textAlignment w:val="baseline"/>
        <w:rPr>
          <w:rFonts w:hint="eastAsia" w:ascii="宋体" w:hAnsi="宋体" w:cs="宋体"/>
          <w:sz w:val="24"/>
          <w:szCs w:val="24"/>
          <w:u w:val="single"/>
        </w:rPr>
      </w:pPr>
      <w:r>
        <w:rPr>
          <w:rFonts w:hint="eastAsia" w:ascii="宋体" w:hAnsi="宋体" w:cs="宋体"/>
          <w:sz w:val="24"/>
          <w:szCs w:val="24"/>
        </w:rPr>
        <w:t>地  点：</w:t>
      </w:r>
      <w:r>
        <w:rPr>
          <w:rFonts w:hint="eastAsia" w:ascii="宋体" w:hAnsi="宋体" w:cs="宋体"/>
          <w:bCs/>
          <w:sz w:val="24"/>
          <w:szCs w:val="24"/>
          <w:u w:val="single" w:color="000000"/>
          <w:lang w:eastAsia="zh-CN"/>
        </w:rPr>
        <w:t>南通市保安服务有限公司</w:t>
      </w:r>
      <w:r>
        <w:rPr>
          <w:rFonts w:hint="eastAsia" w:ascii="宋体" w:hAnsi="宋体" w:cs="宋体"/>
          <w:sz w:val="24"/>
          <w:szCs w:val="24"/>
          <w:u w:val="single"/>
        </w:rPr>
        <w:t>官网</w:t>
      </w:r>
      <w:r>
        <w:rPr>
          <w:rFonts w:hint="eastAsia" w:ascii="宋体" w:hAnsi="宋体" w:cs="宋体"/>
          <w:sz w:val="24"/>
          <w:szCs w:val="24"/>
        </w:rPr>
        <w:t>。</w:t>
      </w:r>
    </w:p>
    <w:p>
      <w:pPr>
        <w:snapToGrid w:val="0"/>
        <w:spacing w:line="360" w:lineRule="auto"/>
        <w:ind w:firstLine="540"/>
        <w:textAlignment w:val="baseline"/>
        <w:rPr>
          <w:rFonts w:hint="eastAsia" w:ascii="宋体" w:hAnsi="宋体" w:cs="宋体"/>
          <w:sz w:val="24"/>
          <w:szCs w:val="24"/>
          <w:u w:val="single"/>
        </w:rPr>
      </w:pPr>
      <w:r>
        <w:rPr>
          <w:rFonts w:hint="eastAsia" w:ascii="宋体" w:hAnsi="宋体" w:cs="宋体"/>
          <w:sz w:val="24"/>
          <w:szCs w:val="24"/>
        </w:rPr>
        <w:t>方  式：自行下载</w:t>
      </w:r>
    </w:p>
    <w:p>
      <w:pPr>
        <w:snapToGrid w:val="0"/>
        <w:spacing w:line="360" w:lineRule="auto"/>
        <w:ind w:firstLine="540"/>
        <w:textAlignment w:val="baseline"/>
        <w:rPr>
          <w:rFonts w:hint="eastAsia" w:ascii="宋体" w:hAnsi="宋体" w:cs="宋体"/>
          <w:sz w:val="24"/>
          <w:szCs w:val="24"/>
        </w:rPr>
      </w:pPr>
      <w:r>
        <w:rPr>
          <w:rFonts w:hint="eastAsia" w:ascii="宋体" w:hAnsi="宋体" w:cs="宋体"/>
          <w:sz w:val="24"/>
          <w:szCs w:val="24"/>
        </w:rPr>
        <w:t>售  价：</w:t>
      </w:r>
      <w:r>
        <w:rPr>
          <w:rFonts w:hint="eastAsia" w:ascii="宋体" w:hAnsi="宋体" w:cs="宋体"/>
          <w:sz w:val="24"/>
          <w:szCs w:val="24"/>
          <w:lang w:val="en-US" w:eastAsia="zh-CN"/>
        </w:rPr>
        <w:t>免费</w:t>
      </w:r>
      <w:r>
        <w:rPr>
          <w:rFonts w:hint="eastAsia" w:ascii="宋体" w:hAnsi="宋体" w:cs="宋体"/>
          <w:sz w:val="24"/>
          <w:szCs w:val="24"/>
        </w:rPr>
        <w:t>。</w:t>
      </w:r>
    </w:p>
    <w:p>
      <w:pPr>
        <w:pStyle w:val="6"/>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四、响应文件的提交</w:t>
      </w:r>
    </w:p>
    <w:p>
      <w:pPr>
        <w:snapToGrid w:val="0"/>
        <w:spacing w:line="360" w:lineRule="auto"/>
        <w:ind w:firstLine="480" w:firstLineChars="200"/>
        <w:textAlignment w:val="baseline"/>
        <w:rPr>
          <w:rFonts w:hint="eastAsia" w:ascii="宋体" w:hAnsi="宋体" w:cs="宋体"/>
          <w:bCs/>
          <w:color w:val="auto"/>
          <w:sz w:val="24"/>
          <w:szCs w:val="24"/>
          <w:u w:val="single"/>
        </w:rPr>
      </w:pPr>
      <w:r>
        <w:rPr>
          <w:rFonts w:hint="eastAsia" w:ascii="宋体" w:hAnsi="宋体" w:cs="宋体"/>
          <w:color w:val="auto"/>
          <w:sz w:val="24"/>
          <w:szCs w:val="24"/>
        </w:rPr>
        <w:t xml:space="preserve">截止时间： </w:t>
      </w:r>
      <w:r>
        <w:rPr>
          <w:rFonts w:hint="eastAsia" w:ascii="宋体" w:hAnsi="宋体" w:cs="宋体"/>
          <w:color w:val="auto"/>
          <w:sz w:val="24"/>
          <w:szCs w:val="24"/>
          <w:u w:val="single" w:color="000000"/>
        </w:rPr>
        <w:t xml:space="preserve"> </w:t>
      </w:r>
      <w:r>
        <w:rPr>
          <w:rFonts w:hint="eastAsia" w:ascii="宋体" w:hAnsi="宋体" w:cs="宋体"/>
          <w:b/>
          <w:bCs/>
          <w:color w:val="auto"/>
          <w:sz w:val="24"/>
          <w:szCs w:val="24"/>
          <w:u w:val="single" w:color="000000"/>
        </w:rPr>
        <w:t>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14</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color w:val="auto"/>
          <w:sz w:val="24"/>
          <w:szCs w:val="24"/>
        </w:rPr>
        <w:t>（北京时间）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 xml:space="preserve">地    点： </w:t>
      </w:r>
      <w:r>
        <w:rPr>
          <w:rFonts w:hint="eastAsia" w:asciiTheme="minorEastAsia" w:hAnsiTheme="minorEastAsia" w:eastAsiaTheme="minorEastAsia"/>
          <w:sz w:val="24"/>
          <w:highlight w:val="none"/>
          <w:u w:val="single"/>
          <w:lang w:eastAsia="zh-CN"/>
        </w:rPr>
        <w:t>南通市崇川区石桥路333号南通市保安服务有限公司六楼会议室</w:t>
      </w:r>
    </w:p>
    <w:p>
      <w:pPr>
        <w:pStyle w:val="6"/>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五、响应文件的开启</w:t>
      </w:r>
    </w:p>
    <w:p>
      <w:pPr>
        <w:snapToGrid w:val="0"/>
        <w:spacing w:line="360" w:lineRule="auto"/>
        <w:ind w:firstLine="480" w:firstLineChars="200"/>
        <w:textAlignment w:val="baseline"/>
        <w:rPr>
          <w:rFonts w:hint="eastAsia" w:ascii="宋体" w:hAnsi="宋体" w:cs="宋体"/>
          <w:bCs/>
          <w:color w:val="auto"/>
          <w:sz w:val="24"/>
          <w:szCs w:val="24"/>
          <w:u w:val="single"/>
        </w:rPr>
      </w:pPr>
      <w:r>
        <w:rPr>
          <w:rFonts w:hint="eastAsia" w:ascii="宋体" w:hAnsi="宋体" w:cs="宋体"/>
          <w:color w:val="auto"/>
          <w:sz w:val="24"/>
          <w:szCs w:val="24"/>
        </w:rPr>
        <w:t xml:space="preserve">时  间： </w:t>
      </w:r>
      <w:r>
        <w:rPr>
          <w:rFonts w:hint="eastAsia" w:ascii="宋体" w:hAnsi="宋体" w:cs="宋体"/>
          <w:color w:val="auto"/>
          <w:sz w:val="24"/>
          <w:szCs w:val="24"/>
          <w:u w:val="single" w:color="000000"/>
        </w:rPr>
        <w:t xml:space="preserve"> </w:t>
      </w:r>
      <w:r>
        <w:rPr>
          <w:rFonts w:hint="eastAsia" w:ascii="宋体" w:hAnsi="宋体" w:cs="宋体"/>
          <w:b/>
          <w:bCs/>
          <w:color w:val="auto"/>
          <w:sz w:val="24"/>
          <w:szCs w:val="24"/>
          <w:u w:val="single" w:color="000000"/>
        </w:rPr>
        <w:t>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14</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color w:val="auto"/>
          <w:sz w:val="24"/>
          <w:szCs w:val="24"/>
        </w:rPr>
        <w:t>（北京时间）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 xml:space="preserve">地  点： </w:t>
      </w:r>
      <w:r>
        <w:rPr>
          <w:rFonts w:hint="eastAsia" w:asciiTheme="minorEastAsia" w:hAnsiTheme="minorEastAsia" w:eastAsiaTheme="minorEastAsia"/>
          <w:sz w:val="24"/>
          <w:highlight w:val="none"/>
          <w:u w:val="single"/>
          <w:lang w:eastAsia="zh-CN"/>
        </w:rPr>
        <w:t>南通市崇川区石桥路333号南通市保安服务有限公司六楼会议室</w:t>
      </w:r>
    </w:p>
    <w:p>
      <w:pPr>
        <w:pStyle w:val="93"/>
        <w:snapToGrid w:val="0"/>
        <w:spacing w:line="360" w:lineRule="auto"/>
        <w:ind w:firstLine="482"/>
        <w:rPr>
          <w:rFonts w:hAnsi="宋体" w:cs="宋体"/>
          <w:b/>
          <w:color w:val="auto"/>
          <w:sz w:val="24"/>
          <w:szCs w:val="24"/>
        </w:rPr>
      </w:pPr>
      <w:r>
        <w:rPr>
          <w:rFonts w:hAnsi="宋体" w:cs="宋体"/>
          <w:b/>
          <w:color w:val="auto"/>
          <w:sz w:val="24"/>
          <w:szCs w:val="24"/>
        </w:rPr>
        <w:t>特别提醒：</w:t>
      </w:r>
    </w:p>
    <w:p>
      <w:pPr>
        <w:pStyle w:val="93"/>
        <w:numPr>
          <w:ilvl w:val="0"/>
          <w:numId w:val="2"/>
        </w:numPr>
        <w:snapToGrid w:val="0"/>
        <w:spacing w:line="360" w:lineRule="auto"/>
        <w:ind w:firstLine="482"/>
        <w:rPr>
          <w:rFonts w:hAnsi="宋体" w:cs="宋体"/>
          <w:b/>
          <w:color w:val="auto"/>
          <w:sz w:val="24"/>
          <w:szCs w:val="24"/>
        </w:rPr>
      </w:pPr>
      <w:r>
        <w:rPr>
          <w:rFonts w:hAnsi="宋体" w:cs="宋体"/>
          <w:b/>
          <w:color w:val="auto"/>
          <w:sz w:val="24"/>
          <w:szCs w:val="24"/>
        </w:rPr>
        <w:t>各投标单位只允许委派一人参加投标，其余人员一律不得入内。疫情防控期间，参加投标的授权委托人须配合现场工作人员的检查（包括携带有效身份证件、实名登记、规范佩戴口罩、测量体温、出示健康码</w:t>
      </w:r>
      <w:r>
        <w:rPr>
          <w:rFonts w:hint="eastAsia" w:hAnsi="宋体" w:cs="宋体"/>
          <w:b/>
          <w:color w:val="auto"/>
          <w:sz w:val="24"/>
          <w:szCs w:val="24"/>
          <w:lang w:eastAsia="zh-CN"/>
        </w:rPr>
        <w:t>、</w:t>
      </w:r>
      <w:r>
        <w:rPr>
          <w:rFonts w:hAnsi="宋体" w:cs="宋体"/>
          <w:b/>
          <w:color w:val="auto"/>
          <w:sz w:val="24"/>
          <w:szCs w:val="24"/>
        </w:rPr>
        <w:t>行程卡</w:t>
      </w:r>
      <w:r>
        <w:rPr>
          <w:rFonts w:hint="eastAsia" w:hAnsi="宋体" w:cs="宋体"/>
          <w:b/>
          <w:color w:val="auto"/>
          <w:sz w:val="24"/>
          <w:szCs w:val="24"/>
          <w:lang w:val="en-US" w:eastAsia="zh-CN"/>
        </w:rPr>
        <w:t>和48小时之内的核酸报告</w:t>
      </w:r>
      <w:r>
        <w:rPr>
          <w:rFonts w:hAnsi="宋体" w:cs="宋体"/>
          <w:b/>
          <w:color w:val="auto"/>
          <w:sz w:val="24"/>
          <w:szCs w:val="24"/>
        </w:rPr>
        <w:t>等）。</w:t>
      </w:r>
    </w:p>
    <w:p>
      <w:pPr>
        <w:pStyle w:val="6"/>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六、公告期限</w:t>
      </w:r>
    </w:p>
    <w:p>
      <w:p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自本公告发布之日起3个工作日。</w:t>
      </w:r>
    </w:p>
    <w:p>
      <w:pPr>
        <w:pStyle w:val="6"/>
        <w:numPr>
          <w:ilvl w:val="0"/>
          <w:numId w:val="3"/>
        </w:numPr>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其他补充事宜：</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投标保证金：</w:t>
      </w:r>
      <w:r>
        <w:rPr>
          <w:rFonts w:hint="eastAsia" w:ascii="宋体" w:hAnsi="宋体" w:cs="宋体"/>
          <w:bCs/>
          <w:color w:val="000000"/>
          <w:sz w:val="24"/>
          <w:szCs w:val="24"/>
        </w:rPr>
        <w:t>无</w:t>
      </w:r>
      <w:r>
        <w:rPr>
          <w:rFonts w:hint="eastAsia" w:ascii="宋体" w:hAnsi="宋体" w:cs="宋体"/>
          <w:kern w:val="0"/>
          <w:sz w:val="24"/>
          <w:szCs w:val="24"/>
        </w:rPr>
        <w:t>。</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项目磋商活动模式：本项目采用现场开标模式。</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对项目需求部分（供应商其他资格要求、项目需求、评分标准）的询问、质疑请向采购人提出，由采购人负责答复；对项目磋商文件其它部分的询问请向采购招标代理机构提出。</w:t>
      </w:r>
    </w:p>
    <w:p>
      <w:pPr>
        <w:numPr>
          <w:ilvl w:val="0"/>
          <w:numId w:val="3"/>
        </w:numPr>
        <w:snapToGrid w:val="0"/>
        <w:spacing w:line="360" w:lineRule="auto"/>
        <w:textAlignment w:val="baseline"/>
        <w:rPr>
          <w:rFonts w:hint="eastAsia" w:ascii="宋体" w:hAnsi="宋体" w:cs="宋体"/>
          <w:b/>
          <w:bCs/>
          <w:sz w:val="24"/>
          <w:szCs w:val="24"/>
        </w:rPr>
      </w:pPr>
      <w:r>
        <w:rPr>
          <w:rFonts w:hint="eastAsia" w:ascii="宋体" w:hAnsi="宋体" w:cs="宋体"/>
          <w:b/>
          <w:bCs/>
          <w:sz w:val="24"/>
          <w:szCs w:val="24"/>
        </w:rPr>
        <w:t>凡对本次采购提出询问，请按以下方式联系。</w:t>
      </w:r>
    </w:p>
    <w:p>
      <w:pPr>
        <w:numPr>
          <w:ilvl w:val="0"/>
          <w:numId w:val="5"/>
        </w:num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采购人信息</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南通市保安服务有限公司</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 xml:space="preserve">地    址： </w:t>
      </w:r>
      <w:r>
        <w:rPr>
          <w:rFonts w:hint="eastAsia" w:ascii="宋体" w:hAnsi="宋体" w:cs="宋体"/>
          <w:sz w:val="24"/>
          <w:szCs w:val="24"/>
          <w:lang w:eastAsia="zh-CN"/>
        </w:rPr>
        <w:t>南通市崇川区石桥路333号</w:t>
      </w:r>
    </w:p>
    <w:p>
      <w:pPr>
        <w:snapToGrid w:val="0"/>
        <w:spacing w:line="360" w:lineRule="auto"/>
        <w:ind w:firstLine="480" w:firstLineChars="200"/>
        <w:textAlignment w:val="baseline"/>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联系人：小马</w:t>
      </w:r>
    </w:p>
    <w:p>
      <w:pPr>
        <w:snapToGrid w:val="0"/>
        <w:spacing w:line="360" w:lineRule="auto"/>
        <w:ind w:firstLine="480" w:firstLineChars="200"/>
        <w:textAlignment w:val="baseline"/>
        <w:rPr>
          <w:rFonts w:hint="eastAsia" w:ascii="宋体" w:hAnsi="宋体" w:cs="宋体"/>
          <w:sz w:val="24"/>
          <w:szCs w:val="24"/>
        </w:rPr>
      </w:pPr>
      <w:r>
        <w:rPr>
          <w:rFonts w:hint="eastAsia" w:cs="宋体" w:asciiTheme="majorEastAsia" w:hAnsiTheme="majorEastAsia" w:eastAsiaTheme="majorEastAsia"/>
          <w:sz w:val="24"/>
          <w:szCs w:val="24"/>
        </w:rPr>
        <w:t xml:space="preserve">联系方式：0513-80219010/83533190 </w:t>
      </w:r>
      <w:r>
        <w:rPr>
          <w:rFonts w:hint="eastAsia" w:ascii="宋体" w:hAnsi="宋体" w:cs="宋体"/>
          <w:sz w:val="24"/>
          <w:szCs w:val="24"/>
        </w:rPr>
        <w:t xml:space="preserve">   </w:t>
      </w:r>
    </w:p>
    <w:p>
      <w:pPr>
        <w:numPr>
          <w:ilvl w:val="0"/>
          <w:numId w:val="6"/>
        </w:num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采购代理机构信息</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单位：中诚智信工程咨询集团股份有限公司</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地址：南通市恒隆国际B座801</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联系人：单舒</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联系电话：13328094029，0513-85980007</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邮箱：1010491310@qq.com</w:t>
      </w:r>
    </w:p>
    <w:p>
      <w:pPr>
        <w:pStyle w:val="2"/>
        <w:ind w:firstLine="480"/>
        <w:rPr>
          <w:rFonts w:hint="eastAsia" w:ascii="宋体" w:hAnsi="宋体"/>
          <w:sz w:val="24"/>
          <w:szCs w:val="24"/>
        </w:rPr>
      </w:pPr>
    </w:p>
    <w:p>
      <w:pPr>
        <w:pStyle w:val="2"/>
        <w:ind w:firstLine="480"/>
        <w:rPr>
          <w:rFonts w:hint="eastAsia" w:ascii="宋体" w:hAnsi="宋体"/>
          <w:sz w:val="24"/>
          <w:szCs w:val="24"/>
        </w:rPr>
      </w:pPr>
    </w:p>
    <w:p>
      <w:pPr>
        <w:snapToGrid w:val="0"/>
        <w:spacing w:line="360" w:lineRule="auto"/>
        <w:ind w:firstLine="420" w:firstLineChars="200"/>
        <w:rPr>
          <w:rFonts w:hint="eastAsia" w:ascii="宋体" w:hAnsi="宋体" w:cs="宋体"/>
          <w:sz w:val="24"/>
          <w:szCs w:val="24"/>
        </w:rPr>
      </w:pPr>
      <w:r>
        <w:rPr>
          <w:rFonts w:hint="eastAsia" w:ascii="宋体" w:hAnsi="宋体" w:cs="宋体"/>
          <w:szCs w:val="24"/>
        </w:rPr>
        <w:t xml:space="preserve">                                                      </w:t>
      </w:r>
      <w:r>
        <w:rPr>
          <w:rFonts w:hint="eastAsia" w:ascii="宋体" w:hAnsi="宋体" w:cs="宋体"/>
          <w:sz w:val="24"/>
          <w:szCs w:val="24"/>
        </w:rPr>
        <w:t>二0二</w:t>
      </w:r>
      <w:r>
        <w:rPr>
          <w:rFonts w:hint="eastAsia" w:ascii="宋体" w:hAnsi="宋体" w:cs="宋体"/>
          <w:sz w:val="24"/>
          <w:szCs w:val="24"/>
          <w:lang w:val="en-US" w:eastAsia="zh-CN"/>
        </w:rPr>
        <w:t>二</w:t>
      </w:r>
      <w:r>
        <w:rPr>
          <w:rFonts w:hint="eastAsia" w:ascii="宋体" w:hAnsi="宋体" w:cs="宋体"/>
          <w:sz w:val="24"/>
          <w:szCs w:val="24"/>
        </w:rPr>
        <w:t>年</w:t>
      </w:r>
      <w:r>
        <w:rPr>
          <w:rFonts w:hint="eastAsia" w:ascii="宋体" w:hAnsi="宋体" w:cs="宋体"/>
          <w:sz w:val="24"/>
          <w:szCs w:val="24"/>
          <w:lang w:val="en-US" w:eastAsia="zh-CN"/>
        </w:rPr>
        <w:t>十二</w:t>
      </w:r>
      <w:r>
        <w:rPr>
          <w:rFonts w:hint="eastAsia" w:ascii="宋体" w:hAnsi="宋体" w:cs="宋体"/>
          <w:sz w:val="24"/>
          <w:szCs w:val="24"/>
        </w:rPr>
        <w:t>月</w:t>
      </w:r>
      <w:r>
        <w:rPr>
          <w:rFonts w:hint="eastAsia" w:ascii="宋体" w:hAnsi="宋体" w:cs="宋体"/>
          <w:sz w:val="24"/>
          <w:szCs w:val="24"/>
          <w:lang w:val="en-US" w:eastAsia="zh-CN"/>
        </w:rPr>
        <w:t>九</w:t>
      </w:r>
      <w:r>
        <w:rPr>
          <w:rFonts w:hint="eastAsia" w:ascii="宋体" w:hAnsi="宋体" w:cs="宋体"/>
          <w:sz w:val="24"/>
          <w:szCs w:val="24"/>
        </w:rPr>
        <w:t>日</w:t>
      </w:r>
    </w:p>
    <w:p>
      <w:pPr>
        <w:snapToGrid w:val="0"/>
        <w:spacing w:line="360" w:lineRule="auto"/>
        <w:jc w:val="center"/>
        <w:rPr>
          <w:rFonts w:ascii="宋体"/>
          <w:w w:val="80"/>
        </w:rPr>
      </w:pPr>
      <w:bookmarkStart w:id="11" w:name="_Toc94544744"/>
      <w:bookmarkStart w:id="12" w:name="_Toc521201597"/>
      <w:bookmarkStart w:id="13" w:name="_Toc11500280"/>
      <w:bookmarkStart w:id="14" w:name="_Toc12670503"/>
      <w:bookmarkStart w:id="15" w:name="_Toc11554639"/>
      <w:bookmarkStart w:id="16" w:name="_Toc94544828"/>
      <w:bookmarkStart w:id="17" w:name="_Toc11499584"/>
      <w:bookmarkStart w:id="18" w:name="_Toc94585340"/>
      <w:bookmarkStart w:id="19" w:name="_Toc8895739"/>
      <w:bookmarkStart w:id="20" w:name="_Toc521203418"/>
      <w:bookmarkStart w:id="21" w:name="_Toc363573854"/>
      <w:r>
        <w:rPr>
          <w:rFonts w:hint="eastAsia" w:ascii="宋体" w:hAnsi="宋体" w:cs="宋体"/>
          <w:b/>
          <w:bCs/>
          <w:w w:val="80"/>
          <w:sz w:val="44"/>
          <w:szCs w:val="44"/>
        </w:rPr>
        <w:t>第二章</w:t>
      </w:r>
      <w:bookmarkEnd w:id="11"/>
      <w:bookmarkEnd w:id="12"/>
      <w:bookmarkEnd w:id="13"/>
      <w:bookmarkEnd w:id="14"/>
      <w:bookmarkEnd w:id="15"/>
      <w:bookmarkEnd w:id="16"/>
      <w:bookmarkEnd w:id="17"/>
      <w:bookmarkEnd w:id="18"/>
      <w:bookmarkEnd w:id="19"/>
      <w:bookmarkEnd w:id="20"/>
      <w:r>
        <w:rPr>
          <w:rFonts w:hint="eastAsia" w:ascii="宋体" w:hAnsi="宋体" w:cs="宋体"/>
          <w:b/>
          <w:bCs/>
          <w:w w:val="80"/>
          <w:sz w:val="44"/>
          <w:szCs w:val="44"/>
        </w:rPr>
        <w:t xml:space="preserve"> 磋商供应商须知</w:t>
      </w:r>
      <w:bookmarkEnd w:id="21"/>
    </w:p>
    <w:p>
      <w:pPr>
        <w:snapToGrid w:val="0"/>
        <w:spacing w:line="480" w:lineRule="exact"/>
        <w:ind w:firstLine="482" w:firstLineChars="200"/>
        <w:outlineLvl w:val="1"/>
        <w:rPr>
          <w:rFonts w:ascii="宋体"/>
          <w:b/>
          <w:bCs/>
          <w:sz w:val="24"/>
          <w:szCs w:val="24"/>
        </w:rPr>
      </w:pPr>
      <w:bookmarkStart w:id="22" w:name="_Toc11554640"/>
      <w:bookmarkStart w:id="23" w:name="_Toc94544871"/>
      <w:bookmarkStart w:id="24" w:name="_Toc11499585"/>
      <w:bookmarkStart w:id="25" w:name="_Toc12670504"/>
      <w:bookmarkStart w:id="26" w:name="_Toc8895740"/>
      <w:bookmarkStart w:id="27" w:name="_Toc94585341"/>
      <w:bookmarkStart w:id="28" w:name="_Toc521201598"/>
      <w:bookmarkStart w:id="29" w:name="_Toc521203419"/>
      <w:bookmarkStart w:id="30" w:name="_Toc94544745"/>
      <w:bookmarkStart w:id="31" w:name="_Toc11500281"/>
      <w:r>
        <w:rPr>
          <w:rFonts w:hint="eastAsia" w:ascii="宋体" w:hAnsi="宋体" w:cs="宋体"/>
          <w:b/>
          <w:bCs/>
          <w:sz w:val="24"/>
          <w:szCs w:val="24"/>
        </w:rPr>
        <w:t>一、说明</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、本竞争性磋商文件仅适用于</w:t>
      </w:r>
      <w:r>
        <w:rPr>
          <w:rFonts w:hint="eastAsia" w:ascii="宋体" w:hAnsi="宋体" w:cs="宋体"/>
          <w:sz w:val="24"/>
          <w:szCs w:val="24"/>
          <w:lang w:eastAsia="zh-CN"/>
        </w:rPr>
        <w:t>中诚智信工程咨询集团股份有限公司</w:t>
      </w:r>
      <w:r>
        <w:rPr>
          <w:rFonts w:hint="eastAsia" w:ascii="宋体" w:hAnsi="宋体" w:cs="宋体"/>
          <w:sz w:val="24"/>
          <w:szCs w:val="24"/>
        </w:rPr>
        <w:t>组织的竞争性磋商采购活动。</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、竞争性磋商活动及因本次磋商产生的合同受中国法律制约和保护。</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、竞争性磋商文件的解释权属于采购人。</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hint="eastAsia" w:ascii="宋体" w:hAnsi="宋体" w:cs="宋体"/>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bCs/>
          <w:sz w:val="24"/>
          <w:szCs w:val="24"/>
        </w:rPr>
        <w:t>非书面形式的不作为日后质疑提出的依据。</w:t>
      </w:r>
    </w:p>
    <w:p>
      <w:pPr>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5、供应商应认真审阅</w:t>
      </w:r>
      <w:r>
        <w:rPr>
          <w:rFonts w:hint="eastAsia" w:ascii="宋体" w:hAnsi="宋体" w:cs="宋体"/>
          <w:sz w:val="24"/>
          <w:szCs w:val="24"/>
        </w:rPr>
        <w:t>磋商文件中</w:t>
      </w:r>
      <w:r>
        <w:rPr>
          <w:rFonts w:hint="eastAsia" w:ascii="宋体" w:hAnsi="宋体" w:cs="宋体"/>
          <w:color w:val="000000"/>
          <w:sz w:val="24"/>
          <w:szCs w:val="24"/>
        </w:rPr>
        <w:t>所有的事项、格式、条款和规范要求等，如果供应商没有按照磋商文件要求提交响应文件，或者响应文件没有对磋商文件做出实质性响应，将被拒绝参与项目的磋商。</w:t>
      </w:r>
    </w:p>
    <w:p>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人的需要。</w:t>
      </w:r>
    </w:p>
    <w:p>
      <w:pPr>
        <w:snapToGrid w:val="0"/>
        <w:spacing w:line="360" w:lineRule="auto"/>
        <w:ind w:firstLine="480" w:firstLineChars="200"/>
        <w:rPr>
          <w:rFonts w:hint="eastAsia"/>
        </w:rPr>
      </w:pPr>
      <w:r>
        <w:rPr>
          <w:sz w:val="24"/>
          <w:szCs w:val="24"/>
        </w:rPr>
        <w:t>7</w:t>
      </w:r>
      <w:r>
        <w:rPr>
          <w:rFonts w:hint="eastAsia"/>
          <w:sz w:val="24"/>
          <w:szCs w:val="24"/>
        </w:rPr>
        <w:t>、</w:t>
      </w:r>
      <w:r>
        <w:rPr>
          <w:rFonts w:hint="eastAsia" w:cs="宋体"/>
          <w:sz w:val="24"/>
          <w:szCs w:val="24"/>
        </w:rPr>
        <w:t>本磋商文件内所称的</w:t>
      </w:r>
      <w:r>
        <w:rPr>
          <w:sz w:val="24"/>
          <w:szCs w:val="24"/>
        </w:rPr>
        <w:t>“</w:t>
      </w:r>
      <w:r>
        <w:rPr>
          <w:rFonts w:hint="eastAsia" w:cs="宋体"/>
          <w:sz w:val="24"/>
          <w:szCs w:val="24"/>
        </w:rPr>
        <w:t>以上</w:t>
      </w:r>
      <w:r>
        <w:rPr>
          <w:sz w:val="24"/>
          <w:szCs w:val="24"/>
        </w:rPr>
        <w:t>”</w:t>
      </w:r>
      <w:r>
        <w:rPr>
          <w:rFonts w:hint="eastAsia" w:cs="宋体"/>
          <w:sz w:val="24"/>
          <w:szCs w:val="24"/>
        </w:rPr>
        <w:t>、</w:t>
      </w:r>
      <w:r>
        <w:rPr>
          <w:sz w:val="24"/>
          <w:szCs w:val="24"/>
        </w:rPr>
        <w:t>“</w:t>
      </w:r>
      <w:r>
        <w:rPr>
          <w:rFonts w:hint="eastAsia" w:cs="宋体"/>
          <w:sz w:val="24"/>
          <w:szCs w:val="24"/>
        </w:rPr>
        <w:t>以下</w:t>
      </w:r>
      <w:r>
        <w:rPr>
          <w:sz w:val="24"/>
          <w:szCs w:val="24"/>
        </w:rPr>
        <w:t>”</w:t>
      </w:r>
      <w:r>
        <w:rPr>
          <w:rFonts w:hint="eastAsia" w:cs="宋体"/>
          <w:sz w:val="24"/>
          <w:szCs w:val="24"/>
        </w:rPr>
        <w:t>、</w:t>
      </w:r>
      <w:r>
        <w:rPr>
          <w:sz w:val="24"/>
          <w:szCs w:val="24"/>
        </w:rPr>
        <w:t>“</w:t>
      </w:r>
      <w:r>
        <w:rPr>
          <w:rFonts w:hint="eastAsia" w:cs="宋体"/>
          <w:sz w:val="24"/>
          <w:szCs w:val="24"/>
        </w:rPr>
        <w:t>内</w:t>
      </w:r>
      <w:r>
        <w:rPr>
          <w:sz w:val="24"/>
          <w:szCs w:val="24"/>
        </w:rPr>
        <w:t>”</w:t>
      </w:r>
      <w:r>
        <w:rPr>
          <w:rFonts w:hint="eastAsia" w:cs="宋体"/>
          <w:sz w:val="24"/>
          <w:szCs w:val="24"/>
        </w:rPr>
        <w:t>、</w:t>
      </w:r>
      <w:r>
        <w:rPr>
          <w:sz w:val="24"/>
          <w:szCs w:val="24"/>
        </w:rPr>
        <w:t>“</w:t>
      </w:r>
      <w:r>
        <w:rPr>
          <w:rFonts w:hint="eastAsia" w:cs="宋体"/>
          <w:sz w:val="24"/>
          <w:szCs w:val="24"/>
        </w:rPr>
        <w:t>以内</w:t>
      </w:r>
      <w:r>
        <w:rPr>
          <w:sz w:val="24"/>
          <w:szCs w:val="24"/>
        </w:rPr>
        <w:t>”</w:t>
      </w:r>
      <w:r>
        <w:rPr>
          <w:rFonts w:hint="eastAsia" w:cs="宋体"/>
          <w:sz w:val="24"/>
          <w:szCs w:val="24"/>
        </w:rPr>
        <w:t>，包括本数；所称的</w:t>
      </w:r>
      <w:r>
        <w:rPr>
          <w:sz w:val="24"/>
          <w:szCs w:val="24"/>
        </w:rPr>
        <w:t>“</w:t>
      </w:r>
      <w:r>
        <w:rPr>
          <w:rFonts w:hint="eastAsia" w:cs="宋体"/>
          <w:sz w:val="24"/>
          <w:szCs w:val="24"/>
        </w:rPr>
        <w:t>不足</w:t>
      </w:r>
      <w:r>
        <w:rPr>
          <w:sz w:val="24"/>
          <w:szCs w:val="24"/>
        </w:rPr>
        <w:t>”</w:t>
      </w:r>
      <w:r>
        <w:rPr>
          <w:rFonts w:hint="eastAsia" w:cs="宋体"/>
          <w:sz w:val="24"/>
          <w:szCs w:val="24"/>
        </w:rPr>
        <w:t>、</w:t>
      </w:r>
      <w:r>
        <w:rPr>
          <w:sz w:val="24"/>
          <w:szCs w:val="24"/>
        </w:rPr>
        <w:t>“</w:t>
      </w:r>
      <w:r>
        <w:rPr>
          <w:rFonts w:hint="eastAsia" w:cs="宋体"/>
          <w:sz w:val="24"/>
          <w:szCs w:val="24"/>
        </w:rPr>
        <w:t>少于</w:t>
      </w:r>
      <w:r>
        <w:rPr>
          <w:sz w:val="24"/>
          <w:szCs w:val="24"/>
        </w:rPr>
        <w:t>”</w:t>
      </w:r>
      <w:r>
        <w:rPr>
          <w:rFonts w:hint="eastAsia" w:cs="宋体"/>
          <w:sz w:val="24"/>
          <w:szCs w:val="24"/>
        </w:rPr>
        <w:t>，不包括本数。</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二、磋商文件的澄清、修改、答疑</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、代理机构有权对发出的磋商文件进行必要的澄清、修改或补充。</w:t>
      </w:r>
    </w:p>
    <w:p>
      <w:pPr>
        <w:snapToGrid w:val="0"/>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、磋商文件的澄清、修改、补充等内容均以书面明确的形式发布，并以</w:t>
      </w:r>
      <w:r>
        <w:rPr>
          <w:rFonts w:hint="eastAsia" w:asciiTheme="minorEastAsia" w:hAnsiTheme="minorEastAsia" w:eastAsiaTheme="minorEastAsia"/>
          <w:sz w:val="24"/>
          <w:szCs w:val="24"/>
          <w:highlight w:val="none"/>
          <w:lang w:eastAsia="zh-CN"/>
        </w:rPr>
        <w:t>南通市保安服务有限公司</w:t>
      </w:r>
      <w:r>
        <w:rPr>
          <w:rFonts w:hint="eastAsia" w:ascii="宋体" w:hAnsi="宋体" w:cs="宋体"/>
          <w:sz w:val="24"/>
          <w:szCs w:val="24"/>
        </w:rPr>
        <w:t>官网发布的信息为准。</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、代理机构对磋商文件的澄清、修改将构成磋商文件的一部分，对响应磋商的供应商具有约束力。</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、澄清或者修改的内容可能影响到响应文件编制的，代理机构将在提交响应文件接收截止之日</w:t>
      </w:r>
      <w:r>
        <w:rPr>
          <w:rFonts w:ascii="宋体" w:hAnsi="宋体" w:cs="宋体"/>
          <w:sz w:val="24"/>
          <w:szCs w:val="24"/>
        </w:rPr>
        <w:t>5</w:t>
      </w:r>
      <w:r>
        <w:rPr>
          <w:rFonts w:hint="eastAsia" w:ascii="宋体" w:hAnsi="宋体" w:cs="宋体"/>
          <w:sz w:val="24"/>
          <w:szCs w:val="24"/>
        </w:rPr>
        <w:t>日前，发布澄清或者修改公告，不足</w:t>
      </w:r>
      <w:r>
        <w:rPr>
          <w:rFonts w:ascii="宋体" w:hAnsi="宋体" w:cs="宋体"/>
          <w:sz w:val="24"/>
          <w:szCs w:val="24"/>
        </w:rPr>
        <w:t>5</w:t>
      </w:r>
      <w:r>
        <w:rPr>
          <w:rFonts w:hint="eastAsia" w:ascii="宋体" w:hAnsi="宋体" w:cs="宋体"/>
          <w:sz w:val="24"/>
          <w:szCs w:val="24"/>
        </w:rPr>
        <w:t>日的，当顺延提交响应文件接收截止时间。</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、除非代理机构以书面的形式对磋商文件作出澄清、修改及补充，供应商对涉及磋商文件的任何推论、理解和结论所造成的结果，均由供应商自负。</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、采购单位视情组织答疑会。如有产生答疑且对磋商文件内容有修改，代理机构将按照本须知有关规定，以补充通知（公告）的方式发出。</w:t>
      </w:r>
    </w:p>
    <w:p>
      <w:pPr>
        <w:snapToGrid w:val="0"/>
        <w:spacing w:line="360" w:lineRule="auto"/>
        <w:ind w:firstLine="482" w:firstLineChars="200"/>
        <w:outlineLvl w:val="1"/>
        <w:rPr>
          <w:rFonts w:ascii="宋体" w:hAnsi="宋体" w:cs="宋体"/>
          <w:b/>
          <w:color w:val="000000"/>
          <w:sz w:val="24"/>
          <w:szCs w:val="24"/>
        </w:rPr>
      </w:pPr>
      <w:r>
        <w:rPr>
          <w:rFonts w:hint="eastAsia" w:ascii="宋体" w:hAnsi="宋体" w:cs="宋体"/>
          <w:b/>
          <w:color w:val="000000"/>
          <w:sz w:val="24"/>
          <w:szCs w:val="24"/>
        </w:rPr>
        <w:t>三、磋商项目涉及到的现场勘察</w:t>
      </w:r>
    </w:p>
    <w:p>
      <w:pPr>
        <w:snapToGrid w:val="0"/>
        <w:spacing w:line="360" w:lineRule="auto"/>
        <w:ind w:firstLine="484" w:firstLineChars="202"/>
        <w:rPr>
          <w:rFonts w:ascii="宋体"/>
          <w:sz w:val="24"/>
          <w:szCs w:val="24"/>
        </w:rPr>
      </w:pPr>
      <w:r>
        <w:rPr>
          <w:rFonts w:ascii="宋体" w:hAnsi="宋体" w:cs="宋体"/>
          <w:sz w:val="24"/>
          <w:szCs w:val="24"/>
        </w:rPr>
        <w:t>1</w:t>
      </w:r>
      <w:r>
        <w:rPr>
          <w:rFonts w:hint="eastAsia" w:ascii="宋体" w:hAnsi="宋体" w:cs="宋体"/>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、采购人向供应商提供的有关现场的资料和数据，是采购人现有的并认为能使供应商可利用的资料。采购人对供应商由此而做出的推论、理解和结论概不负责。</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、经采购人允许，供应商可为勘察目的进入采购人的项目现场，但供应商不得因此使采购人承担有关的责任和蒙受损失。供应商应承担勘察现场的责任和风险。</w:t>
      </w:r>
    </w:p>
    <w:p>
      <w:pPr>
        <w:snapToGrid w:val="0"/>
        <w:spacing w:line="360" w:lineRule="auto"/>
        <w:ind w:firstLine="484" w:firstLineChars="202"/>
        <w:rPr>
          <w:rFonts w:ascii="宋体" w:hAnsi="宋体" w:cs="宋体"/>
          <w:sz w:val="24"/>
          <w:szCs w:val="24"/>
        </w:rPr>
      </w:pPr>
      <w:r>
        <w:rPr>
          <w:rFonts w:ascii="宋体" w:hAnsi="宋体" w:cs="宋体"/>
          <w:sz w:val="24"/>
          <w:szCs w:val="24"/>
        </w:rPr>
        <w:t>4</w:t>
      </w:r>
      <w:r>
        <w:rPr>
          <w:rFonts w:hint="eastAsia" w:ascii="宋体" w:hAnsi="宋体" w:cs="宋体"/>
          <w:sz w:val="24"/>
          <w:szCs w:val="24"/>
        </w:rPr>
        <w:t>、供应商应认真踏勘现场。在现场勘察时，熟悉服务及作业现场、现场周围交通道路等情况，以获得一切可能影响其投标的直接资料。供应商成交后，不得以不完全了解现场情况为理由而向采购人提出任何索赔的要求，对此采购人不承担任何责任并将不作任何答复与考虑。</w:t>
      </w:r>
    </w:p>
    <w:p>
      <w:pPr>
        <w:pStyle w:val="2"/>
        <w:ind w:firstLine="482"/>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 xml:space="preserve">现场踏勘联系人：小马      联系电话：0513-80219010/83533190 </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四、响应文件的编制及装订</w:t>
      </w:r>
    </w:p>
    <w:p>
      <w:pPr>
        <w:snapToGrid w:val="0"/>
        <w:spacing w:line="360" w:lineRule="auto"/>
        <w:ind w:firstLine="487" w:firstLineChars="202"/>
        <w:rPr>
          <w:rFonts w:ascii="宋体"/>
          <w:b/>
          <w:bCs/>
          <w:sz w:val="24"/>
          <w:szCs w:val="24"/>
        </w:rPr>
      </w:pPr>
      <w:r>
        <w:rPr>
          <w:rFonts w:hint="eastAsia" w:ascii="宋体" w:hAnsi="宋体" w:cs="宋体"/>
          <w:b/>
          <w:bCs/>
          <w:sz w:val="24"/>
          <w:szCs w:val="24"/>
        </w:rPr>
        <w:t>供应商按磋商文件要求编写响应文件，并牢固装订成册。响应文件均需采用</w:t>
      </w:r>
      <w:r>
        <w:rPr>
          <w:rFonts w:ascii="宋体" w:hAnsi="宋体" w:cs="宋体"/>
          <w:b/>
          <w:bCs/>
          <w:sz w:val="24"/>
          <w:szCs w:val="24"/>
        </w:rPr>
        <w:t>A4</w:t>
      </w:r>
      <w:r>
        <w:rPr>
          <w:rFonts w:hint="eastAsia" w:ascii="宋体" w:hAnsi="宋体" w:cs="宋体"/>
          <w:b/>
          <w:bCs/>
          <w:sz w:val="24"/>
          <w:szCs w:val="24"/>
        </w:rPr>
        <w:t>纸（图纸等除外），不允许使用活页夹、拉杆夹、文件夹、塑料方便式书脊（插入式或穿孔式）装订。响应文件不得行间插字、涂改、增删，如修改错漏处，须经响应文件签署人签字并加盖公章。</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五、响应文件的份数和签署</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hint="eastAsia" w:ascii="宋体" w:hAnsi="宋体" w:cs="宋体"/>
          <w:sz w:val="24"/>
          <w:szCs w:val="24"/>
        </w:rPr>
        <w:t>①</w:t>
      </w:r>
      <w:r>
        <w:rPr>
          <w:rFonts w:ascii="宋体" w:hAnsi="宋体" w:cs="宋体"/>
          <w:sz w:val="24"/>
          <w:szCs w:val="24"/>
        </w:rPr>
        <w:fldChar w:fldCharType="end"/>
      </w:r>
      <w:r>
        <w:rPr>
          <w:rFonts w:hint="eastAsia" w:ascii="宋体" w:hAnsi="宋体" w:cs="宋体"/>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hint="eastAsia" w:ascii="宋体" w:hAnsi="宋体" w:cs="宋体"/>
          <w:sz w:val="24"/>
          <w:szCs w:val="24"/>
        </w:rPr>
        <w:t>②</w:t>
      </w:r>
      <w:r>
        <w:rPr>
          <w:rFonts w:ascii="宋体" w:hAnsi="宋体" w:cs="宋体"/>
          <w:sz w:val="24"/>
          <w:szCs w:val="24"/>
        </w:rPr>
        <w:fldChar w:fldCharType="end"/>
      </w:r>
      <w:r>
        <w:rPr>
          <w:rFonts w:hint="eastAsia" w:ascii="宋体" w:hAnsi="宋体" w:cs="宋体"/>
          <w:sz w:val="24"/>
          <w:szCs w:val="24"/>
        </w:rPr>
        <w:t>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hint="eastAsia" w:ascii="宋体" w:hAnsi="宋体" w:cs="宋体"/>
          <w:sz w:val="24"/>
          <w:szCs w:val="24"/>
        </w:rPr>
        <w:t>③</w:t>
      </w:r>
      <w:r>
        <w:rPr>
          <w:rFonts w:ascii="宋体" w:hAnsi="宋体" w:cs="宋体"/>
          <w:sz w:val="24"/>
          <w:szCs w:val="24"/>
        </w:rPr>
        <w:fldChar w:fldCharType="end"/>
      </w:r>
      <w:r>
        <w:rPr>
          <w:rFonts w:hint="eastAsia" w:ascii="宋体" w:hAnsi="宋体" w:cs="宋体"/>
          <w:sz w:val="24"/>
          <w:szCs w:val="24"/>
        </w:rPr>
        <w:t>商务报价响应文件，共</w:t>
      </w:r>
      <w:r>
        <w:rPr>
          <w:rFonts w:ascii="宋体" w:hAnsi="宋体" w:cs="宋体"/>
          <w:sz w:val="24"/>
          <w:szCs w:val="24"/>
        </w:rPr>
        <w:t>3</w:t>
      </w:r>
      <w:r>
        <w:rPr>
          <w:rFonts w:hint="eastAsia" w:ascii="宋体" w:hAnsi="宋体" w:cs="宋体"/>
          <w:sz w:val="24"/>
          <w:szCs w:val="24"/>
        </w:rPr>
        <w:t>部分组成（以下由文件序号代称）。</w:t>
      </w:r>
    </w:p>
    <w:p>
      <w:pPr>
        <w:snapToGrid w:val="0"/>
        <w:spacing w:line="360" w:lineRule="auto"/>
        <w:ind w:firstLine="480" w:firstLineChars="200"/>
        <w:rPr>
          <w:rFonts w:ascii="宋体"/>
          <w:sz w:val="24"/>
          <w:szCs w:val="24"/>
          <w:u w:val="single"/>
        </w:rPr>
      </w:pPr>
      <w:r>
        <w:rPr>
          <w:rFonts w:ascii="宋体" w:hAnsi="宋体" w:cs="宋体"/>
          <w:sz w:val="24"/>
          <w:szCs w:val="24"/>
        </w:rPr>
        <w:t>2</w:t>
      </w:r>
      <w:r>
        <w:rPr>
          <w:rFonts w:hint="eastAsia" w:ascii="宋体" w:hAnsi="宋体" w:cs="宋体"/>
          <w:sz w:val="24"/>
          <w:szCs w:val="24"/>
        </w:rPr>
        <w:t>、响应文件均为壹式叁份，其中“正本”壹份和“副本”贰份。</w:t>
      </w:r>
    </w:p>
    <w:p>
      <w:pPr>
        <w:snapToGrid w:val="0"/>
        <w:spacing w:line="360" w:lineRule="auto"/>
        <w:ind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、在每份响应文件上要明确标注项目名称、项目编号、对应的响应文件名称、供应商的全称、日期、“正本”、“副本”字样。“正本”和“副本”若有差异，概以“正本”为准。</w:t>
      </w:r>
    </w:p>
    <w:p>
      <w:pPr>
        <w:snapToGrid w:val="0"/>
        <w:spacing w:line="360" w:lineRule="auto"/>
        <w:ind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、供应商可将响应文件正副本统一密封或分别密封，如正本和副本分别密封的，应在封袋上标明正、副本字样。</w:t>
      </w:r>
    </w:p>
    <w:p>
      <w:pPr>
        <w:snapToGrid w:val="0"/>
        <w:spacing w:line="360" w:lineRule="auto"/>
        <w:ind w:firstLine="470" w:firstLineChars="196"/>
        <w:rPr>
          <w:rFonts w:ascii="宋体"/>
          <w:sz w:val="24"/>
          <w:szCs w:val="24"/>
        </w:rPr>
      </w:pPr>
      <w:r>
        <w:rPr>
          <w:rFonts w:ascii="宋体" w:hAnsi="宋体" w:cs="宋体"/>
          <w:sz w:val="24"/>
          <w:szCs w:val="24"/>
        </w:rPr>
        <w:t>5</w:t>
      </w:r>
      <w:r>
        <w:rPr>
          <w:rFonts w:hint="eastAsia" w:ascii="宋体" w:hAnsi="宋体" w:cs="宋体"/>
          <w:sz w:val="24"/>
          <w:szCs w:val="24"/>
        </w:rPr>
        <w:t>、响应文件中的所有“正本”，其正文内容须按磋商文件要求由供应商法定代表人或被授权人签字（或盖章）并加盖单位公章。“副本”可复印，但须加盖单位公章。</w:t>
      </w:r>
    </w:p>
    <w:p>
      <w:pPr>
        <w:snapToGrid w:val="0"/>
        <w:spacing w:line="360" w:lineRule="auto"/>
        <w:ind w:firstLine="472" w:firstLineChars="196"/>
        <w:rPr>
          <w:rFonts w:ascii="宋体"/>
          <w:b/>
          <w:bCs/>
          <w:sz w:val="24"/>
          <w:szCs w:val="24"/>
        </w:rPr>
      </w:pPr>
      <w:r>
        <w:rPr>
          <w:rFonts w:hint="eastAsia" w:ascii="宋体" w:hAnsi="宋体" w:cs="宋体"/>
          <w:b/>
          <w:bCs/>
          <w:sz w:val="24"/>
          <w:szCs w:val="24"/>
        </w:rPr>
        <w:t>六、响应文件的密封及标记</w:t>
      </w:r>
    </w:p>
    <w:p>
      <w:pPr>
        <w:snapToGrid w:val="0"/>
        <w:spacing w:line="360" w:lineRule="auto"/>
        <w:ind w:firstLine="480" w:firstLineChars="200"/>
        <w:rPr>
          <w:rFonts w:ascii="宋体"/>
          <w:sz w:val="24"/>
          <w:szCs w:val="24"/>
          <w:u w:val="single"/>
        </w:rPr>
      </w:pPr>
      <w:r>
        <w:rPr>
          <w:rFonts w:ascii="宋体" w:hAnsi="宋体" w:cs="宋体"/>
          <w:sz w:val="24"/>
          <w:szCs w:val="24"/>
        </w:rPr>
        <w:t>1</w:t>
      </w:r>
      <w:r>
        <w:rPr>
          <w:rFonts w:hint="eastAsia" w:ascii="宋体" w:hAnsi="宋体" w:cs="宋体"/>
          <w:sz w:val="24"/>
          <w:szCs w:val="24"/>
        </w:rPr>
        <w:t>、供应商须将本项目响应文件：</w:t>
      </w:r>
      <w:r>
        <w:rPr>
          <w:rFonts w:hint="eastAsia" w:ascii="宋体" w:hAnsi="宋体" w:cs="宋体"/>
          <w:b/>
          <w:bCs/>
          <w:color w:val="000000"/>
          <w:sz w:val="24"/>
          <w:szCs w:val="24"/>
        </w:rPr>
        <w:t>资格审查文件、技术响应文件、商务报价响应文件</w:t>
      </w:r>
      <w:r>
        <w:rPr>
          <w:rFonts w:hint="eastAsia" w:ascii="宋体" w:hAnsi="宋体" w:cs="宋体"/>
          <w:b/>
          <w:sz w:val="24"/>
          <w:szCs w:val="24"/>
        </w:rPr>
        <w:t>单独密封</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、密封后，应在每一密封的响应文件上明确标注磋商项目名称、响应文件各自对应的名称、供应商的全称及日期。</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、在边缝处加盖供应商公章或骑缝签字。</w:t>
      </w:r>
    </w:p>
    <w:p>
      <w:pPr>
        <w:snapToGrid w:val="0"/>
        <w:spacing w:line="360" w:lineRule="auto"/>
        <w:ind w:firstLine="482" w:firstLineChars="200"/>
        <w:textAlignment w:val="baseline"/>
        <w:rPr>
          <w:rFonts w:ascii="宋体" w:hAnsi="宋体" w:cs="宋体"/>
          <w:sz w:val="24"/>
          <w:szCs w:val="24"/>
        </w:rPr>
      </w:pPr>
      <w:r>
        <w:rPr>
          <w:rFonts w:hint="eastAsia" w:ascii="宋体" w:hAnsi="宋体" w:cs="宋体"/>
          <w:b/>
          <w:bCs/>
          <w:sz w:val="24"/>
          <w:szCs w:val="24"/>
        </w:rPr>
        <w:t>【特别提醒】</w:t>
      </w:r>
      <w:r>
        <w:rPr>
          <w:rFonts w:hint="eastAsia" w:ascii="宋体" w:hAnsi="宋体" w:cs="宋体"/>
          <w:sz w:val="24"/>
          <w:szCs w:val="24"/>
        </w:rPr>
        <w:t>响应文件中的</w:t>
      </w:r>
      <w:r>
        <w:rPr>
          <w:rFonts w:hint="eastAsia" w:ascii="宋体" w:hAnsi="宋体" w:cs="宋体"/>
          <w:b/>
          <w:bCs/>
          <w:color w:val="000000"/>
          <w:sz w:val="24"/>
          <w:szCs w:val="24"/>
        </w:rPr>
        <w:t>资格审查文件、技术响应文件</w:t>
      </w:r>
      <w:r>
        <w:rPr>
          <w:rFonts w:hint="eastAsia" w:ascii="宋体" w:hAnsi="宋体" w:cs="宋体"/>
          <w:sz w:val="24"/>
          <w:szCs w:val="24"/>
        </w:rPr>
        <w:t>的“正本”或“副本”中，均不得含有商务报价响应文件中报价表（报价单）内的任何项目价格，否则作无效响应处理。</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七、</w:t>
      </w:r>
      <w:r>
        <w:rPr>
          <w:rFonts w:hint="eastAsia" w:ascii="宋体" w:hAnsi="宋体" w:cs="宋体"/>
          <w:b/>
          <w:bCs/>
          <w:color w:val="000000"/>
          <w:sz w:val="24"/>
          <w:szCs w:val="24"/>
        </w:rPr>
        <w:t>磋商报价</w:t>
      </w:r>
    </w:p>
    <w:p>
      <w:pPr>
        <w:snapToGrid w:val="0"/>
        <w:spacing w:line="360" w:lineRule="auto"/>
        <w:ind w:firstLine="494" w:firstLineChars="206"/>
        <w:rPr>
          <w:rFonts w:ascii="宋体"/>
          <w:sz w:val="24"/>
          <w:szCs w:val="24"/>
        </w:rPr>
      </w:pPr>
      <w:r>
        <w:rPr>
          <w:rFonts w:ascii="宋体" w:hAnsi="宋体" w:cs="宋体"/>
          <w:sz w:val="24"/>
          <w:szCs w:val="24"/>
        </w:rPr>
        <w:t>1</w:t>
      </w:r>
      <w:r>
        <w:rPr>
          <w:rFonts w:hint="eastAsia" w:ascii="宋体" w:hAnsi="宋体" w:cs="宋体"/>
          <w:sz w:val="24"/>
          <w:szCs w:val="24"/>
        </w:rPr>
        <w:t>、本项目不接受任何有选择的报价。</w:t>
      </w:r>
    </w:p>
    <w:p>
      <w:pPr>
        <w:snapToGrid w:val="0"/>
        <w:spacing w:line="360" w:lineRule="auto"/>
        <w:ind w:firstLine="494" w:firstLineChars="206"/>
        <w:rPr>
          <w:rFonts w:ascii="宋体"/>
          <w:sz w:val="24"/>
          <w:szCs w:val="24"/>
        </w:rPr>
      </w:pPr>
      <w:r>
        <w:rPr>
          <w:rFonts w:ascii="宋体" w:hAnsi="宋体" w:cs="宋体"/>
          <w:sz w:val="24"/>
          <w:szCs w:val="24"/>
        </w:rPr>
        <w:t>2</w:t>
      </w:r>
      <w:r>
        <w:rPr>
          <w:rFonts w:hint="eastAsia" w:ascii="宋体" w:hAnsi="宋体" w:cs="宋体"/>
          <w:sz w:val="24"/>
          <w:szCs w:val="24"/>
        </w:rPr>
        <w:t>、磋商报价均以人民币为报价的币种。</w:t>
      </w:r>
    </w:p>
    <w:p>
      <w:pPr>
        <w:snapToGrid w:val="0"/>
        <w:spacing w:line="360" w:lineRule="auto"/>
        <w:ind w:firstLine="494" w:firstLineChars="206"/>
        <w:rPr>
          <w:rFonts w:hint="eastAsia" w:ascii="宋体" w:hAnsi="宋体" w:eastAsia="宋体" w:cs="宋体"/>
          <w:snapToGrid/>
          <w:kern w:val="2"/>
          <w:sz w:val="24"/>
        </w:rPr>
      </w:pPr>
      <w:r>
        <w:rPr>
          <w:rFonts w:ascii="宋体" w:hAnsi="宋体" w:eastAsia="宋体" w:cs="宋体"/>
          <w:snapToGrid/>
          <w:kern w:val="2"/>
          <w:sz w:val="24"/>
        </w:rPr>
        <w:t>3</w:t>
      </w:r>
      <w:r>
        <w:rPr>
          <w:rFonts w:hint="eastAsia" w:ascii="宋体" w:hAnsi="宋体" w:eastAsia="宋体" w:cs="宋体"/>
          <w:snapToGrid/>
          <w:kern w:val="2"/>
          <w:sz w:val="24"/>
        </w:rPr>
        <w:t>、磋商报价表必须加盖单位公章且必须经法定代表人或被授权人签字或 盖章。</w:t>
      </w:r>
      <w:r>
        <w:rPr>
          <w:rFonts w:hint="eastAsia" w:ascii="宋体" w:hAnsi="宋体" w:eastAsia="宋体" w:cs="宋体"/>
          <w:snapToGrid/>
          <w:kern w:val="2"/>
          <w:sz w:val="24"/>
          <w:lang w:val="en-US" w:eastAsia="zh-CN"/>
        </w:rPr>
        <w:t>报价</w:t>
      </w:r>
      <w:r>
        <w:rPr>
          <w:rFonts w:hint="eastAsia" w:ascii="宋体" w:hAnsi="宋体" w:eastAsia="宋体" w:cs="宋体"/>
          <w:snapToGrid/>
          <w:kern w:val="2"/>
          <w:sz w:val="24"/>
        </w:rPr>
        <w:t>表中的报价出现前后不一致的，将执行财政部第 87 号令《政府采购货物和服务招标投标管理办法》第 59 条的规定修正:</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3.1开标一览表(报价表)内容与投标文件中相应内容不一致的，以开标一览表(报价表)为准;</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3.2 大写金额和小写金额不一致的，以大写金额为准;</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3.3单价金额小数点或者百分比有明显错位的，以开标一览表(报价表)的总价为准，并修改单价;</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3.4总价金额与按单价汇总金额不一致的，以单价金额计算结果为准。</w:t>
      </w:r>
    </w:p>
    <w:p>
      <w:pPr>
        <w:snapToGrid w:val="0"/>
        <w:spacing w:line="360" w:lineRule="auto"/>
        <w:ind w:firstLine="480" w:firstLineChars="200"/>
        <w:rPr>
          <w:rFonts w:hint="eastAsia" w:ascii="宋体" w:hAnsi="宋体" w:eastAsia="宋体" w:cs="宋体"/>
          <w:snapToGrid/>
          <w:kern w:val="2"/>
          <w:sz w:val="24"/>
          <w:lang w:val="en-US" w:eastAsia="zh-CN"/>
        </w:rPr>
      </w:pPr>
      <w:r>
        <w:rPr>
          <w:rFonts w:hint="eastAsia" w:ascii="宋体" w:hAnsi="宋体" w:eastAsia="宋体" w:cs="宋体"/>
          <w:snapToGrid/>
          <w:kern w:val="2"/>
          <w:sz w:val="24"/>
          <w:lang w:val="en-US" w:eastAsia="zh-CN"/>
        </w:rPr>
        <w:t>同</w:t>
      </w:r>
      <w:r>
        <w:rPr>
          <w:rFonts w:hint="eastAsia" w:ascii="宋体" w:hAnsi="宋体" w:eastAsia="宋体" w:cs="宋体"/>
          <w:snapToGrid/>
          <w:kern w:val="2"/>
          <w:sz w:val="24"/>
        </w:rPr>
        <w:t>时出现两种以上不一至致的，按照前款规定的顺序修正。修正后的报价按照本办法第五十一条第二款的规定经供应商确认后产生约束力，供应商不确认的，其响应无效。</w:t>
      </w:r>
      <w:r>
        <w:rPr>
          <w:rFonts w:hint="eastAsia" w:ascii="宋体" w:hAnsi="宋体" w:eastAsia="宋体" w:cs="宋体"/>
          <w:snapToGrid/>
          <w:kern w:val="2"/>
          <w:sz w:val="24"/>
          <w:lang w:val="en-US" w:eastAsia="zh-CN"/>
        </w:rPr>
        <w:t xml:space="preserve"> </w:t>
      </w:r>
    </w:p>
    <w:p>
      <w:pPr>
        <w:snapToGrid w:val="0"/>
        <w:spacing w:line="360" w:lineRule="auto"/>
        <w:ind w:firstLine="480" w:firstLineChars="200"/>
        <w:rPr>
          <w:rFonts w:hint="eastAsia" w:ascii="宋体" w:hAnsi="宋体" w:eastAsia="宋体" w:cs="宋体"/>
          <w:sz w:val="24"/>
          <w:szCs w:val="24"/>
          <w:lang w:eastAsia="zh-CN"/>
        </w:rPr>
      </w:pPr>
      <w:r>
        <w:rPr>
          <w:rFonts w:ascii="宋体" w:hAnsi="宋体" w:cs="宋体"/>
          <w:sz w:val="24"/>
          <w:szCs w:val="24"/>
        </w:rPr>
        <w:t>4</w:t>
      </w:r>
      <w:r>
        <w:rPr>
          <w:rFonts w:hint="eastAsia" w:ascii="宋体" w:hAnsi="宋体" w:cs="宋体"/>
          <w:sz w:val="24"/>
          <w:szCs w:val="24"/>
        </w:rPr>
        <w:t>、</w:t>
      </w:r>
      <w:r>
        <w:rPr>
          <w:rFonts w:hint="eastAsia" w:ascii="宋体" w:hAnsi="宋体" w:eastAsia="宋体" w:cs="宋体"/>
          <w:bCs/>
          <w:color w:val="000000"/>
          <w:sz w:val="24"/>
          <w:highlight w:val="none"/>
        </w:rPr>
        <w:t>本项目</w:t>
      </w:r>
      <w:r>
        <w:rPr>
          <w:rFonts w:hint="eastAsia" w:ascii="宋体" w:hAnsi="宋体" w:eastAsia="宋体" w:cs="宋体"/>
          <w:sz w:val="24"/>
          <w:highlight w:val="none"/>
        </w:rPr>
        <w:t>磋商报价</w:t>
      </w:r>
      <w:r>
        <w:rPr>
          <w:rFonts w:hint="eastAsia" w:ascii="宋体" w:hAnsi="宋体" w:eastAsia="宋体" w:cs="宋体"/>
          <w:bCs/>
          <w:color w:val="000000"/>
          <w:sz w:val="24"/>
          <w:highlight w:val="none"/>
        </w:rPr>
        <w:t>为</w:t>
      </w:r>
      <w:r>
        <w:rPr>
          <w:rFonts w:hint="eastAsia" w:ascii="宋体" w:hAnsi="宋体" w:eastAsia="宋体" w:cs="宋体"/>
          <w:bCs/>
          <w:color w:val="000000"/>
          <w:sz w:val="24"/>
          <w:highlight w:val="none"/>
          <w:lang w:val="zh-CN"/>
        </w:rPr>
        <w:t>固定总价报价</w:t>
      </w:r>
      <w:r>
        <w:rPr>
          <w:rFonts w:hint="eastAsia" w:ascii="宋体" w:hAnsi="宋体" w:eastAsia="宋体" w:cs="宋体"/>
          <w:sz w:val="24"/>
          <w:highlight w:val="none"/>
        </w:rPr>
        <w:t>，该价格一次性包定</w:t>
      </w:r>
      <w:r>
        <w:rPr>
          <w:rFonts w:hint="eastAsia" w:ascii="宋体" w:hAnsi="宋体" w:cs="宋体"/>
          <w:sz w:val="24"/>
          <w:szCs w:val="24"/>
        </w:rPr>
        <w:t>，</w:t>
      </w:r>
      <w:r>
        <w:rPr>
          <w:rFonts w:hint="eastAsia" w:ascii="宋体" w:hAnsi="宋体" w:cs="宋体"/>
          <w:sz w:val="24"/>
          <w:szCs w:val="24"/>
          <w:lang w:val="en-US" w:eastAsia="zh-CN"/>
        </w:rPr>
        <w:t>成交供应商须考虑</w:t>
      </w:r>
      <w:r>
        <w:rPr>
          <w:rFonts w:hint="eastAsia" w:ascii="宋体" w:hAnsi="宋体" w:cs="宋体"/>
          <w:sz w:val="24"/>
          <w:szCs w:val="24"/>
        </w:rPr>
        <w:t>合同期内最低工资标准上涨</w:t>
      </w:r>
      <w:r>
        <w:rPr>
          <w:rFonts w:hint="eastAsia" w:ascii="宋体" w:hAnsi="宋体" w:cs="宋体"/>
          <w:sz w:val="24"/>
          <w:szCs w:val="24"/>
          <w:lang w:eastAsia="zh-CN"/>
        </w:rPr>
        <w:t>、</w:t>
      </w:r>
      <w:r>
        <w:rPr>
          <w:rFonts w:hint="eastAsia" w:ascii="宋体" w:hAnsi="宋体" w:cs="宋体"/>
          <w:sz w:val="24"/>
          <w:szCs w:val="24"/>
          <w:lang w:val="en-US" w:eastAsia="zh-CN"/>
        </w:rPr>
        <w:t>加班费等费用</w:t>
      </w:r>
      <w:r>
        <w:rPr>
          <w:rFonts w:hint="eastAsia" w:ascii="宋体" w:hAnsi="宋体" w:cs="宋体"/>
          <w:sz w:val="24"/>
          <w:szCs w:val="24"/>
        </w:rPr>
        <w:t>，</w:t>
      </w:r>
      <w:r>
        <w:rPr>
          <w:rFonts w:hint="eastAsia" w:ascii="宋体" w:hAnsi="宋体" w:cs="宋体"/>
          <w:sz w:val="24"/>
          <w:szCs w:val="24"/>
          <w:lang w:val="en-US" w:eastAsia="zh-CN"/>
        </w:rPr>
        <w:t>服务期内</w:t>
      </w:r>
      <w:r>
        <w:rPr>
          <w:rFonts w:hint="eastAsia" w:ascii="宋体" w:hAnsi="宋体" w:cs="宋体"/>
          <w:sz w:val="24"/>
          <w:szCs w:val="24"/>
        </w:rPr>
        <w:t>合同价不调整</w:t>
      </w:r>
      <w:r>
        <w:rPr>
          <w:rFonts w:hint="eastAsia" w:ascii="宋体" w:hAnsi="宋体" w:cs="宋体"/>
          <w:sz w:val="24"/>
          <w:szCs w:val="24"/>
          <w:lang w:eastAsia="zh-CN"/>
        </w:rPr>
        <w:t>。</w:t>
      </w:r>
    </w:p>
    <w:p>
      <w:pPr>
        <w:snapToGrid w:val="0"/>
        <w:spacing w:line="360" w:lineRule="auto"/>
        <w:ind w:left="0" w:leftChars="0" w:firstLine="468" w:firstLineChars="195"/>
        <w:outlineLvl w:val="1"/>
        <w:rPr>
          <w:rFonts w:hint="eastAsia" w:ascii="宋体" w:hAnsi="宋体" w:cs="宋体"/>
          <w:b/>
          <w:bCs/>
          <w:color w:val="auto"/>
          <w:sz w:val="24"/>
          <w:szCs w:val="24"/>
        </w:rPr>
      </w:pPr>
      <w:r>
        <w:rPr>
          <w:rFonts w:hint="eastAsia" w:ascii="宋体" w:hAnsi="宋体" w:cs="宋体"/>
          <w:sz w:val="24"/>
          <w:szCs w:val="24"/>
          <w:lang w:val="en-US" w:eastAsia="zh-CN"/>
        </w:rPr>
        <w:t>5、</w:t>
      </w:r>
      <w:r>
        <w:rPr>
          <w:rFonts w:hint="eastAsia" w:ascii="宋体" w:hAnsi="宋体" w:cs="宋体"/>
          <w:b/>
          <w:bCs/>
          <w:sz w:val="24"/>
          <w:szCs w:val="24"/>
        </w:rPr>
        <w:t>磋商报价（以人民币计价</w:t>
      </w:r>
      <w:r>
        <w:rPr>
          <w:rFonts w:hint="eastAsia" w:ascii="宋体" w:hAnsi="宋体" w:cs="宋体"/>
          <w:b/>
          <w:bCs/>
          <w:color w:val="auto"/>
          <w:sz w:val="24"/>
          <w:szCs w:val="24"/>
        </w:rPr>
        <w:t>）应包括但不限于所有与本项目实施有关的所有费用包括：材料费（涉及到电梯维保的所有配件）、设备费、设备维修或更换费、上门服务费（含业主临时或应急要求）、人员工资（含保险费）、管理费、利润、税金、政策性文件规定及为达到采购人要求所包含的所有风险、责任等各项费用。但不包括</w:t>
      </w:r>
      <w:r>
        <w:rPr>
          <w:rFonts w:hint="eastAsia" w:ascii="宋体" w:hAnsi="宋体" w:cs="宋体"/>
          <w:b/>
          <w:bCs/>
          <w:color w:val="auto"/>
          <w:sz w:val="24"/>
          <w:szCs w:val="24"/>
          <w:lang w:eastAsia="zh-CN"/>
        </w:rPr>
        <w:t>：</w:t>
      </w:r>
      <w:r>
        <w:rPr>
          <w:rFonts w:hint="eastAsia" w:ascii="宋体" w:hAnsi="宋体" w:cs="宋体"/>
          <w:b/>
          <w:bCs/>
          <w:color w:val="auto"/>
          <w:sz w:val="24"/>
          <w:szCs w:val="24"/>
        </w:rPr>
        <w:t>国家新规定的为电梯进行改造、重大维修工作所需要的材料和人工费用</w:t>
      </w:r>
      <w:r>
        <w:rPr>
          <w:rFonts w:hint="eastAsia" w:ascii="宋体" w:hAnsi="宋体" w:cs="宋体"/>
          <w:b/>
          <w:bCs/>
          <w:color w:val="auto"/>
          <w:sz w:val="24"/>
          <w:szCs w:val="24"/>
          <w:lang w:eastAsia="zh-CN"/>
        </w:rPr>
        <w:t>以及</w:t>
      </w:r>
      <w:r>
        <w:rPr>
          <w:rFonts w:hint="eastAsia" w:ascii="宋体" w:hAnsi="宋体" w:cs="宋体"/>
          <w:b/>
          <w:bCs/>
          <w:color w:val="auto"/>
          <w:sz w:val="24"/>
          <w:szCs w:val="24"/>
        </w:rPr>
        <w:t>国家特种设备检验机构在电梯检验时的相关配合费用和年检费。</w:t>
      </w:r>
    </w:p>
    <w:p>
      <w:pPr>
        <w:snapToGrid w:val="0"/>
        <w:spacing w:line="360" w:lineRule="auto"/>
        <w:ind w:left="0" w:leftChars="0" w:firstLine="468" w:firstLineChars="195"/>
        <w:outlineLvl w:val="1"/>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pPr>
        <w:snapToGrid w:val="0"/>
        <w:spacing w:line="360" w:lineRule="auto"/>
        <w:ind w:firstLine="480" w:firstLineChars="200"/>
        <w:textAlignment w:val="baseline"/>
      </w:pP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bCs/>
          <w:sz w:val="24"/>
        </w:rPr>
        <w:t>本次磋商项目的报价采用两轮报价，首次报价不得超过项目预算金额。除非在磋商中磋商小组对采购人需求内容作了调整增加，或对采购内容作了实质性变更，否则采购人不接受供应商高于自己前一轮的磋商报价，并作无效报价处理。最终报价将作为磋商小组评定成交供应商的依据。</w:t>
      </w:r>
    </w:p>
    <w:p>
      <w:pPr>
        <w:snapToGrid w:val="0"/>
        <w:spacing w:line="360" w:lineRule="auto"/>
        <w:ind w:left="0" w:leftChars="0" w:firstLine="468" w:firstLineChars="195"/>
        <w:outlineLvl w:val="1"/>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、本项目竞争性</w:t>
      </w:r>
      <w:r>
        <w:rPr>
          <w:rFonts w:hint="eastAsia" w:ascii="宋体" w:hAnsi="宋体" w:eastAsia="宋体" w:cs="宋体"/>
          <w:sz w:val="24"/>
          <w:szCs w:val="24"/>
        </w:rPr>
        <w:t>磋商的最终报价作为成交价。同时，供应商的最终成交价在合同实施期间不因市场变化因素而变动。</w:t>
      </w:r>
    </w:p>
    <w:p>
      <w:pPr>
        <w:snapToGrid w:val="0"/>
        <w:spacing w:line="360" w:lineRule="auto"/>
        <w:ind w:left="0" w:leftChars="0" w:firstLine="468" w:firstLineChars="195"/>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bCs/>
          <w:sz w:val="24"/>
        </w:rPr>
        <w:t>由于新型冠状肺炎疫情的影响，因卫生防疫要求采取的措施、物资等一切费用包含在投标报价（即合同价）中，结算时不予调整。</w:t>
      </w:r>
    </w:p>
    <w:p>
      <w:pPr>
        <w:snapToGrid w:val="0"/>
        <w:spacing w:line="360" w:lineRule="auto"/>
        <w:ind w:firstLine="470" w:firstLineChars="196"/>
        <w:outlineLvl w:val="1"/>
        <w:rPr>
          <w:rFonts w:ascii="宋体"/>
          <w:sz w:val="24"/>
          <w:szCs w:val="24"/>
        </w:rPr>
      </w:pPr>
      <w:r>
        <w:rPr>
          <w:rFonts w:hint="eastAsia" w:ascii="宋体" w:hAnsi="宋体" w:cs="宋体"/>
          <w:sz w:val="24"/>
          <w:szCs w:val="24"/>
          <w:lang w:val="en-US" w:eastAsia="zh-CN"/>
        </w:rPr>
        <w:t>10</w:t>
      </w:r>
      <w:r>
        <w:rPr>
          <w:rFonts w:hint="eastAsia" w:ascii="宋体" w:hAnsi="宋体" w:cs="宋体"/>
          <w:sz w:val="24"/>
          <w:szCs w:val="24"/>
        </w:rPr>
        <w:t>、最低的磋商总价报价是成交的重要条件，但不是成交的唯一条件。</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八、联合体参与磋商</w:t>
      </w:r>
    </w:p>
    <w:p>
      <w:pPr>
        <w:snapToGrid w:val="0"/>
        <w:spacing w:line="360" w:lineRule="auto"/>
        <w:ind w:firstLine="470" w:firstLineChars="196"/>
        <w:outlineLvl w:val="1"/>
        <w:rPr>
          <w:rFonts w:hint="eastAsia" w:ascii="宋体" w:hAnsi="宋体" w:cs="宋体"/>
          <w:sz w:val="24"/>
          <w:szCs w:val="24"/>
        </w:rPr>
      </w:pPr>
      <w:r>
        <w:rPr>
          <w:rFonts w:hint="eastAsia" w:ascii="宋体" w:hAnsi="宋体" w:cs="宋体"/>
          <w:sz w:val="24"/>
          <w:szCs w:val="24"/>
        </w:rPr>
        <w:t>不接受任何形式的联合体参与本项目的竞争性磋商。</w:t>
      </w:r>
    </w:p>
    <w:p>
      <w:pPr>
        <w:snapToGrid w:val="0"/>
        <w:spacing w:line="360" w:lineRule="auto"/>
        <w:ind w:firstLine="496" w:firstLineChars="206"/>
        <w:outlineLvl w:val="1"/>
        <w:rPr>
          <w:sz w:val="24"/>
          <w:szCs w:val="24"/>
        </w:rPr>
      </w:pPr>
      <w:r>
        <w:rPr>
          <w:rFonts w:hint="eastAsia" w:cs="宋体"/>
          <w:b/>
          <w:bCs/>
          <w:sz w:val="24"/>
          <w:szCs w:val="24"/>
        </w:rPr>
        <w:t>九、磋商响应文件的有效期</w:t>
      </w:r>
    </w:p>
    <w:p>
      <w:pPr>
        <w:snapToGrid w:val="0"/>
        <w:spacing w:line="360" w:lineRule="auto"/>
        <w:ind w:firstLine="480" w:firstLineChars="200"/>
        <w:rPr>
          <w:sz w:val="24"/>
          <w:szCs w:val="24"/>
        </w:rPr>
      </w:pPr>
      <w:r>
        <w:rPr>
          <w:rFonts w:hint="eastAsia" w:ascii="Times New Roman" w:hAnsi="Times New Roman" w:eastAsia="宋体" w:cs="宋体"/>
          <w:sz w:val="24"/>
          <w:szCs w:val="24"/>
        </w:rPr>
        <w:t>1、从磋商响应</w:t>
      </w:r>
      <w:r>
        <w:rPr>
          <w:rFonts w:hint="eastAsia" w:cs="宋体"/>
          <w:sz w:val="24"/>
          <w:szCs w:val="24"/>
        </w:rPr>
        <w:t>文件接收截止之日算起，</w:t>
      </w:r>
      <w:r>
        <w:rPr>
          <w:b/>
          <w:bCs/>
          <w:sz w:val="24"/>
          <w:szCs w:val="24"/>
        </w:rPr>
        <w:t>45</w:t>
      </w:r>
      <w:r>
        <w:rPr>
          <w:rFonts w:hint="eastAsia" w:cs="宋体"/>
          <w:sz w:val="24"/>
          <w:szCs w:val="24"/>
        </w:rPr>
        <w:t>个</w:t>
      </w:r>
      <w:r>
        <w:rPr>
          <w:sz w:val="24"/>
          <w:szCs w:val="24"/>
        </w:rPr>
        <w:t>“</w:t>
      </w:r>
      <w:r>
        <w:rPr>
          <w:rFonts w:hint="eastAsia" w:cs="宋体"/>
          <w:sz w:val="24"/>
          <w:szCs w:val="24"/>
        </w:rPr>
        <w:t>日历天</w:t>
      </w:r>
      <w:r>
        <w:rPr>
          <w:sz w:val="24"/>
          <w:szCs w:val="24"/>
        </w:rPr>
        <w:t>”</w:t>
      </w:r>
      <w:r>
        <w:rPr>
          <w:rFonts w:hint="eastAsia" w:cs="宋体"/>
          <w:sz w:val="24"/>
          <w:szCs w:val="24"/>
        </w:rPr>
        <w:t>内磋商响应书应保持有效。有效期短于这个规定期限的磋商响应，将被拒绝。</w:t>
      </w:r>
    </w:p>
    <w:p>
      <w:pPr>
        <w:snapToGrid w:val="0"/>
        <w:spacing w:line="360" w:lineRule="auto"/>
        <w:ind w:firstLine="480" w:firstLineChars="200"/>
        <w:textAlignment w:val="baseline"/>
      </w:pPr>
      <w:r>
        <w:rPr>
          <w:sz w:val="24"/>
          <w:szCs w:val="24"/>
        </w:rPr>
        <w:t>2</w:t>
      </w:r>
      <w:r>
        <w:rPr>
          <w:rFonts w:hint="eastAsia"/>
          <w:sz w:val="24"/>
          <w:szCs w:val="24"/>
        </w:rPr>
        <w:t>、</w:t>
      </w:r>
      <w:r>
        <w:rPr>
          <w:rFonts w:hint="eastAsia" w:cs="宋体"/>
          <w:sz w:val="24"/>
          <w:szCs w:val="24"/>
        </w:rPr>
        <w:t>在特殊情况下，采购代理机构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pPr>
        <w:snapToGrid w:val="0"/>
        <w:spacing w:line="360" w:lineRule="auto"/>
        <w:ind w:firstLine="482" w:firstLineChars="200"/>
        <w:outlineLvl w:val="1"/>
        <w:rPr>
          <w:rFonts w:ascii="宋体"/>
          <w:sz w:val="24"/>
          <w:szCs w:val="24"/>
        </w:rPr>
      </w:pPr>
      <w:r>
        <w:rPr>
          <w:rFonts w:hint="eastAsia" w:ascii="宋体" w:hAnsi="宋体" w:cs="宋体"/>
          <w:b/>
          <w:bCs/>
          <w:sz w:val="24"/>
          <w:szCs w:val="24"/>
        </w:rPr>
        <w:t>十、响应文件及</w:t>
      </w:r>
      <w:r>
        <w:rPr>
          <w:rFonts w:hint="eastAsia" w:ascii="宋体" w:hAnsi="宋体" w:cs="宋体"/>
          <w:b/>
          <w:bCs/>
          <w:kern w:val="0"/>
          <w:sz w:val="24"/>
          <w:szCs w:val="24"/>
        </w:rPr>
        <w:t>磋商</w:t>
      </w:r>
      <w:r>
        <w:rPr>
          <w:rFonts w:hint="eastAsia" w:ascii="宋体" w:hAnsi="宋体" w:cs="宋体"/>
          <w:b/>
          <w:bCs/>
          <w:sz w:val="24"/>
          <w:szCs w:val="24"/>
        </w:rPr>
        <w:t>费用</w:t>
      </w:r>
    </w:p>
    <w:p>
      <w:pPr>
        <w:snapToGrid w:val="0"/>
        <w:spacing w:line="360" w:lineRule="auto"/>
        <w:ind w:firstLine="480" w:firstLineChars="200"/>
        <w:rPr>
          <w:rFonts w:hint="eastAsia" w:cs="宋体"/>
          <w:sz w:val="24"/>
          <w:szCs w:val="24"/>
        </w:rPr>
      </w:pPr>
      <w:r>
        <w:rPr>
          <w:rFonts w:hint="eastAsia" w:cs="宋体"/>
          <w:sz w:val="24"/>
          <w:szCs w:val="24"/>
        </w:rPr>
        <w:t>1</w:t>
      </w:r>
      <w:r>
        <w:rPr>
          <w:rFonts w:hint="eastAsia" w:cs="宋体"/>
          <w:sz w:val="24"/>
          <w:szCs w:val="24"/>
          <w:lang w:eastAsia="zh-CN"/>
        </w:rPr>
        <w:t>、</w:t>
      </w:r>
      <w:r>
        <w:rPr>
          <w:rFonts w:hint="eastAsia" w:cs="宋体"/>
          <w:sz w:val="24"/>
          <w:szCs w:val="24"/>
        </w:rPr>
        <w:t>各投标供应商应承担其报名投标项目、编制</w:t>
      </w:r>
      <w:r>
        <w:rPr>
          <w:rFonts w:hint="eastAsia" w:cs="宋体"/>
          <w:sz w:val="24"/>
          <w:szCs w:val="24"/>
          <w:lang w:val="en-US" w:eastAsia="zh-CN"/>
        </w:rPr>
        <w:t>磋商响应</w:t>
      </w:r>
      <w:r>
        <w:rPr>
          <w:rFonts w:hint="eastAsia" w:cs="宋体"/>
          <w:sz w:val="24"/>
          <w:szCs w:val="24"/>
        </w:rPr>
        <w:t>文件以及递交</w:t>
      </w:r>
      <w:r>
        <w:rPr>
          <w:rFonts w:hint="eastAsia" w:cs="宋体"/>
          <w:sz w:val="24"/>
          <w:szCs w:val="24"/>
          <w:lang w:val="en-US" w:eastAsia="zh-CN"/>
        </w:rPr>
        <w:t>磋商响应</w:t>
      </w:r>
      <w:r>
        <w:rPr>
          <w:rFonts w:hint="eastAsia" w:cs="宋体"/>
          <w:sz w:val="24"/>
          <w:szCs w:val="24"/>
        </w:rPr>
        <w:t>文件所涉及的一切费用。无论投标结果如何，招标人对上述费用不负任何责任。</w:t>
      </w:r>
    </w:p>
    <w:p>
      <w:pPr>
        <w:snapToGrid w:val="0"/>
        <w:spacing w:line="360" w:lineRule="auto"/>
        <w:ind w:firstLine="472" w:firstLineChars="196"/>
        <w:outlineLvl w:val="1"/>
        <w:rPr>
          <w:rFonts w:hint="default" w:ascii="宋体" w:hAnsi="宋体" w:eastAsia="宋体" w:cs="宋体"/>
          <w:b/>
          <w:sz w:val="24"/>
          <w:szCs w:val="24"/>
          <w:lang w:val="en-US" w:eastAsia="zh-CN"/>
        </w:rPr>
      </w:pPr>
      <w:r>
        <w:rPr>
          <w:rFonts w:hint="eastAsia" w:ascii="宋体" w:hAnsi="宋体" w:cs="宋体"/>
          <w:b/>
          <w:sz w:val="24"/>
          <w:szCs w:val="24"/>
          <w:lang w:val="en-US" w:eastAsia="zh-CN"/>
        </w:rPr>
        <w:t>2、本项目的招标代理服务费2500元，评审费按时结算，</w:t>
      </w:r>
      <w:r>
        <w:rPr>
          <w:rFonts w:hint="eastAsia" w:ascii="宋体" w:hAnsi="宋体" w:cs="宋体"/>
          <w:sz w:val="24"/>
          <w:szCs w:val="24"/>
        </w:rPr>
        <w:t>成交供应商</w:t>
      </w:r>
      <w:r>
        <w:rPr>
          <w:rFonts w:hint="eastAsia" w:ascii="宋体" w:hAnsi="宋体" w:cs="宋体"/>
          <w:sz w:val="24"/>
          <w:szCs w:val="24"/>
          <w:lang w:val="en-US" w:eastAsia="zh-CN"/>
        </w:rPr>
        <w:t>在领取成交通知书时一次性支付给招标代理单位。</w:t>
      </w:r>
    </w:p>
    <w:p>
      <w:pPr>
        <w:snapToGrid w:val="0"/>
        <w:spacing w:line="360" w:lineRule="auto"/>
        <w:ind w:firstLine="472" w:firstLineChars="196"/>
        <w:outlineLvl w:val="1"/>
        <w:rPr>
          <w:rFonts w:ascii="宋体" w:hAnsi="宋体" w:cs="宋体"/>
          <w:b/>
          <w:sz w:val="24"/>
          <w:szCs w:val="24"/>
        </w:rPr>
      </w:pPr>
      <w:r>
        <w:rPr>
          <w:rFonts w:hint="eastAsia" w:ascii="宋体" w:hAnsi="宋体" w:cs="宋体"/>
          <w:b/>
          <w:sz w:val="24"/>
          <w:szCs w:val="24"/>
        </w:rPr>
        <w:t>十一、履约保证金</w:t>
      </w:r>
    </w:p>
    <w:p>
      <w:pPr>
        <w:snapToGrid w:val="0"/>
        <w:spacing w:line="360" w:lineRule="auto"/>
        <w:ind w:firstLine="470" w:firstLineChars="196"/>
        <w:outlineLvl w:val="1"/>
        <w:rPr>
          <w:rFonts w:ascii="宋体" w:hAnsi="宋体" w:cs="宋体"/>
          <w:sz w:val="24"/>
          <w:szCs w:val="24"/>
        </w:rPr>
      </w:pPr>
      <w:r>
        <w:rPr>
          <w:rFonts w:ascii="宋体" w:hAnsi="宋体" w:cs="宋体"/>
          <w:sz w:val="24"/>
          <w:szCs w:val="24"/>
        </w:rPr>
        <w:t>1</w:t>
      </w:r>
      <w:r>
        <w:rPr>
          <w:rFonts w:hint="eastAsia" w:ascii="宋体" w:hAnsi="宋体" w:cs="宋体"/>
          <w:sz w:val="24"/>
          <w:szCs w:val="24"/>
        </w:rPr>
        <w:t>、本项目成交后的履约保证金为项目中标价的</w:t>
      </w:r>
      <w:r>
        <w:rPr>
          <w:rFonts w:hint="eastAsia" w:ascii="宋体" w:hAnsi="宋体" w:cs="宋体"/>
          <w:sz w:val="24"/>
          <w:szCs w:val="24"/>
          <w:lang w:val="en-US" w:eastAsia="zh-CN"/>
        </w:rPr>
        <w:t>10</w:t>
      </w:r>
      <w:r>
        <w:rPr>
          <w:rFonts w:ascii="宋体" w:hAnsi="宋体" w:cs="宋体"/>
          <w:sz w:val="24"/>
          <w:szCs w:val="24"/>
        </w:rPr>
        <w:t>%</w:t>
      </w:r>
      <w:r>
        <w:rPr>
          <w:rFonts w:hint="eastAsia" w:ascii="宋体" w:hAnsi="宋体" w:cs="宋体"/>
          <w:sz w:val="24"/>
          <w:szCs w:val="24"/>
        </w:rPr>
        <w:t>。</w:t>
      </w:r>
    </w:p>
    <w:p>
      <w:pPr>
        <w:snapToGrid w:val="0"/>
        <w:spacing w:line="360" w:lineRule="auto"/>
        <w:ind w:firstLine="470" w:firstLineChars="196"/>
        <w:outlineLvl w:val="1"/>
        <w:rPr>
          <w:rFonts w:ascii="宋体"/>
          <w:sz w:val="24"/>
          <w:szCs w:val="24"/>
        </w:rPr>
      </w:pPr>
      <w:r>
        <w:rPr>
          <w:rFonts w:ascii="宋体" w:hAnsi="宋体" w:cs="宋体"/>
          <w:sz w:val="24"/>
          <w:szCs w:val="24"/>
        </w:rPr>
        <w:t>2</w:t>
      </w:r>
      <w:r>
        <w:rPr>
          <w:rFonts w:hint="eastAsia" w:ascii="宋体" w:hAnsi="宋体" w:cs="宋体"/>
          <w:sz w:val="24"/>
          <w:szCs w:val="24"/>
        </w:rPr>
        <w:t>、成交供应商的履约保证金须在采购代理通知发成交通知书之日起</w:t>
      </w:r>
      <w:r>
        <w:rPr>
          <w:rFonts w:ascii="宋体" w:hAnsi="宋体" w:cs="宋体"/>
          <w:sz w:val="24"/>
          <w:szCs w:val="24"/>
        </w:rPr>
        <w:t>3</w:t>
      </w:r>
      <w:r>
        <w:rPr>
          <w:rFonts w:hint="eastAsia" w:ascii="宋体" w:hAnsi="宋体" w:cs="宋体"/>
          <w:sz w:val="24"/>
          <w:szCs w:val="24"/>
        </w:rPr>
        <w:t>个工作日内汇入采购人账户，成交供应商凭“成交通知书”和已经汇至采购人账上的“履约保证金”凭证，并在采购代理通知发成交通知书之日起1</w:t>
      </w:r>
      <w:r>
        <w:rPr>
          <w:rFonts w:ascii="宋体" w:hAnsi="宋体" w:cs="宋体"/>
          <w:sz w:val="24"/>
          <w:szCs w:val="24"/>
        </w:rPr>
        <w:t>5</w:t>
      </w:r>
      <w:r>
        <w:rPr>
          <w:rFonts w:hint="eastAsia" w:ascii="宋体" w:hAnsi="宋体" w:cs="宋体"/>
          <w:sz w:val="24"/>
          <w:szCs w:val="24"/>
        </w:rPr>
        <w:t>日内与采购人签订合同。</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、成交供应商在按要求保质保量的完成该项目合同并通过验收后，采购人凭成交供应商提交的申请，一次性无息退还该合同项目的履约保证金。</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、由于成交供应商原因，在签订合同后出现不按合同履行的情况，采购人有权将履约保证金作为违约金，全额不予退还，同时采购人亦有权终止合同，成交供应商还须承担相应的法律赔偿责任。</w:t>
      </w:r>
    </w:p>
    <w:p>
      <w:pPr>
        <w:snapToGrid w:val="0"/>
        <w:spacing w:line="360" w:lineRule="auto"/>
        <w:ind w:firstLine="496" w:firstLineChars="206"/>
        <w:textAlignment w:val="baseline"/>
        <w:rPr>
          <w:rFonts w:hint="eastAsia" w:ascii="宋体" w:hAnsi="宋体" w:cs="宋体"/>
          <w:b/>
          <w:color w:val="000000"/>
          <w:sz w:val="24"/>
          <w:szCs w:val="24"/>
        </w:rPr>
      </w:pPr>
      <w:r>
        <w:rPr>
          <w:rFonts w:hint="eastAsia" w:ascii="宋体" w:hAnsi="宋体" w:cs="宋体"/>
          <w:b/>
          <w:color w:val="000000"/>
          <w:sz w:val="24"/>
          <w:szCs w:val="24"/>
        </w:rPr>
        <w:t>十二、付款方式</w:t>
      </w:r>
    </w:p>
    <w:p>
      <w:pPr>
        <w:snapToGrid w:val="0"/>
        <w:spacing w:line="360" w:lineRule="auto"/>
        <w:ind w:firstLine="494" w:firstLineChars="206"/>
        <w:outlineLvl w:val="1"/>
        <w:rPr>
          <w:rFonts w:hint="eastAsia" w:asciiTheme="minorEastAsia" w:hAnsiTheme="minorEastAsia" w:eastAsiaTheme="minorEastAsia" w:cstheme="minorEastAsia"/>
          <w:b w:val="0"/>
          <w:bCs w:val="0"/>
          <w:kern w:val="0"/>
          <w:sz w:val="24"/>
          <w:highlight w:val="none"/>
          <w:lang w:eastAsia="zh-CN"/>
        </w:rPr>
      </w:pPr>
      <w:r>
        <w:rPr>
          <w:rFonts w:hint="eastAsia" w:asciiTheme="minorEastAsia" w:hAnsiTheme="minorEastAsia" w:eastAsiaTheme="minorEastAsia" w:cstheme="minorEastAsia"/>
          <w:b w:val="0"/>
          <w:bCs w:val="0"/>
          <w:kern w:val="0"/>
          <w:sz w:val="24"/>
          <w:highlight w:val="none"/>
        </w:rPr>
        <w:t>本合同签订之日起每满半年结算一次，</w:t>
      </w:r>
      <w:r>
        <w:rPr>
          <w:rFonts w:hint="eastAsia" w:asciiTheme="minorEastAsia" w:hAnsiTheme="minorEastAsia" w:eastAsiaTheme="minorEastAsia" w:cstheme="minorEastAsia"/>
          <w:b w:val="0"/>
          <w:bCs w:val="0"/>
          <w:kern w:val="0"/>
          <w:sz w:val="24"/>
          <w:highlight w:val="none"/>
          <w:lang w:eastAsia="zh-CN"/>
        </w:rPr>
        <w:t>付至合同总价的</w:t>
      </w:r>
      <w:r>
        <w:rPr>
          <w:rFonts w:hint="eastAsia" w:asciiTheme="minorEastAsia" w:hAnsiTheme="minorEastAsia" w:eastAsiaTheme="minorEastAsia" w:cstheme="minorEastAsia"/>
          <w:b w:val="0"/>
          <w:bCs w:val="0"/>
          <w:kern w:val="0"/>
          <w:sz w:val="24"/>
          <w:highlight w:val="none"/>
          <w:lang w:val="en-US" w:eastAsia="zh-CN"/>
        </w:rPr>
        <w:t>50%，</w:t>
      </w:r>
      <w:r>
        <w:rPr>
          <w:rFonts w:hint="eastAsia" w:asciiTheme="minorEastAsia" w:hAnsiTheme="minorEastAsia" w:eastAsiaTheme="minorEastAsia" w:cstheme="minorEastAsia"/>
          <w:b w:val="0"/>
          <w:bCs w:val="0"/>
          <w:kern w:val="0"/>
          <w:sz w:val="24"/>
          <w:highlight w:val="none"/>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val="0"/>
          <w:bCs w:val="0"/>
          <w:kern w:val="0"/>
          <w:sz w:val="24"/>
          <w:highlight w:val="none"/>
          <w:lang w:eastAsia="zh-CN"/>
        </w:rPr>
        <w:t>。</w:t>
      </w:r>
    </w:p>
    <w:p>
      <w:pPr>
        <w:snapToGrid w:val="0"/>
        <w:spacing w:line="360" w:lineRule="auto"/>
        <w:ind w:firstLine="496" w:firstLineChars="206"/>
        <w:outlineLvl w:val="1"/>
        <w:rPr>
          <w:rFonts w:ascii="宋体" w:hAnsi="宋体" w:cs="宋体"/>
          <w:b/>
          <w:color w:val="auto"/>
          <w:sz w:val="24"/>
          <w:szCs w:val="24"/>
        </w:rPr>
      </w:pPr>
      <w:r>
        <w:rPr>
          <w:rFonts w:hint="eastAsia" w:ascii="宋体" w:hAnsi="宋体" w:cs="宋体"/>
          <w:b/>
          <w:bCs/>
          <w:color w:val="auto"/>
          <w:sz w:val="24"/>
          <w:szCs w:val="24"/>
        </w:rPr>
        <w:t>十三、</w:t>
      </w:r>
      <w:r>
        <w:rPr>
          <w:rFonts w:hint="eastAsia" w:ascii="宋体" w:hAnsi="宋体" w:cs="宋体"/>
          <w:b/>
          <w:color w:val="auto"/>
          <w:sz w:val="24"/>
          <w:szCs w:val="24"/>
        </w:rPr>
        <w:t>未尽事宜</w:t>
      </w:r>
    </w:p>
    <w:p>
      <w:pPr>
        <w:snapToGrid w:val="0"/>
        <w:spacing w:line="360" w:lineRule="auto"/>
        <w:ind w:firstLine="470" w:firstLineChars="196"/>
        <w:outlineLvl w:val="1"/>
        <w:rPr>
          <w:rFonts w:ascii="宋体" w:hAnsi="宋体" w:cs="宋体"/>
          <w:color w:val="auto"/>
          <w:sz w:val="24"/>
          <w:szCs w:val="24"/>
        </w:rPr>
        <w:sectPr>
          <w:headerReference r:id="rId4" w:type="first"/>
          <w:headerReference r:id="rId3" w:type="default"/>
          <w:footerReference r:id="rId5" w:type="default"/>
          <w:type w:val="continuous"/>
          <w:pgSz w:w="11906" w:h="16838"/>
          <w:pgMar w:top="1440" w:right="1361" w:bottom="1440" w:left="1361" w:header="851" w:footer="992" w:gutter="0"/>
          <w:pgNumType w:fmt="numberInDash"/>
          <w:cols w:space="720" w:num="1"/>
          <w:titlePg/>
          <w:docGrid w:linePitch="312" w:charSpace="0"/>
        </w:sectPr>
      </w:pPr>
      <w:r>
        <w:rPr>
          <w:rFonts w:hint="eastAsia" w:ascii="宋体" w:hAnsi="宋体" w:cs="宋体"/>
          <w:color w:val="auto"/>
          <w:sz w:val="24"/>
          <w:szCs w:val="24"/>
        </w:rPr>
        <w:t>按《中华人民共和国政府采购法》、《政府采</w:t>
      </w:r>
      <w:bookmarkStart w:id="32" w:name="_Toc363573855"/>
      <w:r>
        <w:rPr>
          <w:rFonts w:hint="eastAsia" w:ascii="宋体" w:hAnsi="宋体" w:cs="宋体"/>
          <w:color w:val="auto"/>
          <w:sz w:val="24"/>
          <w:szCs w:val="24"/>
        </w:rPr>
        <w:t>购竞争性磋商采购方式管理暂行办法》及其他有关法律法规的规定执行。</w:t>
      </w:r>
    </w:p>
    <w:bookmarkEnd w:id="22"/>
    <w:bookmarkEnd w:id="23"/>
    <w:bookmarkEnd w:id="24"/>
    <w:bookmarkEnd w:id="25"/>
    <w:bookmarkEnd w:id="26"/>
    <w:bookmarkEnd w:id="27"/>
    <w:bookmarkEnd w:id="28"/>
    <w:bookmarkEnd w:id="29"/>
    <w:bookmarkEnd w:id="30"/>
    <w:bookmarkEnd w:id="31"/>
    <w:bookmarkEnd w:id="32"/>
    <w:p>
      <w:pPr>
        <w:spacing w:line="460" w:lineRule="exact"/>
        <w:jc w:val="center"/>
        <w:rPr>
          <w:rFonts w:ascii="宋体" w:hAnsi="宋体" w:cs="宋体"/>
          <w:b/>
          <w:bCs/>
          <w:w w:val="80"/>
          <w:sz w:val="44"/>
          <w:szCs w:val="44"/>
        </w:rPr>
      </w:pPr>
      <w:bookmarkStart w:id="33" w:name="_Toc521203420"/>
      <w:bookmarkStart w:id="34" w:name="_Toc94544872"/>
      <w:bookmarkStart w:id="35" w:name="_Toc13803483"/>
      <w:bookmarkStart w:id="36" w:name="_Toc94544746"/>
      <w:bookmarkStart w:id="37" w:name="_Toc94585342"/>
      <w:bookmarkStart w:id="38" w:name="_Toc12670505"/>
      <w:bookmarkStart w:id="39" w:name="_Toc11554641"/>
      <w:bookmarkStart w:id="40" w:name="_Toc8895741"/>
      <w:bookmarkStart w:id="41" w:name="_Toc11500282"/>
      <w:bookmarkStart w:id="42" w:name="_Toc11499586"/>
      <w:bookmarkStart w:id="43" w:name="_Toc521201599"/>
      <w:bookmarkStart w:id="44" w:name="_Toc363573856"/>
      <w:r>
        <w:rPr>
          <w:rFonts w:hint="eastAsia" w:ascii="宋体" w:hAnsi="宋体" w:cs="宋体"/>
          <w:b/>
          <w:bCs/>
          <w:w w:val="80"/>
          <w:sz w:val="44"/>
          <w:szCs w:val="44"/>
        </w:rPr>
        <w:t>第三章  项目需求</w:t>
      </w:r>
    </w:p>
    <w:p>
      <w:pPr>
        <w:pStyle w:val="19"/>
      </w:pPr>
    </w:p>
    <w:p>
      <w:pPr>
        <w:snapToGrid w:val="0"/>
        <w:spacing w:line="360" w:lineRule="auto"/>
        <w:ind w:left="-210" w:leftChars="-100" w:firstLine="520" w:firstLineChars="216"/>
        <w:rPr>
          <w:rFonts w:ascii="宋体" w:hAnsi="宋体" w:cs="宋体"/>
          <w:kern w:val="0"/>
          <w:sz w:val="24"/>
          <w:szCs w:val="24"/>
          <w:lang w:val="zh-CN"/>
        </w:rPr>
      </w:pPr>
      <w:r>
        <w:rPr>
          <w:rFonts w:hint="eastAsia" w:ascii="宋体" w:hAnsi="宋体" w:cs="宋体"/>
          <w:b/>
          <w:sz w:val="24"/>
          <w:szCs w:val="24"/>
        </w:rPr>
        <w:t>特别提醒：</w:t>
      </w:r>
      <w:r>
        <w:rPr>
          <w:rFonts w:hint="eastAsia" w:ascii="宋体" w:hAnsi="宋体" w:cs="宋体"/>
          <w:b/>
          <w:kern w:val="0"/>
          <w:sz w:val="24"/>
          <w:szCs w:val="24"/>
          <w:lang w:val="zh-CN"/>
        </w:rPr>
        <w:t>请供应商制作投标响应文件时仔细研究项目需求说明。</w:t>
      </w:r>
      <w:r>
        <w:rPr>
          <w:rFonts w:hint="eastAsia" w:ascii="宋体" w:hAnsi="宋体" w:cs="宋体"/>
          <w:kern w:val="0"/>
          <w:sz w:val="24"/>
          <w:szCs w:val="24"/>
          <w:lang w:val="zh-CN"/>
        </w:rPr>
        <w:t>供应商不能简单照搬照抄采购单位项目需求说明中的技术要求，必须作实事求是的响应。如照搬照抄项目需求说明中的技术要求，成交后供应商在同采购单位签订合同和履约环节中不得提出异议，一切后果和损失由成交供应商承担。如供应商提供的货物和服务同采购单位提出的项目需求说明中的技术要求不同的，必须在《技术条款响应一览表》上明示，如不明示的视同完全响应。</w:t>
      </w:r>
    </w:p>
    <w:p>
      <w:pPr>
        <w:snapToGrid w:val="0"/>
        <w:spacing w:line="440" w:lineRule="exact"/>
        <w:rPr>
          <w:rFonts w:hint="eastAsia"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lang w:val="en-US" w:eastAsia="zh-CN"/>
        </w:rPr>
        <w:t>一、本项目</w:t>
      </w:r>
      <w:r>
        <w:rPr>
          <w:rFonts w:hint="eastAsia" w:cs="Times New Roman" w:asciiTheme="minorEastAsia" w:hAnsiTheme="minorEastAsia" w:eastAsiaTheme="minorEastAsia"/>
          <w:b/>
          <w:bCs/>
          <w:sz w:val="24"/>
          <w:szCs w:val="24"/>
        </w:rPr>
        <w:t>维保电梯</w:t>
      </w:r>
      <w:r>
        <w:rPr>
          <w:rFonts w:hint="eastAsia" w:cs="Times New Roman" w:asciiTheme="minorEastAsia" w:hAnsiTheme="minorEastAsia" w:eastAsiaTheme="minorEastAsia"/>
          <w:b/>
          <w:bCs/>
          <w:sz w:val="24"/>
          <w:szCs w:val="24"/>
          <w:lang w:val="en-US" w:eastAsia="zh-CN"/>
        </w:rPr>
        <w:t>信息</w:t>
      </w:r>
      <w:r>
        <w:rPr>
          <w:rFonts w:hint="eastAsia" w:cs="Times New Roman" w:asciiTheme="minorEastAsia" w:hAnsiTheme="minorEastAsia" w:eastAsiaTheme="minorEastAsia"/>
          <w:b/>
          <w:bCs/>
          <w:sz w:val="24"/>
          <w:szCs w:val="24"/>
        </w:rPr>
        <w:t>如下：</w:t>
      </w:r>
    </w:p>
    <w:tbl>
      <w:tblPr>
        <w:tblStyle w:val="53"/>
        <w:tblpPr w:leftFromText="180" w:rightFromText="180" w:vertAnchor="text" w:horzAnchor="page" w:tblpX="1301" w:tblpY="40"/>
        <w:tblOverlap w:val="never"/>
        <w:tblW w:w="9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1178"/>
        <w:gridCol w:w="1178"/>
        <w:gridCol w:w="1178"/>
        <w:gridCol w:w="1976"/>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63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使用单位</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层数</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载重量</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速度</w:t>
            </w:r>
          </w:p>
        </w:tc>
        <w:tc>
          <w:tcPr>
            <w:tcW w:w="19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设备名称</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0000"/>
                <w:sz w:val="20"/>
                <w:szCs w:val="20"/>
                <w:u w:val="none"/>
              </w:rPr>
            </w:pPr>
            <w:r>
              <w:rPr>
                <w:rFonts w:hint="eastAsia" w:ascii="微软雅黑" w:hAnsi="微软雅黑" w:eastAsia="微软雅黑" w:cs="微软雅黑"/>
                <w:b/>
                <w:bCs/>
                <w:i w:val="0"/>
                <w:iCs w:val="0"/>
                <w:color w:val="FF0000"/>
                <w:kern w:val="0"/>
                <w:sz w:val="20"/>
                <w:szCs w:val="20"/>
                <w:u w:val="none"/>
                <w:lang w:val="en-US" w:eastAsia="zh-CN" w:bidi="ar"/>
              </w:rPr>
              <w:t>电梯品牌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4/4/4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4/4/4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bl>
    <w:p>
      <w:pPr>
        <w:spacing w:line="420" w:lineRule="exact"/>
        <w:rPr>
          <w:rFonts w:ascii="宋体" w:hAnsi="宋体" w:cs="宋体"/>
          <w:b/>
          <w:bCs/>
          <w:color w:val="000000"/>
          <w:w w:val="80"/>
          <w:sz w:val="44"/>
          <w:szCs w:val="44"/>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5" w:name="_Toc4983"/>
      <w:r>
        <w:rPr>
          <w:rFonts w:hint="eastAsia" w:asciiTheme="minorEastAsia" w:hAnsiTheme="minorEastAsia" w:eastAsiaTheme="minorEastAsia" w:cstheme="minorEastAsia"/>
          <w:b/>
          <w:bCs/>
          <w:sz w:val="24"/>
          <w:lang w:val="en-US" w:eastAsia="zh-CN"/>
        </w:rPr>
        <w:t>二、服务标准</w:t>
      </w:r>
      <w:bookmarkEnd w:id="45"/>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①电梯使用管理与维修保养规则TSGT5001-2009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②电梯维修保养安全管理规范DB33/728—2009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③电梯维修规范GB/T18775-2002</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④电梯安装使用维护说明书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⑤维保合同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6" w:name="_Toc1428"/>
      <w:r>
        <w:rPr>
          <w:rFonts w:hint="eastAsia" w:asciiTheme="minorEastAsia" w:hAnsiTheme="minorEastAsia" w:eastAsiaTheme="minorEastAsia" w:cstheme="minorEastAsia"/>
          <w:b/>
          <w:bCs/>
          <w:sz w:val="24"/>
          <w:lang w:val="en-US" w:eastAsia="zh-CN"/>
        </w:rPr>
        <w:t>三、检验标准</w:t>
      </w:r>
      <w:bookmarkEnd w:id="46"/>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①电梯监督检验和定期检验规则TSG7001-2009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②自动扶梯与自动人行道监督检验规程</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以上规章、标准不论有无年代号，除有特别说明的以外，均以最新有效版本为准。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7" w:name="_Toc9779"/>
      <w:r>
        <w:rPr>
          <w:rFonts w:hint="eastAsia" w:asciiTheme="minorEastAsia" w:hAnsiTheme="minorEastAsia" w:eastAsiaTheme="minorEastAsia" w:cstheme="minorEastAsia"/>
          <w:b/>
          <w:bCs/>
          <w:sz w:val="24"/>
          <w:lang w:val="en-US" w:eastAsia="zh-CN"/>
        </w:rPr>
        <w:t>四、电梯维护保养服务要求</w:t>
      </w:r>
      <w:bookmarkEnd w:id="47"/>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1、保证电梯安全运行。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2、在保证电梯安全运行的前提下满足正常维护保养的需要。</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3、在保证电梯安全运行的前提下降低电梯维护保养成本。</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4、日常维护保养应遵守的标准：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 xml:space="preserve">①、电梯使用管理与维修保养规则        </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②、江苏省电梯安全监察办法</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 xml:space="preserve">③、电梯维修规范             </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④、电梯安装使用维护说明书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⑤、维保合同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5、对所维保电梯的保养计划书。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6、要求维护保养驻点服务，驻点服务的人员应固定且数量不少于2人标准配备，并提供驻点人员的姓名、通迅号码并提供他们有效的特种设备作业人员资格证书复印件。（须加盖聘用单位印章）</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7、须提供24小时的应急响应服务，且能在接到故障或事故报警后30分钟内到达现场，并能提供正常连续的服务直至故障或事故排除；发生电梯困人事故接警后在30分钟内到达现场，在到达现场后30分钟内把乘客从轿厢中救出；对非电子板原因的常见故障要求在60分钟内排除，对电子板原因的故障应在普遍认可的合理时间内解决。</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8、对更换下来的电子器件应由招标单位保管或由招标单位与维保单位共同销毁。</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9、在日常维护保养期届满时，须经法定定期检验并无因维护保养原因的不合格项目存在。</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10、如因使用不当造成电梯故障或损坏，维保单位有责任负责及时将其修复或更换，使电梯恢复安全、正常运行，费用双方另行协商确定。</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13、使用单位保留是否签署续签保养合同的权力。</w:t>
      </w:r>
    </w:p>
    <w:p>
      <w:pPr>
        <w:pStyle w:val="27"/>
        <w:tabs>
          <w:tab w:val="left" w:pos="0"/>
        </w:tabs>
        <w:snapToGrid w:val="0"/>
        <w:spacing w:line="360" w:lineRule="auto"/>
        <w:ind w:left="142"/>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lang w:val="en-US" w:eastAsia="zh-CN"/>
        </w:rPr>
        <w:t>五、</w:t>
      </w:r>
      <w:r>
        <w:rPr>
          <w:rFonts w:hint="eastAsia" w:asciiTheme="minorEastAsia" w:hAnsiTheme="minorEastAsia" w:eastAsiaTheme="minorEastAsia" w:cstheme="minorEastAsia"/>
          <w:b/>
          <w:bCs/>
          <w:kern w:val="2"/>
          <w:sz w:val="24"/>
          <w:szCs w:val="24"/>
        </w:rPr>
        <w:t>付款方式</w:t>
      </w:r>
    </w:p>
    <w:p>
      <w:pPr>
        <w:spacing w:line="460" w:lineRule="exact"/>
        <w:ind w:firstLine="480" w:firstLineChars="200"/>
        <w:rPr>
          <w:rFonts w:ascii="宋体" w:hAnsi="宋体" w:cs="宋体"/>
          <w:b/>
          <w:bCs/>
          <w:w w:val="80"/>
          <w:sz w:val="44"/>
          <w:szCs w:val="44"/>
          <w:highlight w:val="none"/>
        </w:rPr>
      </w:pPr>
      <w:r>
        <w:rPr>
          <w:rFonts w:hint="eastAsia" w:asciiTheme="minorEastAsia" w:hAnsiTheme="minorEastAsia" w:eastAsiaTheme="minorEastAsia" w:cstheme="minorEastAsia"/>
          <w:b w:val="0"/>
          <w:bCs w:val="0"/>
          <w:kern w:val="0"/>
          <w:sz w:val="24"/>
          <w:highlight w:val="none"/>
        </w:rPr>
        <w:t>1、本合同签订之日起每满半年结算一次，</w:t>
      </w:r>
      <w:r>
        <w:rPr>
          <w:rFonts w:hint="eastAsia" w:asciiTheme="minorEastAsia" w:hAnsiTheme="minorEastAsia" w:eastAsiaTheme="minorEastAsia" w:cstheme="minorEastAsia"/>
          <w:b w:val="0"/>
          <w:bCs w:val="0"/>
          <w:kern w:val="0"/>
          <w:sz w:val="24"/>
          <w:highlight w:val="none"/>
          <w:lang w:eastAsia="zh-CN"/>
        </w:rPr>
        <w:t>付至合同总价的</w:t>
      </w:r>
      <w:r>
        <w:rPr>
          <w:rFonts w:hint="eastAsia" w:asciiTheme="minorEastAsia" w:hAnsiTheme="minorEastAsia" w:eastAsiaTheme="minorEastAsia" w:cstheme="minorEastAsia"/>
          <w:b w:val="0"/>
          <w:bCs w:val="0"/>
          <w:kern w:val="0"/>
          <w:sz w:val="24"/>
          <w:highlight w:val="none"/>
          <w:lang w:val="en-US" w:eastAsia="zh-CN"/>
        </w:rPr>
        <w:t>50%，</w:t>
      </w:r>
      <w:r>
        <w:rPr>
          <w:rFonts w:hint="eastAsia" w:asciiTheme="minorEastAsia" w:hAnsiTheme="minorEastAsia" w:eastAsiaTheme="minorEastAsia" w:cstheme="minorEastAsia"/>
          <w:b w:val="0"/>
          <w:bCs w:val="0"/>
          <w:kern w:val="0"/>
          <w:sz w:val="24"/>
          <w:highlight w:val="none"/>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val="0"/>
          <w:bCs w:val="0"/>
          <w:kern w:val="0"/>
          <w:sz w:val="24"/>
          <w:highlight w:val="none"/>
          <w:lang w:eastAsia="zh-CN"/>
        </w:rPr>
        <w:t>。</w:t>
      </w:r>
    </w:p>
    <w:p>
      <w:pPr>
        <w:pStyle w:val="62"/>
        <w:sectPr>
          <w:pgSz w:w="11906" w:h="16838"/>
          <w:pgMar w:top="1440" w:right="1361" w:bottom="1440" w:left="1361" w:header="851" w:footer="992" w:gutter="0"/>
          <w:cols w:space="720" w:num="1"/>
          <w:docGrid w:type="lines" w:linePitch="312" w:charSpace="0"/>
        </w:sectPr>
      </w:pPr>
    </w:p>
    <w:p>
      <w:pPr>
        <w:spacing w:line="460" w:lineRule="exact"/>
        <w:jc w:val="center"/>
        <w:rPr>
          <w:rFonts w:ascii="宋体"/>
          <w:kern w:val="0"/>
          <w:sz w:val="32"/>
          <w:szCs w:val="32"/>
        </w:rPr>
      </w:pPr>
      <w:r>
        <w:rPr>
          <w:rFonts w:hint="eastAsia" w:ascii="宋体" w:hAnsi="宋体" w:cs="宋体"/>
          <w:b/>
          <w:bCs/>
          <w:w w:val="80"/>
          <w:sz w:val="44"/>
          <w:szCs w:val="44"/>
        </w:rPr>
        <w:t>第四章</w:t>
      </w:r>
      <w:bookmarkEnd w:id="33"/>
      <w:bookmarkEnd w:id="34"/>
      <w:bookmarkEnd w:id="35"/>
      <w:bookmarkEnd w:id="36"/>
      <w:bookmarkEnd w:id="37"/>
      <w:bookmarkEnd w:id="38"/>
      <w:bookmarkEnd w:id="39"/>
      <w:bookmarkEnd w:id="40"/>
      <w:bookmarkEnd w:id="41"/>
      <w:bookmarkEnd w:id="42"/>
      <w:bookmarkEnd w:id="43"/>
      <w:bookmarkStart w:id="48" w:name="_Toc85627670"/>
      <w:bookmarkStart w:id="49" w:name="_Toc38121794"/>
      <w:bookmarkStart w:id="50" w:name="_Toc182848996"/>
      <w:bookmarkStart w:id="51" w:name="_Toc43217893"/>
      <w:bookmarkStart w:id="52" w:name="_Toc37322565"/>
      <w:bookmarkStart w:id="53" w:name="_Toc11499587"/>
      <w:bookmarkStart w:id="54" w:name="_Toc94544747"/>
      <w:bookmarkStart w:id="55" w:name="_Toc11500283"/>
      <w:bookmarkStart w:id="56" w:name="_Toc8895742"/>
      <w:bookmarkStart w:id="57" w:name="_Toc11554642"/>
      <w:bookmarkStart w:id="58" w:name="_Toc12670506"/>
      <w:bookmarkStart w:id="59" w:name="_Toc94544873"/>
      <w:bookmarkStart w:id="60" w:name="_Toc13803484"/>
      <w:r>
        <w:rPr>
          <w:rFonts w:hint="eastAsia" w:ascii="宋体" w:hAnsi="宋体" w:cs="宋体"/>
          <w:b/>
          <w:bCs/>
          <w:w w:val="80"/>
          <w:sz w:val="44"/>
          <w:szCs w:val="44"/>
        </w:rPr>
        <w:t xml:space="preserve">  评审方法和程序</w:t>
      </w:r>
      <w:bookmarkEnd w:id="44"/>
    </w:p>
    <w:bookmarkEnd w:id="48"/>
    <w:bookmarkEnd w:id="49"/>
    <w:bookmarkEnd w:id="50"/>
    <w:bookmarkEnd w:id="51"/>
    <w:bookmarkEnd w:id="52"/>
    <w:p>
      <w:pPr>
        <w:snapToGrid w:val="0"/>
        <w:spacing w:line="480" w:lineRule="exact"/>
        <w:ind w:firstLine="482" w:firstLineChars="200"/>
        <w:outlineLvl w:val="1"/>
        <w:rPr>
          <w:rFonts w:ascii="宋体"/>
          <w:b/>
          <w:bCs/>
          <w:sz w:val="24"/>
          <w:szCs w:val="24"/>
        </w:rPr>
      </w:pPr>
      <w:bookmarkStart w:id="61" w:name="_Toc363573857"/>
      <w:bookmarkEnd w:id="61"/>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一、代理机构组织磋商</w:t>
      </w:r>
    </w:p>
    <w:p>
      <w:pPr>
        <w:snapToGrid w:val="0"/>
        <w:spacing w:line="360" w:lineRule="auto"/>
        <w:ind w:firstLine="480"/>
        <w:rPr>
          <w:rFonts w:hint="eastAsia" w:ascii="宋体"/>
          <w:sz w:val="24"/>
          <w:szCs w:val="24"/>
        </w:rPr>
      </w:pPr>
      <w:r>
        <w:rPr>
          <w:rFonts w:ascii="宋体" w:hAnsi="宋体" w:cs="宋体"/>
          <w:sz w:val="24"/>
          <w:szCs w:val="24"/>
        </w:rPr>
        <w:t>1</w:t>
      </w:r>
      <w:r>
        <w:rPr>
          <w:rFonts w:hint="eastAsia" w:ascii="宋体" w:hAnsi="宋体" w:cs="宋体"/>
          <w:sz w:val="24"/>
          <w:szCs w:val="24"/>
        </w:rPr>
        <w:t>、本次竞争性磋商依据《中华人民共和国政府采购法》、《政府采购竞争性磋商采购方式管理暂行办法》及有关法规成立磋商小组。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采用竞争性磋商方式的政府采购项目，评审专家应当从政府采购评审专家库内相关专业的专家名单中随机抽取。情况特殊、通过随机方式难以确定合适的评审专家的，经主管预算单位同意，可以自行选定评审专家。</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、磋商小组的职责：</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）磋商小组成员应当按照客观、公正、审慎的原则，根据磋商文件规定的评审程序、评审方法和评审标准进行独立评审。</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）磋商小组成员应当遵守评审工作纪律，不得泄露评审情况和评审中获悉的商业秘密，对个人的评审意见承担法律责任。</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）磋商小组成员在评审过程中发现供应商有行贿、提供虚假材料或者串通等违法行为的，应当及时向财政部门报告</w:t>
      </w:r>
      <w:r>
        <w:rPr>
          <w:rFonts w:ascii="宋体" w:cs="宋体"/>
          <w:sz w:val="24"/>
          <w:szCs w:val="24"/>
        </w:rPr>
        <w:t>,</w:t>
      </w:r>
      <w:r>
        <w:rPr>
          <w:rFonts w:hint="eastAsia" w:ascii="宋体" w:hAnsi="宋体" w:cs="宋体"/>
          <w:sz w:val="24"/>
          <w:szCs w:val="24"/>
        </w:rPr>
        <w:t>并建议将其列入政府采购黑名单。</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）磋商小组成员在评审过程中受到非法干涉的，应当及时向财政、监察等部门举报。</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）配合采购单位答复供应商提出的质疑；配合财政部门的投诉处理和监督检查工作。</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、评审有关记录由磋商小组成员签名，存档备查。</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、供应商的法定代表人或被授权人须持身份证准时参加磋商开标会。</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二、磋商的原则及方法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、磋商小组依据《中华人民共和国政府采购法》、《政府采购竞争性磋商采购方式管理暂行办法》以及有关政府采购的相关法规，遵循“公开、公平、公正、择优、信用”的原则进行磋商评审。</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、磋商小组所有成员应当集中与单一供应商分别进行磋商，并给予所有参加磋商的供应商平等的磋商机会。</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、除非在磋商中磋商小组对采购人需求内容作了调整增加，或对采购内容作了实质性变更，否则</w:t>
      </w:r>
      <w:r>
        <w:rPr>
          <w:rFonts w:hint="eastAsia" w:ascii="宋体" w:hAnsi="宋体" w:cs="宋体"/>
          <w:b/>
          <w:bCs/>
          <w:sz w:val="24"/>
          <w:szCs w:val="24"/>
        </w:rPr>
        <w:t>采购人不接受供应商高于自己前一轮的磋商报价</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1</w:t>
      </w:r>
      <w:r>
        <w:rPr>
          <w:rFonts w:ascii="宋体" w:cs="宋体"/>
          <w:sz w:val="24"/>
          <w:szCs w:val="24"/>
        </w:rPr>
        <w:t>0</w:t>
      </w:r>
      <w:r>
        <w:rPr>
          <w:rFonts w:hint="eastAsia" w:ascii="宋体" w:hAnsi="宋体" w:cs="宋体"/>
          <w:sz w:val="24"/>
          <w:szCs w:val="24"/>
        </w:rPr>
        <w:t>、对于在磋商顺利开始后至最终报价前，根据磋商情况退出磋商的供应商，须以书面形式说明退出磋商的原因，经磋商小组同意可以退出磋商。</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、在磋商中，磋商的任何一方不得透露与磋商有关的其他响应磋商的供应商的技术资料、价格及其他信息。</w:t>
      </w:r>
    </w:p>
    <w:p>
      <w:pPr>
        <w:snapToGrid w:val="0"/>
        <w:spacing w:line="360" w:lineRule="auto"/>
        <w:ind w:firstLine="480" w:firstLineChars="200"/>
        <w:rPr>
          <w:rFonts w:ascii="宋体"/>
          <w:sz w:val="24"/>
          <w:szCs w:val="24"/>
        </w:rPr>
      </w:pPr>
      <w:r>
        <w:rPr>
          <w:rFonts w:ascii="宋体" w:hAnsi="宋体" w:cs="宋体"/>
          <w:sz w:val="24"/>
          <w:szCs w:val="24"/>
        </w:rPr>
        <w:t>12</w:t>
      </w:r>
      <w:r>
        <w:rPr>
          <w:rFonts w:hint="eastAsia" w:ascii="宋体" w:hAnsi="宋体" w:cs="宋体"/>
          <w:sz w:val="24"/>
          <w:szCs w:val="24"/>
        </w:rPr>
        <w:t>、凡两家或以上公司同一法人代表或其中一家公司为另一家公司单一最大股东的，不能同时参与同一采购项目相同标段的磋商采购活动，一经发现，将视同串标处理。</w:t>
      </w:r>
    </w:p>
    <w:p>
      <w:pPr>
        <w:snapToGrid w:val="0"/>
        <w:spacing w:line="360" w:lineRule="auto"/>
        <w:ind w:firstLine="480" w:firstLineChars="200"/>
        <w:rPr>
          <w:rFonts w:hint="eastAsia" w:ascii="宋体" w:hAnsi="宋体" w:cs="宋体"/>
          <w:b/>
          <w:bCs/>
          <w:sz w:val="24"/>
          <w:szCs w:val="24"/>
        </w:rPr>
      </w:pPr>
      <w:r>
        <w:rPr>
          <w:rFonts w:ascii="宋体" w:hAnsi="宋体" w:cs="宋体"/>
          <w:sz w:val="24"/>
          <w:szCs w:val="24"/>
        </w:rPr>
        <w:t>13</w:t>
      </w:r>
      <w:r>
        <w:rPr>
          <w:rFonts w:hint="eastAsia" w:ascii="宋体" w:hAnsi="宋体" w:cs="宋体"/>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snapToGrid w:val="0"/>
        <w:spacing w:line="360" w:lineRule="auto"/>
        <w:ind w:firstLine="482" w:firstLineChars="200"/>
        <w:rPr>
          <w:rFonts w:ascii="宋体"/>
          <w:b/>
          <w:bCs/>
          <w:sz w:val="24"/>
          <w:szCs w:val="24"/>
        </w:rPr>
      </w:pPr>
      <w:r>
        <w:rPr>
          <w:rFonts w:hint="eastAsia" w:ascii="宋体" w:hAnsi="宋体" w:cs="宋体"/>
          <w:b/>
          <w:bCs/>
          <w:sz w:val="24"/>
          <w:szCs w:val="24"/>
        </w:rPr>
        <w:t>三、评估步骤</w:t>
      </w:r>
    </w:p>
    <w:p>
      <w:pPr>
        <w:snapToGrid w:val="0"/>
        <w:spacing w:line="360" w:lineRule="auto"/>
        <w:ind w:firstLine="482" w:firstLineChars="200"/>
        <w:rPr>
          <w:rFonts w:ascii="宋体"/>
          <w:b/>
          <w:bCs/>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、评审步骤规定：</w:t>
      </w:r>
    </w:p>
    <w:p>
      <w:pPr>
        <w:snapToGrid w:val="0"/>
        <w:spacing w:line="360" w:lineRule="auto"/>
        <w:ind w:firstLine="482" w:firstLineChars="200"/>
        <w:rPr>
          <w:rFonts w:ascii="宋体"/>
          <w:b/>
          <w:bCs/>
          <w:sz w:val="24"/>
          <w:szCs w:val="24"/>
          <w:lang w:val="zh-CN"/>
        </w:rPr>
      </w:pPr>
      <w:r>
        <w:rPr>
          <w:rFonts w:hint="eastAsia" w:ascii="宋体" w:hAnsi="宋体" w:cs="宋体"/>
          <w:b/>
          <w:bCs/>
          <w:sz w:val="24"/>
          <w:szCs w:val="24"/>
          <w:lang w:val="zh-CN"/>
        </w:rPr>
        <w:t>本次资格审查采用资格后审，各供应商资格审查通过后方能进入技术标的开标。先开技术标，技术标打分结束后再开商务标。</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第一阶段：</w:t>
      </w:r>
      <w:r>
        <w:rPr>
          <w:rFonts w:hint="eastAsia" w:ascii="宋体" w:hAnsi="宋体" w:cs="宋体"/>
          <w:sz w:val="24"/>
          <w:szCs w:val="24"/>
        </w:rPr>
        <w:t>磋商小组</w:t>
      </w:r>
      <w:r>
        <w:rPr>
          <w:rFonts w:hint="eastAsia" w:ascii="宋体" w:hAnsi="宋体" w:cs="宋体"/>
          <w:sz w:val="24"/>
          <w:szCs w:val="24"/>
          <w:lang w:val="zh-CN"/>
        </w:rPr>
        <w:t>对每个供应商的资格进行审查。</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第二阶段：</w:t>
      </w:r>
      <w:r>
        <w:rPr>
          <w:rFonts w:hint="eastAsia" w:ascii="宋体" w:hAnsi="宋体" w:cs="宋体"/>
          <w:sz w:val="24"/>
          <w:szCs w:val="24"/>
        </w:rPr>
        <w:t>磋商小组</w:t>
      </w:r>
      <w:r>
        <w:rPr>
          <w:rFonts w:hint="eastAsia" w:ascii="宋体" w:hAnsi="宋体" w:cs="宋体"/>
          <w:sz w:val="24"/>
          <w:szCs w:val="24"/>
          <w:lang w:val="zh-CN"/>
        </w:rPr>
        <w:t>对每个符合资格要求的供应商的技术标进行</w:t>
      </w:r>
      <w:r>
        <w:rPr>
          <w:rFonts w:hint="eastAsia" w:ascii="宋体" w:hAnsi="宋体" w:cs="宋体"/>
          <w:sz w:val="24"/>
          <w:szCs w:val="24"/>
        </w:rPr>
        <w:t>评估</w:t>
      </w:r>
      <w:r>
        <w:rPr>
          <w:rFonts w:hint="eastAsia" w:ascii="宋体" w:hAnsi="宋体" w:cs="宋体"/>
          <w:sz w:val="24"/>
          <w:szCs w:val="24"/>
          <w:lang w:val="zh-CN"/>
        </w:rPr>
        <w:t>。主要审查技术标提交的内容是否齐全，技术方案及项目实施是否完全满足采购文件的要求。</w:t>
      </w:r>
      <w:r>
        <w:rPr>
          <w:rFonts w:hint="eastAsia" w:ascii="宋体" w:hAnsi="宋体" w:cs="宋体"/>
          <w:sz w:val="24"/>
          <w:szCs w:val="24"/>
        </w:rPr>
        <w:t>磋商小组严格按照磋商文件的要求、条件、评分标准，对供应商所提供货物或服务的先进性、可靠性、售后服务承诺、质量保证承诺等实质性响应内容进行比较。</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第三阶段：以供应商价格标文件内的</w:t>
      </w:r>
      <w:r>
        <w:rPr>
          <w:rFonts w:hint="eastAsia" w:ascii="宋体" w:hAnsi="宋体" w:cs="宋体"/>
          <w:sz w:val="24"/>
          <w:szCs w:val="24"/>
        </w:rPr>
        <w:t>竞争性磋商</w:t>
      </w:r>
      <w:r>
        <w:rPr>
          <w:rFonts w:hint="eastAsia" w:ascii="宋体" w:hAnsi="宋体" w:cs="宋体"/>
          <w:sz w:val="24"/>
          <w:szCs w:val="24"/>
          <w:lang w:val="zh-CN"/>
        </w:rPr>
        <w:t>报价（即首次报价）为基础，</w:t>
      </w:r>
      <w:r>
        <w:rPr>
          <w:rFonts w:hint="eastAsia" w:ascii="宋体" w:hAnsi="宋体" w:cs="宋体"/>
          <w:sz w:val="24"/>
          <w:szCs w:val="24"/>
        </w:rPr>
        <w:t>磋商小组与</w:t>
      </w:r>
      <w:r>
        <w:rPr>
          <w:rFonts w:hint="eastAsia" w:ascii="宋体" w:hAnsi="宋体" w:cs="宋体"/>
          <w:sz w:val="24"/>
          <w:szCs w:val="24"/>
          <w:lang w:val="zh-CN"/>
        </w:rPr>
        <w:t>供应商单一分别进行</w:t>
      </w:r>
      <w:r>
        <w:rPr>
          <w:rFonts w:hint="eastAsia" w:ascii="宋体" w:hAnsi="宋体" w:cs="宋体"/>
          <w:sz w:val="24"/>
          <w:szCs w:val="24"/>
        </w:rPr>
        <w:t>磋商</w:t>
      </w:r>
      <w:r>
        <w:rPr>
          <w:rFonts w:hint="eastAsia" w:ascii="宋体" w:hAnsi="宋体" w:cs="宋体"/>
          <w:sz w:val="24"/>
          <w:szCs w:val="24"/>
          <w:lang w:val="zh-CN"/>
        </w:rPr>
        <w:t>：内容主要是对</w:t>
      </w:r>
      <w:r>
        <w:rPr>
          <w:rFonts w:hint="eastAsia" w:ascii="宋体" w:hAnsi="宋体" w:cs="宋体"/>
          <w:sz w:val="24"/>
          <w:szCs w:val="24"/>
        </w:rPr>
        <w:t>竞争性磋商</w:t>
      </w:r>
      <w:r>
        <w:rPr>
          <w:rFonts w:hint="eastAsia" w:ascii="宋体" w:hAnsi="宋体" w:cs="宋体"/>
          <w:sz w:val="24"/>
          <w:szCs w:val="24"/>
          <w:lang w:val="zh-CN"/>
        </w:rPr>
        <w:t>响应文件中的项目方案的澄清、修正、补充、确认以及价格调整等。如</w:t>
      </w:r>
      <w:r>
        <w:rPr>
          <w:rFonts w:hint="eastAsia" w:ascii="宋体" w:hAnsi="宋体" w:cs="宋体"/>
          <w:sz w:val="24"/>
          <w:szCs w:val="24"/>
        </w:rPr>
        <w:t>磋商</w:t>
      </w:r>
      <w:r>
        <w:rPr>
          <w:rFonts w:hint="eastAsia" w:ascii="宋体" w:hAnsi="宋体" w:cs="宋体"/>
          <w:sz w:val="24"/>
          <w:szCs w:val="24"/>
          <w:lang w:val="zh-CN"/>
        </w:rPr>
        <w:t>内容导致</w:t>
      </w:r>
      <w:r>
        <w:rPr>
          <w:rFonts w:hint="eastAsia" w:ascii="宋体" w:hAnsi="宋体" w:cs="宋体"/>
          <w:sz w:val="24"/>
          <w:szCs w:val="24"/>
        </w:rPr>
        <w:t>竞争性磋商</w:t>
      </w:r>
      <w:r>
        <w:rPr>
          <w:rFonts w:hint="eastAsia" w:ascii="宋体" w:hAnsi="宋体" w:cs="宋体"/>
          <w:sz w:val="24"/>
          <w:szCs w:val="24"/>
          <w:lang w:val="zh-CN"/>
        </w:rPr>
        <w:t>文件有实质性变动的，</w:t>
      </w:r>
      <w:r>
        <w:rPr>
          <w:rFonts w:hint="eastAsia" w:ascii="宋体" w:hAnsi="宋体" w:cs="宋体"/>
          <w:sz w:val="24"/>
          <w:szCs w:val="24"/>
        </w:rPr>
        <w:t>磋商小组</w:t>
      </w:r>
      <w:r>
        <w:rPr>
          <w:rFonts w:hint="eastAsia" w:ascii="宋体" w:hAnsi="宋体" w:cs="宋体"/>
          <w:sz w:val="24"/>
          <w:szCs w:val="24"/>
          <w:lang w:val="zh-CN"/>
        </w:rPr>
        <w:t>应当以书面形式通知所有供应商。</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第四阶段：单一分别</w:t>
      </w:r>
      <w:r>
        <w:rPr>
          <w:rFonts w:hint="eastAsia" w:ascii="宋体" w:hAnsi="宋体" w:cs="宋体"/>
          <w:sz w:val="24"/>
          <w:szCs w:val="24"/>
        </w:rPr>
        <w:t>磋商</w:t>
      </w:r>
      <w:r>
        <w:rPr>
          <w:rFonts w:hint="eastAsia" w:ascii="宋体" w:hAnsi="宋体" w:cs="宋体"/>
          <w:sz w:val="24"/>
          <w:szCs w:val="24"/>
          <w:lang w:val="zh-CN"/>
        </w:rPr>
        <w:t>结束后，</w:t>
      </w:r>
      <w:r>
        <w:rPr>
          <w:rFonts w:hint="eastAsia" w:ascii="宋体" w:hAnsi="宋体" w:cs="宋体"/>
          <w:sz w:val="24"/>
          <w:szCs w:val="24"/>
        </w:rPr>
        <w:t>磋商小组</w:t>
      </w:r>
      <w:r>
        <w:rPr>
          <w:rFonts w:hint="eastAsia" w:ascii="宋体" w:hAnsi="宋体" w:cs="宋体"/>
          <w:sz w:val="24"/>
          <w:szCs w:val="24"/>
          <w:lang w:val="zh-CN"/>
        </w:rPr>
        <w:t>告知所有供应商的项目二次（最终）报价，并要求所有作出实质性响应的有效供应商在规定的时间内，在</w:t>
      </w:r>
      <w:r>
        <w:rPr>
          <w:rFonts w:hint="eastAsia" w:ascii="宋体" w:hAnsi="宋体" w:cs="宋体"/>
          <w:sz w:val="24"/>
          <w:szCs w:val="24"/>
        </w:rPr>
        <w:t>磋商</w:t>
      </w:r>
      <w:r>
        <w:rPr>
          <w:rFonts w:hint="eastAsia" w:ascii="宋体" w:hAnsi="宋体" w:cs="宋体"/>
          <w:sz w:val="24"/>
          <w:szCs w:val="24"/>
          <w:lang w:val="zh-CN"/>
        </w:rPr>
        <w:t>现场集体给出最终报价，同时最终报价中可包括但不限于如最终澄清方案、有关优惠承诺等。</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第五阶段：</w:t>
      </w:r>
      <w:r>
        <w:rPr>
          <w:rFonts w:hint="eastAsia" w:ascii="宋体" w:hAnsi="宋体" w:cs="宋体"/>
          <w:sz w:val="24"/>
          <w:szCs w:val="24"/>
        </w:rPr>
        <w:t>磋商小组</w:t>
      </w:r>
      <w:r>
        <w:rPr>
          <w:rFonts w:hint="eastAsia" w:ascii="宋体" w:hAnsi="宋体" w:cs="宋体"/>
          <w:sz w:val="24"/>
          <w:szCs w:val="24"/>
          <w:lang w:val="zh-CN"/>
        </w:rPr>
        <w:t>对供应商的最终报价进行评议和比较，在实质性响应</w:t>
      </w:r>
      <w:r>
        <w:rPr>
          <w:rFonts w:hint="eastAsia" w:ascii="宋体" w:hAnsi="宋体" w:cs="宋体"/>
          <w:sz w:val="24"/>
          <w:szCs w:val="24"/>
        </w:rPr>
        <w:t>竞争性磋商</w:t>
      </w:r>
      <w:r>
        <w:rPr>
          <w:rFonts w:hint="eastAsia" w:ascii="宋体" w:hAnsi="宋体" w:cs="宋体"/>
          <w:sz w:val="24"/>
          <w:szCs w:val="24"/>
          <w:lang w:val="zh-CN"/>
        </w:rPr>
        <w:t>文件，技术标和价格标部分都能满足</w:t>
      </w:r>
      <w:r>
        <w:rPr>
          <w:rFonts w:hint="eastAsia" w:ascii="宋体" w:hAnsi="宋体" w:cs="宋体"/>
          <w:sz w:val="24"/>
          <w:szCs w:val="24"/>
        </w:rPr>
        <w:t>竞争性磋商</w:t>
      </w:r>
      <w:r>
        <w:rPr>
          <w:rFonts w:hint="eastAsia" w:ascii="宋体" w:hAnsi="宋体" w:cs="宋体"/>
          <w:sz w:val="24"/>
          <w:szCs w:val="24"/>
          <w:lang w:val="zh-CN"/>
        </w:rPr>
        <w:t>文件的前提下，</w:t>
      </w:r>
      <w:r>
        <w:rPr>
          <w:rFonts w:hint="eastAsia" w:ascii="宋体" w:hAnsi="宋体" w:cs="宋体"/>
          <w:sz w:val="24"/>
          <w:szCs w:val="24"/>
        </w:rPr>
        <w:t>磋商小组</w:t>
      </w:r>
      <w:r>
        <w:rPr>
          <w:rFonts w:hint="eastAsia" w:ascii="宋体" w:hAnsi="宋体" w:cs="宋体"/>
          <w:sz w:val="24"/>
          <w:szCs w:val="24"/>
          <w:lang w:val="zh-CN"/>
        </w:rPr>
        <w:t>将校核后的各供应商的报价从低到高排序（</w:t>
      </w:r>
      <w:r>
        <w:rPr>
          <w:rFonts w:hint="eastAsia" w:ascii="宋体" w:hAnsi="宋体" w:cs="宋体"/>
          <w:sz w:val="24"/>
          <w:szCs w:val="24"/>
        </w:rPr>
        <w:t>明显低于成本的，且供应商不能合理说明或者不能提供相关证明材料的报价除外）</w:t>
      </w:r>
      <w:r>
        <w:rPr>
          <w:rFonts w:hint="eastAsia" w:ascii="宋体" w:hAnsi="宋体" w:cs="宋体"/>
          <w:sz w:val="24"/>
          <w:szCs w:val="24"/>
          <w:lang w:val="zh-CN"/>
        </w:rPr>
        <w:t>。</w:t>
      </w:r>
    </w:p>
    <w:p>
      <w:pPr>
        <w:snapToGrid w:val="0"/>
        <w:spacing w:line="360" w:lineRule="auto"/>
        <w:ind w:firstLine="480" w:firstLineChars="200"/>
        <w:rPr>
          <w:rFonts w:ascii="宋体"/>
          <w:sz w:val="24"/>
          <w:szCs w:val="24"/>
        </w:rPr>
      </w:pPr>
      <w:r>
        <w:rPr>
          <w:rFonts w:ascii="宋体" w:hAnsi="宋体" w:cs="宋体"/>
          <w:sz w:val="24"/>
          <w:szCs w:val="24"/>
          <w:lang w:val="zh-CN"/>
        </w:rPr>
        <w:t>2</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过程中，供应商提交的澄清文件和最终报价文件，由供应商法定代表人或被授权人签字盖章后生效，供应商受其约束。</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四、磋商评定结果的方法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bCs/>
          <w:sz w:val="24"/>
          <w:szCs w:val="24"/>
          <w:u w:val="single"/>
        </w:rPr>
        <w:t>经磋商确定最终采购需求和提交最后报价的供应商后，</w:t>
      </w:r>
      <w:r>
        <w:rPr>
          <w:rFonts w:hint="eastAsia" w:ascii="宋体" w:hAnsi="宋体" w:cs="宋体"/>
          <w:sz w:val="24"/>
          <w:szCs w:val="24"/>
        </w:rPr>
        <w:t>由磋商小组采用综合评分法</w:t>
      </w:r>
      <w:r>
        <w:rPr>
          <w:rFonts w:hint="eastAsia" w:ascii="宋体" w:hAnsi="宋体" w:cs="宋体"/>
          <w:b/>
          <w:bCs/>
          <w:sz w:val="24"/>
          <w:szCs w:val="24"/>
          <w:u w:val="single"/>
        </w:rPr>
        <w:t>对提交最后报价的供应商的响应文件和最后报价</w:t>
      </w:r>
      <w:r>
        <w:rPr>
          <w:rFonts w:hint="eastAsia" w:ascii="宋体" w:hAnsi="宋体" w:cs="宋体"/>
          <w:sz w:val="24"/>
          <w:szCs w:val="24"/>
        </w:rPr>
        <w:t>进行综合评分。</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、评估时，磋商小组各成员应当独立对每个有效响应的文件进行评价、打分，然后汇总每个供应商每项评分因素的得分（计算结果均四舍五入保留两位小数）。</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、本次项目磋商的技术</w:t>
      </w:r>
      <w:r>
        <w:rPr>
          <w:rFonts w:hint="eastAsia" w:ascii="宋体" w:hAnsi="宋体" w:cs="宋体"/>
          <w:kern w:val="0"/>
          <w:sz w:val="24"/>
          <w:szCs w:val="24"/>
        </w:rPr>
        <w:t>响应文件</w:t>
      </w:r>
      <w:r>
        <w:rPr>
          <w:rFonts w:hint="eastAsia" w:ascii="宋体" w:hAnsi="宋体" w:cs="宋体"/>
          <w:sz w:val="24"/>
          <w:szCs w:val="24"/>
        </w:rPr>
        <w:t>和商务报价</w:t>
      </w:r>
      <w:r>
        <w:rPr>
          <w:rFonts w:hint="eastAsia" w:ascii="宋体" w:hAnsi="宋体" w:cs="宋体"/>
          <w:kern w:val="0"/>
          <w:sz w:val="24"/>
          <w:szCs w:val="24"/>
        </w:rPr>
        <w:t>响应文件</w:t>
      </w:r>
      <w:r>
        <w:rPr>
          <w:rFonts w:hint="eastAsia" w:ascii="宋体" w:hAnsi="宋体" w:cs="宋体"/>
          <w:sz w:val="24"/>
          <w:szCs w:val="24"/>
        </w:rPr>
        <w:t>评估总分值为</w:t>
      </w:r>
      <w:r>
        <w:rPr>
          <w:rFonts w:ascii="宋体" w:hAnsi="宋体" w:cs="宋体"/>
          <w:sz w:val="24"/>
          <w:szCs w:val="24"/>
        </w:rPr>
        <w:t>100</w:t>
      </w:r>
      <w:r>
        <w:rPr>
          <w:rFonts w:hint="eastAsia" w:ascii="宋体" w:hAnsi="宋体" w:cs="宋体"/>
          <w:sz w:val="24"/>
          <w:szCs w:val="24"/>
        </w:rPr>
        <w:t>分。两部分评估因素比重如下：</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技术响应文件分值占总分值的比重为</w:t>
      </w:r>
      <w:r>
        <w:rPr>
          <w:rFonts w:hint="eastAsia" w:ascii="宋体" w:hAnsi="宋体" w:cs="宋体"/>
          <w:kern w:val="0"/>
          <w:sz w:val="24"/>
          <w:szCs w:val="24"/>
          <w:u w:val="single"/>
          <w:lang w:val="en-US" w:eastAsia="zh-CN"/>
        </w:rPr>
        <w:t>60</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商务报价响应文件分值占总分值的比重为</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40</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dstrike/>
          <w:sz w:val="24"/>
          <w:szCs w:val="24"/>
        </w:rPr>
      </w:pPr>
      <w:r>
        <w:rPr>
          <w:rFonts w:ascii="宋体" w:hAnsi="宋体" w:cs="宋体"/>
          <w:sz w:val="24"/>
          <w:szCs w:val="24"/>
        </w:rPr>
        <w:t>4</w:t>
      </w:r>
      <w:r>
        <w:rPr>
          <w:rFonts w:hint="eastAsia" w:ascii="宋体" w:hAnsi="宋体" w:cs="宋体"/>
          <w:sz w:val="24"/>
          <w:szCs w:val="24"/>
        </w:rPr>
        <w:t>、技术</w:t>
      </w:r>
      <w:r>
        <w:rPr>
          <w:rFonts w:hint="eastAsia" w:ascii="宋体" w:hAnsi="宋体" w:cs="宋体"/>
          <w:kern w:val="0"/>
          <w:sz w:val="24"/>
          <w:szCs w:val="24"/>
        </w:rPr>
        <w:t>响应文件分值为所有评委打分的算术平均值，计算</w:t>
      </w:r>
      <w:r>
        <w:rPr>
          <w:rFonts w:hint="eastAsia" w:ascii="宋体" w:hAnsi="宋体" w:cs="宋体"/>
          <w:sz w:val="24"/>
          <w:szCs w:val="24"/>
        </w:rPr>
        <w:t>结果均四舍五入保留两位小数。</w:t>
      </w:r>
    </w:p>
    <w:p>
      <w:pPr>
        <w:snapToGrid w:val="0"/>
        <w:spacing w:line="360" w:lineRule="auto"/>
        <w:ind w:firstLine="480" w:firstLineChars="200"/>
      </w:pPr>
      <w:r>
        <w:rPr>
          <w:rFonts w:ascii="宋体" w:hAnsi="宋体" w:cs="宋体"/>
          <w:sz w:val="24"/>
          <w:szCs w:val="24"/>
        </w:rPr>
        <w:t>5</w:t>
      </w:r>
      <w:r>
        <w:rPr>
          <w:rFonts w:hint="eastAsia" w:ascii="宋体" w:hAnsi="宋体" w:cs="宋体"/>
          <w:sz w:val="24"/>
          <w:szCs w:val="24"/>
        </w:rPr>
        <w:t>、商务报价</w:t>
      </w:r>
      <w:r>
        <w:rPr>
          <w:rFonts w:hint="eastAsia" w:ascii="宋体" w:hAnsi="宋体" w:cs="宋体"/>
          <w:kern w:val="0"/>
          <w:sz w:val="24"/>
          <w:szCs w:val="24"/>
        </w:rPr>
        <w:t>响应文件</w:t>
      </w:r>
      <w:r>
        <w:rPr>
          <w:rFonts w:hint="eastAsia" w:ascii="宋体" w:hAnsi="宋体" w:cs="宋体"/>
          <w:sz w:val="24"/>
          <w:szCs w:val="24"/>
        </w:rPr>
        <w:t>分值统一采用低价优先法计算直接取得，与技术</w:t>
      </w:r>
      <w:r>
        <w:rPr>
          <w:rFonts w:hint="eastAsia" w:ascii="宋体" w:hAnsi="宋体" w:cs="宋体"/>
          <w:kern w:val="0"/>
          <w:sz w:val="24"/>
          <w:szCs w:val="24"/>
        </w:rPr>
        <w:t>响应文件</w:t>
      </w:r>
      <w:r>
        <w:rPr>
          <w:rFonts w:hint="eastAsia" w:ascii="宋体" w:hAnsi="宋体" w:cs="宋体"/>
          <w:sz w:val="24"/>
          <w:szCs w:val="24"/>
        </w:rPr>
        <w:t>分值相加为供应商的综合得分（四舍五入保留两位小数）。</w:t>
      </w:r>
    </w:p>
    <w:p>
      <w:pPr>
        <w:snapToGrid w:val="0"/>
        <w:spacing w:line="360" w:lineRule="auto"/>
        <w:ind w:firstLine="460" w:firstLineChars="192"/>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综合得分最高的供应商推荐为项目预成交供应商并出具评审磋商报告。</w:t>
      </w:r>
    </w:p>
    <w:p>
      <w:pPr>
        <w:snapToGrid w:val="0"/>
        <w:spacing w:line="360" w:lineRule="auto"/>
        <w:ind w:firstLine="460" w:firstLineChars="192"/>
        <w:rPr>
          <w:rFonts w:ascii="宋体"/>
          <w:sz w:val="24"/>
          <w:szCs w:val="24"/>
        </w:rPr>
      </w:pPr>
      <w:r>
        <w:rPr>
          <w:rFonts w:ascii="宋体" w:hAnsi="宋体" w:cs="宋体"/>
          <w:sz w:val="24"/>
          <w:szCs w:val="24"/>
        </w:rPr>
        <w:t>7</w:t>
      </w:r>
      <w:r>
        <w:rPr>
          <w:rFonts w:hint="eastAsia" w:ascii="宋体" w:hAnsi="宋体" w:cs="宋体"/>
          <w:sz w:val="24"/>
          <w:szCs w:val="24"/>
        </w:rPr>
        <w:t>、确定成交候选人的特殊情况处理：</w:t>
      </w:r>
    </w:p>
    <w:p>
      <w:pPr>
        <w:snapToGrid w:val="0"/>
        <w:spacing w:line="360" w:lineRule="auto"/>
        <w:ind w:firstLine="480" w:firstLineChars="200"/>
        <w:outlineLvl w:val="1"/>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）若总分相同，则按最终报价得分高者优先中标。</w:t>
      </w:r>
    </w:p>
    <w:p>
      <w:pPr>
        <w:snapToGrid w:val="0"/>
        <w:spacing w:line="360" w:lineRule="auto"/>
        <w:ind w:firstLine="480" w:firstLineChars="200"/>
        <w:outlineLvl w:val="1"/>
        <w:rPr>
          <w:rFonts w:ascii="宋体"/>
          <w:dstrike/>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）若总分且最终报价得分相同，则采取现场抽签的方式确定（由供应商按递交响应文件签到顺序号抽签确定）。</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、磋商评审时，评委对评审的细则若有争议，由磋商小组集体讨论确定，并对未尽情况有最终解释权。</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、对落标的供应商不做落标原因的解释。</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五、综合评分评审标准</w:t>
      </w:r>
    </w:p>
    <w:p>
      <w:pPr>
        <w:adjustRightInd w:val="0"/>
        <w:snapToGrid w:val="0"/>
        <w:spacing w:line="360" w:lineRule="auto"/>
        <w:ind w:firstLine="480" w:firstLineChars="200"/>
        <w:outlineLvl w:val="3"/>
        <w:rPr>
          <w:rFonts w:ascii="宋体"/>
          <w:sz w:val="24"/>
          <w:szCs w:val="24"/>
        </w:rPr>
      </w:pPr>
      <w:r>
        <w:rPr>
          <w:rFonts w:hint="eastAsia" w:ascii="宋体" w:hAnsi="宋体" w:cs="宋体"/>
          <w:sz w:val="24"/>
          <w:szCs w:val="24"/>
        </w:rPr>
        <w:t>（一）技术磋商响应评审：（</w:t>
      </w:r>
      <w:r>
        <w:rPr>
          <w:rFonts w:hint="eastAsia" w:ascii="宋体" w:hAnsi="宋体" w:cs="宋体"/>
          <w:sz w:val="24"/>
          <w:szCs w:val="24"/>
          <w:lang w:val="en-US" w:eastAsia="zh-CN"/>
        </w:rPr>
        <w:t>60</w:t>
      </w:r>
      <w:r>
        <w:rPr>
          <w:rFonts w:hint="eastAsia" w:ascii="宋体" w:hAnsi="宋体" w:cs="宋体"/>
          <w:sz w:val="24"/>
          <w:szCs w:val="24"/>
        </w:rPr>
        <w:t>分）</w:t>
      </w:r>
    </w:p>
    <w:tbl>
      <w:tblPr>
        <w:tblStyle w:val="5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95"/>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1295"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评审</w:t>
            </w:r>
          </w:p>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tc>
        <w:tc>
          <w:tcPr>
            <w:tcW w:w="7233"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技术评审因素及评分规定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企业实力</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（1）投标人2021年获得市级及以上质量监督部门发布的三星维保星级评定证书（或有效证明）的得2分；</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（2）投标人2021年获得市级及以上质量监督部门发布的四星维保星级评定证书（或有效证明）的得4分；</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（3）投标人2021年获得市级及以上质量监督部门发布的五星及以上维保星级评定证书（或有效证明）的得6分；</w:t>
            </w:r>
          </w:p>
          <w:p>
            <w:pPr>
              <w:pStyle w:val="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2"/>
                <w:sz w:val="24"/>
                <w:szCs w:val="24"/>
              </w:rPr>
              <w:t>提供对应证书或证明文件复印件并加盖供应商单位公章。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体系认证</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投标人具有有效期内的质量管理体系认证证书、环境管理体系认证证书、职业健康安全管理体系认证证书，每提供1个得2分，满分6分。</w:t>
            </w:r>
            <w:r>
              <w:rPr>
                <w:rFonts w:hint="eastAsia" w:asciiTheme="minorEastAsia" w:hAnsiTheme="minorEastAsia" w:eastAsiaTheme="minorEastAsia" w:cstheme="minorEastAsia"/>
                <w:b/>
                <w:bCs/>
                <w:sz w:val="24"/>
                <w:szCs w:val="24"/>
              </w:rPr>
              <w:t>提供对应证书复印件并加盖供应商单位公章。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技术维保</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力量</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驻点服务的人员数量不少于2人标准配备，并提供驻点人员的姓名、通迅号码并提供他们有效的特种设备作业人员资格证书复印件（须加盖聘用单位印章）。维保人员配备不满足上述要求的做无效标处理，满足以上要求得3分。投标供应商提供服务承诺函（格式自拟）。</w:t>
            </w:r>
          </w:p>
          <w:p>
            <w:pPr>
              <w:widowControl/>
              <w:snapToGrid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（2）固定维保人员中取得由中华人民共和国人力资源和社会保障部颁发的职业资格证书的，每一人得1分，本项最高得5分。（提供维保人员表（格式自拟）。</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（3）职称人员：投标企业具有中级工程师及以上职称的人员，每提供1个得1分，最多得2分（提供职称人员表（格式自拟）。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技术保障</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投标人自有合格有效的电梯钢丝绳张力测试仪、钢丝绳探伤仪、加减速度测试仪等主要的电梯维保检测检修工器具；</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提供投标人采购发票及有效的</w:t>
            </w:r>
            <w:r>
              <w:rPr>
                <w:rFonts w:hint="eastAsia" w:asciiTheme="minorEastAsia" w:hAnsiTheme="minorEastAsia" w:eastAsiaTheme="minorEastAsia" w:cstheme="minorEastAsia"/>
                <w:bCs/>
                <w:sz w:val="24"/>
                <w:szCs w:val="24"/>
              </w:rPr>
              <w:t>产品检测报告复印件</w:t>
            </w:r>
            <w:r>
              <w:rPr>
                <w:rFonts w:hint="eastAsia" w:asciiTheme="minorEastAsia" w:hAnsiTheme="minorEastAsia" w:eastAsiaTheme="minorEastAsia" w:cstheme="minorEastAsia"/>
                <w:sz w:val="24"/>
                <w:szCs w:val="24"/>
              </w:rPr>
              <w:t>并加盖供应商单位公章。每提供一项得2分，满分6分，未提供的不得分。（发票开具时间必须在本招标公告发布前）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分）</w:t>
            </w:r>
          </w:p>
        </w:tc>
        <w:tc>
          <w:tcPr>
            <w:tcW w:w="7233" w:type="dxa"/>
            <w:noWrap w:val="0"/>
            <w:vAlign w:val="center"/>
          </w:tcPr>
          <w:p>
            <w:pPr>
              <w:snapToGrid w:val="0"/>
              <w:spacing w:line="360" w:lineRule="auto"/>
              <w:rPr>
                <w:rFonts w:hint="eastAsia" w:asciiTheme="minorEastAsia" w:hAnsiTheme="minorEastAsia" w:eastAsiaTheme="minorEastAsia" w:cstheme="minorEastAsia"/>
                <w:strike/>
                <w:sz w:val="24"/>
                <w:szCs w:val="24"/>
              </w:rPr>
            </w:pPr>
            <w:r>
              <w:rPr>
                <w:rFonts w:hint="eastAsia" w:asciiTheme="minorEastAsia" w:hAnsiTheme="minorEastAsia" w:eastAsiaTheme="minorEastAsia" w:cstheme="minorEastAsia"/>
                <w:sz w:val="24"/>
                <w:szCs w:val="24"/>
              </w:rPr>
              <w:t>（1）2019年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月1日以来具有电梯维保业绩的，每提供一份合同及对应发票复印件并加盖供应商单位公章的，得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22</w:t>
            </w:r>
            <w:r>
              <w:rPr>
                <w:rFonts w:hint="eastAsia" w:asciiTheme="minorEastAsia" w:hAnsiTheme="minorEastAsia" w:eastAsiaTheme="minorEastAsia" w:cstheme="minorEastAsia"/>
                <w:b/>
                <w:bCs/>
                <w:sz w:val="24"/>
                <w:szCs w:val="24"/>
              </w:rPr>
              <w:t>分）</w:t>
            </w:r>
          </w:p>
        </w:tc>
        <w:tc>
          <w:tcPr>
            <w:tcW w:w="7233" w:type="dxa"/>
            <w:noWrap w:val="0"/>
            <w:vAlign w:val="center"/>
          </w:tcPr>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eastAsia="zh-CN"/>
              </w:rPr>
              <w:t>根据维修保养方案服务内容、质量保证措施、进度控制、人员调度、方案的针对性和实用性等方面进行评审，优得</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4-7</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1-3</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对投标人维保</w:t>
            </w:r>
            <w:r>
              <w:rPr>
                <w:rFonts w:hint="eastAsia" w:asciiTheme="minorEastAsia" w:hAnsiTheme="minorEastAsia" w:eastAsiaTheme="minorEastAsia" w:cstheme="minorEastAsia"/>
                <w:b w:val="0"/>
                <w:bCs w:val="0"/>
                <w:sz w:val="24"/>
                <w:szCs w:val="24"/>
                <w:lang w:eastAsia="zh-CN"/>
              </w:rPr>
              <w:t>台账和设备配件更换管理台账的设置方案进行评审。优得</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3-4</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对投标人</w:t>
            </w:r>
            <w:r>
              <w:rPr>
                <w:rFonts w:hint="eastAsia" w:asciiTheme="minorEastAsia" w:hAnsiTheme="minorEastAsia" w:eastAsiaTheme="minorEastAsia" w:cstheme="minorEastAsia"/>
                <w:b w:val="0"/>
                <w:bCs w:val="0"/>
                <w:sz w:val="24"/>
                <w:szCs w:val="24"/>
                <w:lang w:eastAsia="zh-CN"/>
              </w:rPr>
              <w:t>应急抢修预案合理，针对性、可操作性进行评审。优得</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3-4</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）采用信息化手段加强维保管理，须提供与软件服务商签订的合同及开具的发票得4分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未提供的不得分。</w:t>
            </w:r>
          </w:p>
        </w:tc>
      </w:tr>
    </w:tbl>
    <w:p>
      <w:pPr>
        <w:snapToGrid w:val="0"/>
        <w:spacing w:line="440" w:lineRule="exact"/>
        <w:ind w:firstLine="480" w:firstLineChars="200"/>
        <w:outlineLvl w:val="1"/>
        <w:rPr>
          <w:rFonts w:ascii="宋体"/>
          <w:b/>
          <w:bCs/>
          <w:sz w:val="24"/>
          <w:szCs w:val="24"/>
        </w:rPr>
      </w:pPr>
      <w:r>
        <w:rPr>
          <w:rFonts w:hint="eastAsia" w:ascii="宋体" w:hAnsi="宋体" w:cs="宋体"/>
          <w:sz w:val="24"/>
          <w:szCs w:val="24"/>
        </w:rPr>
        <w:t>注：以上打分项设得分上限，评委依据磋商文件载明的方法评分，评分四舍五入精确到小数点后两位。</w:t>
      </w:r>
    </w:p>
    <w:p>
      <w:pPr>
        <w:adjustRightInd w:val="0"/>
        <w:snapToGrid w:val="0"/>
        <w:spacing w:line="440" w:lineRule="exact"/>
        <w:ind w:firstLine="482" w:firstLineChars="200"/>
        <w:rPr>
          <w:rFonts w:ascii="宋体"/>
          <w:b/>
          <w:bCs/>
          <w:sz w:val="24"/>
          <w:szCs w:val="24"/>
        </w:rPr>
      </w:pPr>
      <w:r>
        <w:rPr>
          <w:rFonts w:hint="eastAsia" w:ascii="宋体" w:hAnsi="宋体" w:cs="宋体"/>
          <w:b/>
          <w:bCs/>
          <w:sz w:val="24"/>
          <w:szCs w:val="24"/>
          <w:u w:val="thick" w:color="FF0000"/>
        </w:rPr>
        <w:t>特别提醒：技术标评分中所涉及相关资料等证明材料均须提供原件的复印件加盖公章，并将原件带至开标现场备查，未携带原件或因携带原件不全所引起的后果由投标人自行承担</w:t>
      </w:r>
      <w:r>
        <w:rPr>
          <w:rFonts w:hint="eastAsia" w:ascii="宋体" w:hAnsi="宋体" w:cs="宋体"/>
          <w:b/>
          <w:bCs/>
          <w:sz w:val="24"/>
          <w:szCs w:val="24"/>
        </w:rPr>
        <w:t>。</w:t>
      </w:r>
    </w:p>
    <w:p>
      <w:pPr>
        <w:snapToGrid w:val="0"/>
        <w:spacing w:line="360" w:lineRule="auto"/>
        <w:ind w:firstLine="480" w:firstLineChars="200"/>
        <w:rPr>
          <w:rFonts w:ascii="宋体"/>
          <w:sz w:val="24"/>
          <w:szCs w:val="24"/>
        </w:rPr>
      </w:pPr>
      <w:r>
        <w:rPr>
          <w:rFonts w:hint="eastAsia" w:ascii="宋体" w:hAnsi="宋体" w:cs="宋体"/>
          <w:sz w:val="24"/>
          <w:szCs w:val="24"/>
        </w:rPr>
        <w:t>（二）商务报价响应评分：（</w:t>
      </w:r>
      <w:r>
        <w:rPr>
          <w:rFonts w:hint="eastAsia" w:ascii="宋体" w:hAnsi="宋体" w:cs="宋体"/>
          <w:sz w:val="24"/>
          <w:szCs w:val="24"/>
          <w:lang w:val="en-US" w:eastAsia="zh-CN"/>
        </w:rPr>
        <w:t>40</w:t>
      </w:r>
      <w:r>
        <w:rPr>
          <w:rFonts w:hint="eastAsia" w:ascii="宋体" w:hAnsi="宋体" w:cs="宋体"/>
          <w:sz w:val="24"/>
          <w:szCs w:val="24"/>
        </w:rPr>
        <w:t>分）</w:t>
      </w:r>
    </w:p>
    <w:bookmarkEnd w:id="53"/>
    <w:bookmarkEnd w:id="54"/>
    <w:bookmarkEnd w:id="55"/>
    <w:bookmarkEnd w:id="56"/>
    <w:bookmarkEnd w:id="57"/>
    <w:bookmarkEnd w:id="58"/>
    <w:bookmarkEnd w:id="59"/>
    <w:bookmarkEnd w:id="60"/>
    <w:p>
      <w:pPr>
        <w:snapToGrid w:val="0"/>
        <w:spacing w:line="420" w:lineRule="exact"/>
        <w:ind w:firstLine="484" w:firstLineChars="202"/>
        <w:rPr>
          <w:rFonts w:hint="eastAsia" w:asciiTheme="minorEastAsia" w:hAnsiTheme="minorEastAsia" w:eastAsiaTheme="minorEastAsia"/>
          <w:b w:val="0"/>
          <w:bCs/>
          <w:sz w:val="24"/>
          <w:szCs w:val="24"/>
          <w:highlight w:val="none"/>
        </w:rPr>
      </w:pPr>
      <w:bookmarkStart w:id="62" w:name="_Hlk67169510"/>
      <w:bookmarkStart w:id="63" w:name="_Toc363573858"/>
      <w:bookmarkStart w:id="64" w:name="_Toc94585343"/>
      <w:r>
        <w:rPr>
          <w:rFonts w:hint="eastAsia" w:asciiTheme="minorEastAsia" w:hAnsiTheme="minorEastAsia" w:eastAsiaTheme="minorEastAsia"/>
          <w:b w:val="0"/>
          <w:bCs/>
          <w:sz w:val="24"/>
          <w:szCs w:val="24"/>
          <w:highlight w:val="none"/>
        </w:rPr>
        <w:t>价格分统一采用低价优先法计算，即满足招标文件要求且投标价格总价最低的投标报价为评标基准价，其价格分为满分。其他投标人的价格分统一按照下列公式计算：</w:t>
      </w:r>
    </w:p>
    <w:p>
      <w:pPr>
        <w:snapToGrid w:val="0"/>
        <w:spacing w:line="420" w:lineRule="exact"/>
        <w:ind w:firstLine="484" w:firstLineChars="202"/>
        <w:rPr>
          <w:rFonts w:hint="default" w:asciiTheme="minorEastAsia" w:hAnsiTheme="minorEastAsia" w:eastAsiaTheme="minorEastAsia"/>
          <w:b w:val="0"/>
          <w:bCs/>
          <w:sz w:val="24"/>
          <w:szCs w:val="24"/>
          <w:highlight w:val="none"/>
          <w:lang w:val="en-US" w:eastAsia="zh-CN"/>
        </w:rPr>
      </w:pPr>
      <w:r>
        <w:rPr>
          <w:rFonts w:hint="eastAsia" w:asciiTheme="minorEastAsia" w:hAnsiTheme="minorEastAsia" w:eastAsiaTheme="minorEastAsia"/>
          <w:b w:val="0"/>
          <w:bCs/>
          <w:sz w:val="24"/>
          <w:szCs w:val="24"/>
          <w:highlight w:val="none"/>
        </w:rPr>
        <w:t>投标报价得分=（评标基准价/投标报价总价）×</w:t>
      </w:r>
      <w:r>
        <w:rPr>
          <w:rFonts w:hint="eastAsia" w:asciiTheme="minorEastAsia" w:hAnsiTheme="minorEastAsia" w:eastAsiaTheme="minorEastAsia"/>
          <w:b w:val="0"/>
          <w:bCs/>
          <w:sz w:val="24"/>
          <w:szCs w:val="24"/>
          <w:highlight w:val="none"/>
          <w:lang w:val="en-US" w:eastAsia="zh-CN"/>
        </w:rPr>
        <w:t>40</w:t>
      </w:r>
    </w:p>
    <w:bookmarkEnd w:id="62"/>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六、出现下列情形之一的，作无效响应处理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、响应文件未按磋商文件要求装订、密封、签署、盖章及主要资料不齐全的；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、响应文件的资料有虚报或者谎报的；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、响应文件中资格审查文件及技术响应文件出现磋商报价的内容；</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、不具备磋商文件规定的资格要求的；</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、响应文件有重大漏项或重大不合理的；</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、项目技术、方案不满足项目需求中的要求，有重大偏离或保留的；</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、磋商响应报价超出项目预算的；</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、被认定为低于成本报价磋商竞标的；</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、供应商的磋商报价高于自己前一轮的；</w:t>
      </w:r>
    </w:p>
    <w:p>
      <w:pPr>
        <w:snapToGrid w:val="0"/>
        <w:spacing w:line="360" w:lineRule="auto"/>
        <w:ind w:firstLine="480" w:firstLineChars="200"/>
        <w:rPr>
          <w:rFonts w:ascii="宋体"/>
          <w:dstrike/>
          <w:sz w:val="24"/>
          <w:szCs w:val="24"/>
        </w:rPr>
      </w:pPr>
      <w:r>
        <w:rPr>
          <w:rFonts w:ascii="宋体" w:hAnsi="宋体" w:cs="宋体"/>
          <w:sz w:val="24"/>
          <w:szCs w:val="24"/>
        </w:rPr>
        <w:t>10</w:t>
      </w:r>
      <w:r>
        <w:rPr>
          <w:rFonts w:hint="eastAsia" w:ascii="宋体" w:hAnsi="宋体" w:cs="宋体"/>
          <w:sz w:val="24"/>
          <w:szCs w:val="24"/>
        </w:rPr>
        <w:t>、不符合法律、法规和磋商文件中规定的其他实质性响应要求的；</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、磋商小组依据法律法规可以认定为无效投标的其他情况。</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七、出现下列情形之一的，作废标处理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、供应商的报价均超出了采购预算，采购单位不能支付的；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、因情况变化，不再符合规定的竞争性磋商采购方式所适用情形的；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、出现影响采购公正的违法、违规行为的；</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、因重大变故，采购任务取消的；</w:t>
      </w:r>
      <w:r>
        <w:rPr>
          <w:rFonts w:ascii="宋体"/>
          <w:sz w:val="24"/>
          <w:szCs w:val="24"/>
        </w:rPr>
        <w:tab/>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、磋商小组依据法律法规可以认定为废标的其他情况。</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八、成交通知</w:t>
      </w:r>
    </w:p>
    <w:p>
      <w:pPr>
        <w:snapToGrid w:val="0"/>
        <w:spacing w:line="360" w:lineRule="auto"/>
        <w:ind w:firstLine="480" w:firstLineChars="200"/>
        <w:rPr>
          <w:rFonts w:hint="eastAsia" w:cs="宋体"/>
          <w:kern w:val="0"/>
          <w:sz w:val="24"/>
          <w:szCs w:val="24"/>
        </w:rPr>
      </w:pPr>
      <w:r>
        <w:rPr>
          <w:rFonts w:hint="eastAsia" w:cs="宋体"/>
          <w:kern w:val="0"/>
          <w:sz w:val="24"/>
          <w:szCs w:val="24"/>
        </w:rPr>
        <w:t>成交结果在</w:t>
      </w:r>
      <w:r>
        <w:rPr>
          <w:rFonts w:hint="eastAsia" w:cs="宋体"/>
          <w:kern w:val="0"/>
          <w:sz w:val="24"/>
          <w:szCs w:val="24"/>
          <w:lang w:eastAsia="zh-CN"/>
        </w:rPr>
        <w:t>南通市保安服务有限公司</w:t>
      </w:r>
      <w:r>
        <w:rPr>
          <w:rFonts w:hint="eastAsia" w:ascii="宋体" w:hAnsi="宋体" w:cs="宋体"/>
          <w:sz w:val="24"/>
          <w:szCs w:val="24"/>
        </w:rPr>
        <w:t>官网公示</w:t>
      </w:r>
      <w:r>
        <w:rPr>
          <w:rFonts w:hint="eastAsia"/>
          <w:b/>
          <w:bCs/>
          <w:kern w:val="0"/>
          <w:sz w:val="24"/>
          <w:szCs w:val="24"/>
          <w:u w:val="single"/>
        </w:rPr>
        <w:t>1</w:t>
      </w:r>
      <w:r>
        <w:rPr>
          <w:rFonts w:hint="eastAsia" w:cs="宋体"/>
          <w:kern w:val="0"/>
          <w:sz w:val="24"/>
          <w:szCs w:val="24"/>
        </w:rPr>
        <w:t>个工作日。《成交通知书》一经发出，采购单位改变成交结果，或者供应商放弃成交的，各自承担相应的法律责任。《成交通知书》是采购合同的组成部分。</w:t>
      </w:r>
    </w:p>
    <w:p>
      <w:pPr>
        <w:pStyle w:val="2"/>
      </w:pPr>
    </w:p>
    <w:p>
      <w:pPr>
        <w:pStyle w:val="5"/>
        <w:keepNext w:val="0"/>
        <w:keepLines w:val="0"/>
        <w:numPr>
          <w:ilvl w:val="0"/>
          <w:numId w:val="0"/>
        </w:numPr>
        <w:snapToGrid w:val="0"/>
        <w:spacing w:before="0" w:after="0" w:line="360" w:lineRule="auto"/>
        <w:jc w:val="center"/>
        <w:rPr>
          <w:rFonts w:ascii="宋体" w:hAnsi="宋体"/>
          <w:sz w:val="24"/>
          <w:szCs w:val="24"/>
        </w:rPr>
      </w:pPr>
      <w:r>
        <w:rPr>
          <w:rFonts w:ascii="宋体"/>
          <w:w w:val="80"/>
        </w:rPr>
        <w:br w:type="page"/>
      </w:r>
      <w:bookmarkEnd w:id="63"/>
      <w:bookmarkEnd w:id="64"/>
      <w:r>
        <w:rPr>
          <w:rFonts w:hint="eastAsia" w:ascii="宋体" w:hAnsi="宋体" w:cs="宋体"/>
          <w:w w:val="80"/>
        </w:rPr>
        <w:t>第五章  合同主要条款</w:t>
      </w:r>
      <w:bookmarkStart w:id="65" w:name="_Toc20744795"/>
      <w:bookmarkStart w:id="66" w:name="_Toc20744258"/>
      <w:bookmarkStart w:id="67" w:name="_Toc39047827"/>
    </w:p>
    <w:bookmarkEnd w:id="65"/>
    <w:bookmarkEnd w:id="66"/>
    <w:bookmarkEnd w:id="67"/>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甲方：</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(委托方)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 xml:space="preserve">(受托方) </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 委托维修保养项目. 甲方现有电梯委托乙方进行维修和保养。</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二. 维修和保养服务期限 </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自</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年  月  日</w:t>
      </w:r>
      <w:r>
        <w:rPr>
          <w:rFonts w:hint="eastAsia" w:asciiTheme="minorEastAsia" w:hAnsiTheme="minorEastAsia" w:eastAsiaTheme="minorEastAsia" w:cstheme="minorEastAsia"/>
          <w:color w:val="000000"/>
          <w:kern w:val="0"/>
          <w:sz w:val="24"/>
          <w:szCs w:val="24"/>
        </w:rPr>
        <w:t>起至</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年  月  日</w:t>
      </w:r>
      <w:r>
        <w:rPr>
          <w:rFonts w:hint="eastAsia" w:asciiTheme="minorEastAsia" w:hAnsiTheme="minorEastAsia" w:eastAsiaTheme="minorEastAsia" w:cstheme="minorEastAsia"/>
          <w:color w:val="000000"/>
          <w:kern w:val="0"/>
          <w:sz w:val="24"/>
          <w:szCs w:val="24"/>
        </w:rPr>
        <w:t>止，为期</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年。合同履行过程中,</w:t>
      </w:r>
      <w:r>
        <w:rPr>
          <w:rFonts w:hint="eastAsia" w:asciiTheme="minorEastAsia" w:hAnsiTheme="minorEastAsia" w:eastAsiaTheme="minorEastAsia" w:cstheme="minorEastAsia"/>
          <w:color w:val="000000"/>
          <w:sz w:val="24"/>
          <w:szCs w:val="24"/>
        </w:rPr>
        <w:t>任何一方若需终止合同，必须提前30天以书面形式通知对方,在征得对方同意并协调好相关善后工作的情况下方可终止,否则视为违约并承担相应的违约责任。合同期满后，甲方根据乙方服务及考核情况决定是否续签下一年度合同。</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三.</w:t>
      </w:r>
      <w:r>
        <w:rPr>
          <w:rFonts w:hint="eastAsia" w:asciiTheme="minorEastAsia" w:hAnsiTheme="minorEastAsia" w:eastAsiaTheme="minorEastAsia" w:cstheme="minorEastAsia"/>
          <w:color w:val="000000"/>
          <w:kern w:val="0"/>
          <w:sz w:val="24"/>
          <w:szCs w:val="24"/>
        </w:rPr>
        <w:t xml:space="preserve"> 甲方的权利和义务</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1.甲方有权</w:t>
      </w:r>
      <w:r>
        <w:rPr>
          <w:rFonts w:hint="eastAsia" w:asciiTheme="minorEastAsia" w:hAnsiTheme="minorEastAsia" w:eastAsiaTheme="minorEastAsia" w:cstheme="minorEastAsia"/>
          <w:color w:val="000000"/>
          <w:sz w:val="24"/>
          <w:szCs w:val="24"/>
        </w:rPr>
        <w:t>对</w:t>
      </w:r>
      <w:r>
        <w:rPr>
          <w:rFonts w:hint="eastAsia" w:asciiTheme="minorEastAsia" w:hAnsiTheme="minorEastAsia" w:eastAsiaTheme="minorEastAsia" w:cstheme="minorEastAsia"/>
          <w:color w:val="000000"/>
          <w:kern w:val="0"/>
          <w:sz w:val="24"/>
          <w:szCs w:val="24"/>
        </w:rPr>
        <w:t>乙方</w:t>
      </w:r>
      <w:r>
        <w:rPr>
          <w:rFonts w:hint="eastAsia" w:asciiTheme="minorEastAsia" w:hAnsiTheme="minorEastAsia" w:eastAsiaTheme="minorEastAsia" w:cstheme="minorEastAsia"/>
          <w:color w:val="000000"/>
          <w:sz w:val="24"/>
          <w:szCs w:val="24"/>
        </w:rPr>
        <w:t>工作</w:t>
      </w:r>
      <w:r>
        <w:rPr>
          <w:rFonts w:hint="eastAsia" w:asciiTheme="minorEastAsia" w:hAnsiTheme="minorEastAsia" w:eastAsiaTheme="minorEastAsia" w:cstheme="minorEastAsia"/>
          <w:color w:val="000000"/>
          <w:kern w:val="0"/>
          <w:sz w:val="24"/>
          <w:szCs w:val="24"/>
        </w:rPr>
        <w:t>进行监督管理和考核,</w:t>
      </w:r>
      <w:r>
        <w:rPr>
          <w:rFonts w:hint="eastAsia" w:asciiTheme="minorEastAsia" w:hAnsiTheme="minorEastAsia" w:eastAsiaTheme="minorEastAsia" w:cstheme="minorEastAsia"/>
          <w:color w:val="000000"/>
          <w:sz w:val="24"/>
          <w:szCs w:val="24"/>
        </w:rPr>
        <w:t xml:space="preserve"> 对不合格的</w:t>
      </w:r>
      <w:r>
        <w:rPr>
          <w:rFonts w:hint="eastAsia" w:asciiTheme="minorEastAsia" w:hAnsiTheme="minorEastAsia" w:eastAsiaTheme="minorEastAsia" w:cstheme="minorEastAsia"/>
          <w:color w:val="000000"/>
          <w:kern w:val="0"/>
          <w:sz w:val="24"/>
          <w:szCs w:val="24"/>
        </w:rPr>
        <w:t>维修人员有权要求乙方更换。</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2.特殊的单项修理费用和检修内容及超越维保范围的故障需进行修理时, 费用及维修时间由双方另行</w:t>
      </w:r>
      <w:r>
        <w:rPr>
          <w:rFonts w:hint="eastAsia" w:asciiTheme="minorEastAsia" w:hAnsiTheme="minorEastAsia" w:eastAsiaTheme="minorEastAsia" w:cstheme="minorEastAsia"/>
          <w:color w:val="000000"/>
          <w:sz w:val="24"/>
          <w:szCs w:val="24"/>
        </w:rPr>
        <w:t>协商。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3.电梯所</w:t>
      </w:r>
      <w:r>
        <w:rPr>
          <w:rFonts w:hint="eastAsia" w:asciiTheme="minorEastAsia" w:hAnsiTheme="minorEastAsia" w:eastAsiaTheme="minorEastAsia" w:cstheme="minorEastAsia"/>
          <w:color w:val="000000"/>
          <w:kern w:val="0"/>
          <w:sz w:val="24"/>
          <w:szCs w:val="24"/>
        </w:rPr>
        <w:t>需更换的配件, 除本合同第一条中约定由乙方免费提供的之外，由甲方提供或由乙方报价,其经甲方认可后委托乙方代购。</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4.甲方为乙方维修人员提供出入之方便,以及必要的辅助</w:t>
      </w:r>
      <w:r>
        <w:rPr>
          <w:rFonts w:hint="eastAsia" w:asciiTheme="minorEastAsia" w:hAnsiTheme="minorEastAsia" w:eastAsiaTheme="minorEastAsia" w:cstheme="minorEastAsia"/>
          <w:color w:val="000000"/>
          <w:sz w:val="24"/>
          <w:szCs w:val="24"/>
        </w:rPr>
        <w:t>工作</w:t>
      </w:r>
      <w:r>
        <w:rPr>
          <w:rFonts w:hint="eastAsia" w:asciiTheme="minorEastAsia" w:hAnsiTheme="minorEastAsia" w:eastAsiaTheme="minorEastAsia" w:cstheme="minorEastAsia"/>
          <w:color w:val="000000"/>
          <w:kern w:val="0"/>
          <w:sz w:val="24"/>
          <w:szCs w:val="24"/>
        </w:rPr>
        <w:t>设施。</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 乙方的责任</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 保养内容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1)清除灰尘:机房、轿顶 、地坎、及轿厢、厅门不锈钢、井道等清洁养护；</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2)螺栓紧固:电动机联轴器、制动器、门框、厅门门锁、接触器、支架、导轨联接等部位；</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3)部件润滑:曳引机油位、电动机油池、门轮、门脚滑块、限速器(涨紧轮)、 导轨、轿顶轮、对重块、导向轮等；</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4)安全装置检查: 机房电源开关、安全钳开关、上下限位开关、上下极限开关、厅门锁、轿顶急停开关、轿厅门、底坑急停开关、限速器动作、熔断器、纲丝绳等。</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2.每月</w:t>
      </w:r>
      <w:r>
        <w:rPr>
          <w:rFonts w:hint="eastAsia" w:asciiTheme="minorEastAsia" w:hAnsiTheme="minorEastAsia" w:eastAsiaTheme="minorEastAsia" w:cstheme="minorEastAsia"/>
          <w:color w:val="000000"/>
          <w:sz w:val="24"/>
          <w:szCs w:val="24"/>
        </w:rPr>
        <w:t>对</w:t>
      </w:r>
      <w:r>
        <w:rPr>
          <w:rFonts w:hint="eastAsia" w:asciiTheme="minorEastAsia" w:hAnsiTheme="minorEastAsia" w:eastAsiaTheme="minorEastAsia" w:cstheme="minorEastAsia"/>
          <w:color w:val="000000"/>
          <w:kern w:val="0"/>
          <w:sz w:val="24"/>
          <w:szCs w:val="24"/>
        </w:rPr>
        <w:t>合同约定的电梯进行两次常规检查和</w:t>
      </w:r>
      <w:r>
        <w:rPr>
          <w:rFonts w:hint="eastAsia" w:asciiTheme="minorEastAsia" w:hAnsiTheme="minorEastAsia" w:eastAsiaTheme="minorEastAsia" w:cstheme="minorEastAsia"/>
          <w:color w:val="000000"/>
          <w:sz w:val="24"/>
          <w:szCs w:val="24"/>
        </w:rPr>
        <w:t>例行保养,</w:t>
      </w:r>
      <w:r>
        <w:rPr>
          <w:rFonts w:hint="eastAsia" w:asciiTheme="minorEastAsia" w:hAnsiTheme="minorEastAsia" w:eastAsiaTheme="minorEastAsia" w:cstheme="minorEastAsia"/>
          <w:color w:val="000000"/>
          <w:kern w:val="0"/>
          <w:sz w:val="24"/>
          <w:szCs w:val="24"/>
        </w:rPr>
        <w:t>同时由甲方派专人随同协助并逐一做好登记签验单据,存档备查. 乙方维修保养程序要求根据国家标准进行, 确保电梯长期安全、稳定、高效、正常运行,经乙方维修保养到位，且经过甲方验收合格。</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 电梯突发故障的排除及维修. 电梯在正常使用期间遇到突发故障时应立即停止使用,乙方在接到报修通知后,10分钟内到达到场急修, 并做好电梯故障排除及修理记录。若乙方未在上述期限内解决所有问题，则甲方有权自行或另行委托第三人解决上述问题，由此产生的费用全部由乙方承担。</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 乙方派驻维修保养人员名（按投标承诺），定点在甲方提供全天候（24小时）服务。</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5.每年度进行电梯维修保养记录,</w:t>
      </w:r>
      <w:r>
        <w:rPr>
          <w:rFonts w:hint="eastAsia" w:asciiTheme="minorEastAsia" w:hAnsiTheme="minorEastAsia" w:eastAsiaTheme="minorEastAsia" w:cstheme="minorEastAsia"/>
          <w:color w:val="000000"/>
          <w:sz w:val="24"/>
          <w:szCs w:val="24"/>
        </w:rPr>
        <w:t xml:space="preserve"> 对</w:t>
      </w:r>
      <w:r>
        <w:rPr>
          <w:rFonts w:hint="eastAsia" w:asciiTheme="minorEastAsia" w:hAnsiTheme="minorEastAsia" w:eastAsiaTheme="minorEastAsia" w:cstheme="minorEastAsia"/>
          <w:color w:val="000000"/>
          <w:kern w:val="0"/>
          <w:sz w:val="24"/>
          <w:szCs w:val="24"/>
        </w:rPr>
        <w:t>电梯的运行和安全方面进行测试或总结，</w:t>
      </w:r>
      <w:r>
        <w:rPr>
          <w:rFonts w:hint="eastAsia" w:asciiTheme="minorEastAsia" w:hAnsiTheme="minorEastAsia" w:eastAsiaTheme="minorEastAsia" w:cstheme="minorEastAsia"/>
          <w:color w:val="000000"/>
          <w:sz w:val="24"/>
          <w:szCs w:val="24"/>
        </w:rPr>
        <w:t xml:space="preserve"> 对</w:t>
      </w:r>
      <w:r>
        <w:rPr>
          <w:rFonts w:hint="eastAsia" w:asciiTheme="minorEastAsia" w:hAnsiTheme="minorEastAsia" w:eastAsiaTheme="minorEastAsia" w:cstheme="minorEastAsia"/>
          <w:color w:val="000000"/>
          <w:kern w:val="0"/>
          <w:sz w:val="24"/>
          <w:szCs w:val="24"/>
        </w:rPr>
        <w:t>不</w:t>
      </w:r>
      <w:r>
        <w:rPr>
          <w:rFonts w:hint="eastAsia" w:asciiTheme="minorEastAsia" w:hAnsiTheme="minorEastAsia" w:eastAsiaTheme="minorEastAsia" w:cstheme="minorEastAsia"/>
          <w:color w:val="000000"/>
          <w:sz w:val="24"/>
          <w:szCs w:val="24"/>
        </w:rPr>
        <w:t>利于</w:t>
      </w:r>
      <w:r>
        <w:rPr>
          <w:rFonts w:hint="eastAsia" w:asciiTheme="minorEastAsia" w:hAnsiTheme="minorEastAsia" w:eastAsiaTheme="minorEastAsia" w:cstheme="minorEastAsia"/>
          <w:color w:val="000000"/>
          <w:kern w:val="0"/>
          <w:sz w:val="24"/>
          <w:szCs w:val="24"/>
        </w:rPr>
        <w:t>安全运行的配件或已至使用寿命的配件进行、修理。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 乙方免费提供部份易损件(见易损件清单), 见易损件清单作为合同附件,与合同具有同等法律效力。</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7.易损件之外的电梯配件损坏, 除本合同第一条中约定由乙方免费提供的之外，由甲方提供或甲方同意后由乙方代购,按实计算。配件更换的原因及故障原因要有详尽说明和记录。</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 本合同履行期间的安全责任及其费用均由乙方承担，乙方应加强安全管理,注意安全操作, 强化人员的人身安全责任教育, 并采取切实措施,确保电梯长期安全、稳定、高效、正常安全运行。在设备维护、保养过程中，乙方负责本合同项下全部维修、保养工作的安全，由维修、保养工作产生的全部安全责任均应由乙方承担。进一步说，除非甲方过错所致，本合同在履行过程中的安全责任及由此产生的费用均由乙方承担，即由于施工所引起的人员事故及损失，由乙方承担。</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 乙方应负责甲方电梯顺利通过年检, 并</w:t>
      </w:r>
      <w:r>
        <w:rPr>
          <w:rFonts w:hint="eastAsia" w:asciiTheme="minorEastAsia" w:hAnsiTheme="minorEastAsia" w:eastAsiaTheme="minorEastAsia" w:cstheme="minorEastAsia"/>
          <w:color w:val="000000"/>
          <w:sz w:val="24"/>
          <w:szCs w:val="24"/>
        </w:rPr>
        <w:t>对因</w:t>
      </w:r>
      <w:r>
        <w:rPr>
          <w:rFonts w:hint="eastAsia" w:asciiTheme="minorEastAsia" w:hAnsiTheme="minorEastAsia" w:eastAsiaTheme="minorEastAsia" w:cstheme="minorEastAsia"/>
          <w:color w:val="000000"/>
          <w:kern w:val="0"/>
          <w:sz w:val="24"/>
          <w:szCs w:val="24"/>
        </w:rPr>
        <w:t>维护保养不当需整改项目免人工费进行整改,复检费由乙方承担.甲方仅承担每年度一次的电梯年检费。</w:t>
      </w:r>
    </w:p>
    <w:p>
      <w:pPr>
        <w:widowControl/>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rPr>
        <w:t>五. 维修保养</w:t>
      </w:r>
      <w:r>
        <w:rPr>
          <w:rFonts w:hint="eastAsia" w:asciiTheme="minorEastAsia" w:hAnsiTheme="minorEastAsia" w:eastAsiaTheme="minorEastAsia" w:cstheme="minorEastAsia"/>
          <w:b/>
          <w:bCs/>
          <w:sz w:val="24"/>
          <w:szCs w:val="24"/>
        </w:rPr>
        <w:t>费用及付款方式</w:t>
      </w:r>
    </w:p>
    <w:p>
      <w:pPr>
        <w:widowControl/>
        <w:spacing w:line="360" w:lineRule="auto"/>
        <w:ind w:firstLine="723" w:firstLineChars="3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rPr>
        <w:t>经</w:t>
      </w:r>
      <w:r>
        <w:rPr>
          <w:rFonts w:hint="eastAsia" w:asciiTheme="minorEastAsia" w:hAnsiTheme="minorEastAsia" w:eastAsiaTheme="minorEastAsia" w:cstheme="minorEastAsia"/>
          <w:b/>
          <w:bCs/>
          <w:kern w:val="0"/>
          <w:sz w:val="24"/>
          <w:szCs w:val="24"/>
        </w:rPr>
        <w:t>甲方乙方</w:t>
      </w:r>
      <w:r>
        <w:rPr>
          <w:rFonts w:hint="eastAsia" w:asciiTheme="minorEastAsia" w:hAnsiTheme="minorEastAsia" w:eastAsiaTheme="minorEastAsia" w:cstheme="minorEastAsia"/>
          <w:b/>
          <w:bCs/>
          <w:sz w:val="24"/>
          <w:szCs w:val="24"/>
        </w:rPr>
        <w:t>双方商定</w:t>
      </w:r>
      <w:r>
        <w:rPr>
          <w:rFonts w:hint="eastAsia" w:asciiTheme="minorEastAsia" w:hAnsiTheme="minorEastAsia" w:eastAsiaTheme="minorEastAsia" w:cstheme="minorEastAsia"/>
          <w:b/>
          <w:bCs/>
          <w:kern w:val="0"/>
          <w:sz w:val="24"/>
          <w:szCs w:val="24"/>
        </w:rPr>
        <w:t>电梯保养</w:t>
      </w:r>
      <w:r>
        <w:rPr>
          <w:rFonts w:hint="eastAsia" w:asciiTheme="minorEastAsia" w:hAnsiTheme="minorEastAsia" w:eastAsiaTheme="minorEastAsia" w:cstheme="minorEastAsia"/>
          <w:b/>
          <w:bCs/>
          <w:sz w:val="24"/>
          <w:szCs w:val="24"/>
        </w:rPr>
        <w:t>费总额为人民币每年</w:t>
      </w:r>
      <w:r>
        <w:rPr>
          <w:rFonts w:hint="eastAsia" w:asciiTheme="minorEastAsia" w:hAnsiTheme="minorEastAsia" w:eastAsiaTheme="minorEastAsia" w:cstheme="minorEastAsia"/>
          <w:b/>
          <w:bCs/>
          <w:sz w:val="24"/>
          <w:szCs w:val="24"/>
          <w:u w:val="single"/>
        </w:rPr>
        <w:t xml:space="preserve">         （人民币   元）</w:t>
      </w:r>
      <w:r>
        <w:rPr>
          <w:rFonts w:hint="eastAsia" w:asciiTheme="minorEastAsia" w:hAnsiTheme="minorEastAsia" w:eastAsiaTheme="minorEastAsia" w:cstheme="minorEastAsia"/>
          <w:b/>
          <w:bCs/>
          <w:sz w:val="24"/>
          <w:szCs w:val="24"/>
        </w:rPr>
        <w:t>。</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1、1、本合同签订之日起每满半年结算一次，</w:t>
      </w:r>
      <w:r>
        <w:rPr>
          <w:rFonts w:hint="eastAsia" w:asciiTheme="minorEastAsia" w:hAnsiTheme="minorEastAsia" w:eastAsiaTheme="minorEastAsia" w:cstheme="minorEastAsia"/>
          <w:b/>
          <w:bCs/>
          <w:kern w:val="0"/>
          <w:sz w:val="24"/>
          <w:szCs w:val="24"/>
          <w:lang w:eastAsia="zh-CN"/>
        </w:rPr>
        <w:t>付至合同总价的</w:t>
      </w:r>
      <w:r>
        <w:rPr>
          <w:rFonts w:hint="eastAsia" w:asciiTheme="minorEastAsia" w:hAnsiTheme="minorEastAsia" w:eastAsiaTheme="minorEastAsia" w:cstheme="minorEastAsia"/>
          <w:b/>
          <w:bCs/>
          <w:kern w:val="0"/>
          <w:sz w:val="24"/>
          <w:szCs w:val="24"/>
          <w:lang w:val="en-US" w:eastAsia="zh-CN"/>
        </w:rPr>
        <w:t>50%，</w:t>
      </w:r>
      <w:r>
        <w:rPr>
          <w:rFonts w:hint="eastAsia" w:asciiTheme="minorEastAsia" w:hAnsiTheme="minorEastAsia" w:eastAsiaTheme="minorEastAsia" w:cstheme="minorEastAsia"/>
          <w:b/>
          <w:bCs/>
          <w:kern w:val="0"/>
          <w:sz w:val="24"/>
          <w:szCs w:val="24"/>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bCs/>
          <w:kern w:val="0"/>
          <w:sz w:val="24"/>
          <w:szCs w:val="24"/>
          <w:lang w:eastAsia="zh-CN"/>
        </w:rPr>
        <w:t>。</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2、若乙方在合同履行过程中存在有不良记录，根据不良记录逐项删减维保费用。</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3、结算时，先期提交双方认可结算确认单；双方认可结算确认单经双方确认同意后开具发票予以结算。</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4、本次报价为一年的费用，应包括本项目的全部费用 (含一切必须的辅助材料费用)及相关服务费等，中标人在中标后前三个月满足采购人考核要求可继续履行合同，否则采购人有权解除合同，并没收履约保证金；</w:t>
      </w:r>
    </w:p>
    <w:p>
      <w:pPr>
        <w:snapToGrid w:val="0"/>
        <w:spacing w:line="420" w:lineRule="exact"/>
        <w:ind w:firstLine="735" w:firstLineChars="305"/>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5、除非合同中另有规定，报价应包括</w:t>
      </w:r>
      <w:r>
        <w:rPr>
          <w:rFonts w:hint="eastAsia" w:asciiTheme="minorEastAsia" w:hAnsiTheme="minorEastAsia" w:eastAsiaTheme="minorEastAsia"/>
          <w:b/>
          <w:bCs/>
          <w:sz w:val="24"/>
          <w:szCs w:val="24"/>
          <w:lang w:val="en-US" w:eastAsia="zh-CN"/>
        </w:rPr>
        <w:t>材料费（涉及到电梯维保的所有配件）、设备费、设备维修或更换费、上门服务费（含业主临时或应急要求）、人员工资（含保险费）、管理费、利润、税金、政策性文件规定及为达到采购人要求所包含的所有风险、责任等各项费用。但不包括：国家新规定的为电梯进行改造、重大维修工作所需要的材料和人工费用以及国家特种设备检验机构在电梯检验时的相关配合费用和年检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六. 违约</w:t>
      </w:r>
      <w:r>
        <w:rPr>
          <w:rFonts w:hint="eastAsia" w:asciiTheme="minorEastAsia" w:hAnsiTheme="minorEastAsia" w:eastAsiaTheme="minorEastAsia" w:cstheme="minorEastAsia"/>
          <w:color w:val="000000"/>
          <w:kern w:val="0"/>
          <w:sz w:val="24"/>
          <w:szCs w:val="24"/>
        </w:rPr>
        <w:t>责任</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sz w:val="24"/>
          <w:szCs w:val="24"/>
        </w:rPr>
        <w:t>对于超出合同规定的付款期限,每超过一天,甲方应支付金额的万分之三滞纳金给乙方。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2. 乙方未能按合同完成例行保养和紧急维修工作,导致甲方经济损失的, 甲方有权缓付、减付合同款，并书面通知乙方应</w:t>
      </w:r>
      <w:r>
        <w:rPr>
          <w:rFonts w:hint="eastAsia" w:asciiTheme="minorEastAsia" w:hAnsiTheme="minorEastAsia" w:eastAsiaTheme="minorEastAsia" w:cstheme="minorEastAsia"/>
          <w:color w:val="000000"/>
          <w:kern w:val="0"/>
          <w:sz w:val="24"/>
          <w:szCs w:val="24"/>
        </w:rPr>
        <w:t>整改事项。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3.如乙方的未尽服务引起事故或造成恶劣影响的，乙方应承担全部经济责任和法律责任，同时乙方应当消除由此带来的全部影响。</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乙方应提供维保期间单位对在场维修人员的培训安全教育计划和内容，以及日常自检监管的记录和具体内容。按照规范行为提供满意度调查表。做不到此项，在维保结算清单评分低时与违规责任等同处理（500元-1000元/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5.如乙方的服务未能到位，甲方有权扣除乙方的维保费按每次1000元处理。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服务不到位包括：（1）维修人员不及时到现场；（2）配件跟进不上耽搁维修的使用和速度；（3）对于故障排除，特殊情况下：一般故障应自甲方向乙方发出维修通知（包括口头、书面等形式）起立即解决（不超过4小时），大故障（主机部分、控制柜内）应不超过48小时；若乙方未在上述期限内解决所有故障，并使本合同项下电梯长期安全、稳定、高效、正常运行，则甲方有权自行或另行委托第三人解决上述问题，由此产生的费用全部由乙方承担；（4）服务态度不好造成一定影响；（5）维保行为不规范及含带行为安全隐患；（6）维修质量不高（面对出现的故障，维修过程中未找到故障根本原因致使该故障现象再次发生）；（7）有重复故障出现（同故障一个月内重复出现三次）；（8）甲方对例行的维保质量的监督检查中发现安全隐患或严重安全隐患的，视为维保不到位；（9）没有及时完成每月的维保计划和工作内容（维保单，维修单，配件更换清单），乙方应在每个阶段的维保期限内及时做好维保工作，并及时告知甲方维保计划及将维保记录送甲方现场签收。如不及时提交维保记录产生维保工作的脱节，责任由乙方负责，同时甲方有权发函责令补救并保留追究乙方违约责任的权利。（10）造成二次故障损失及事故情节严重时按照特种设备安全监督检验研究院南通分院之处理意见执行。</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注：上述执行过程以电话及函件形式告知与记录。</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七.在履行合同中,</w:t>
      </w:r>
      <w:r>
        <w:rPr>
          <w:rFonts w:hint="eastAsia" w:asciiTheme="minorEastAsia" w:hAnsiTheme="minorEastAsia" w:eastAsiaTheme="minorEastAsia" w:cstheme="minorEastAsia"/>
          <w:color w:val="000000"/>
          <w:sz w:val="24"/>
          <w:szCs w:val="24"/>
        </w:rPr>
        <w:t xml:space="preserve"> 双方发生争议时，应先协商，如协商不成，任何一方可以申请仲裁委员会仲裁。</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八.本</w:t>
      </w:r>
      <w:r>
        <w:rPr>
          <w:rFonts w:hint="eastAsia" w:asciiTheme="minorEastAsia" w:hAnsiTheme="minorEastAsia" w:eastAsiaTheme="minorEastAsia" w:cstheme="minorEastAsia"/>
          <w:color w:val="000000"/>
          <w:kern w:val="0"/>
          <w:sz w:val="24"/>
          <w:szCs w:val="24"/>
        </w:rPr>
        <w:t>合同</w:t>
      </w:r>
      <w:r>
        <w:rPr>
          <w:rFonts w:hint="eastAsia" w:asciiTheme="minorEastAsia" w:hAnsiTheme="minorEastAsia" w:eastAsiaTheme="minorEastAsia" w:cstheme="minorEastAsia"/>
          <w:color w:val="000000"/>
          <w:sz w:val="24"/>
          <w:szCs w:val="24"/>
        </w:rPr>
        <w:t>一式陆份，采购人执叁份、供应商执</w:t>
      </w:r>
      <w:r>
        <w:rPr>
          <w:rFonts w:hint="eastAsia" w:asciiTheme="minorEastAsia" w:hAnsiTheme="minorEastAsia" w:eastAsiaTheme="minorEastAsia" w:cstheme="minorEastAsia"/>
          <w:color w:val="000000"/>
          <w:sz w:val="24"/>
          <w:szCs w:val="24"/>
          <w:lang w:val="en-US" w:eastAsia="zh-CN"/>
        </w:rPr>
        <w:t>叁</w:t>
      </w:r>
      <w:r>
        <w:rPr>
          <w:rFonts w:hint="eastAsia" w:asciiTheme="minorEastAsia" w:hAnsiTheme="minorEastAsia" w:eastAsiaTheme="minorEastAsia" w:cstheme="minorEastAsia"/>
          <w:color w:val="000000"/>
          <w:sz w:val="24"/>
          <w:szCs w:val="24"/>
        </w:rPr>
        <w:t>份签署盖章后生效。</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甲方：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乙方：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代表签字：                           代表签字：</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单位地址：                           单位地址：</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传真号：                             传真号：</w:t>
      </w:r>
    </w:p>
    <w:p>
      <w:pPr>
        <w:widowControl/>
        <w:spacing w:line="360" w:lineRule="auto"/>
        <w:ind w:firstLine="480" w:firstLineChars="200"/>
        <w:rPr>
          <w:rFonts w:hint="eastAsia" w:asciiTheme="minorEastAsia" w:hAnsiTheme="minorEastAsia" w:eastAsiaTheme="minorEastAsia" w:cstheme="minorEastAsia"/>
          <w:b/>
          <w:bCs/>
          <w:w w:val="80"/>
          <w:sz w:val="24"/>
          <w:szCs w:val="24"/>
        </w:rPr>
      </w:pPr>
      <w:r>
        <w:rPr>
          <w:rFonts w:hint="eastAsia" w:asciiTheme="minorEastAsia" w:hAnsiTheme="minorEastAsia" w:eastAsiaTheme="minorEastAsia" w:cstheme="minorEastAsia"/>
          <w:color w:val="000000"/>
          <w:kern w:val="0"/>
          <w:sz w:val="24"/>
          <w:szCs w:val="24"/>
        </w:rPr>
        <w:t>电话：                               电话：</w:t>
      </w: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eastAsia"/>
          <w:lang w:val="en-US" w:eastAsia="zh-CN"/>
        </w:rPr>
        <w:t xml:space="preserve"> </w:t>
      </w:r>
    </w:p>
    <w:p>
      <w:pPr>
        <w:rPr>
          <w:rFonts w:hint="default"/>
          <w:lang w:val="en-US" w:eastAsia="zh-CN"/>
        </w:rPr>
      </w:pPr>
    </w:p>
    <w:p>
      <w:pPr>
        <w:pStyle w:val="2"/>
        <w:ind w:left="0" w:leftChars="0" w:firstLine="0" w:firstLineChars="0"/>
        <w:rPr>
          <w:rFonts w:hint="default" w:eastAsia="宋体"/>
          <w:lang w:val="en-US" w:eastAsia="zh-CN"/>
        </w:rPr>
      </w:pPr>
    </w:p>
    <w:p>
      <w:pPr>
        <w:pStyle w:val="2"/>
        <w:numPr>
          <w:ilvl w:val="0"/>
          <w:numId w:val="0"/>
        </w:numPr>
        <w:ind w:leftChars="0"/>
        <w:jc w:val="both"/>
        <w:rPr>
          <w:rFonts w:ascii="宋体" w:hAnsi="宋体" w:cs="宋体"/>
          <w:color w:val="000000"/>
          <w:sz w:val="24"/>
          <w:szCs w:val="24"/>
        </w:rPr>
      </w:pPr>
      <w:r>
        <w:rPr>
          <w:rFonts w:hint="eastAsia"/>
          <w:lang w:val="en-US" w:eastAsia="zh-CN"/>
        </w:rPr>
        <w:br w:type="page"/>
      </w:r>
      <w:r>
        <w:rPr>
          <w:rFonts w:hint="eastAsia" w:ascii="宋体" w:hAnsi="宋体" w:cs="宋体"/>
          <w:b/>
          <w:color w:val="000000"/>
          <w:w w:val="80"/>
          <w:sz w:val="44"/>
          <w:szCs w:val="44"/>
          <w:lang w:val="en-US" w:eastAsia="zh-CN"/>
        </w:rPr>
        <w:t xml:space="preserve">                  </w:t>
      </w:r>
      <w:r>
        <w:rPr>
          <w:rFonts w:hint="eastAsia" w:ascii="宋体" w:hAnsi="宋体" w:cs="宋体"/>
          <w:b/>
          <w:color w:val="000000"/>
          <w:w w:val="80"/>
          <w:sz w:val="44"/>
          <w:szCs w:val="44"/>
        </w:rPr>
        <w:t>第六章   合同授予</w:t>
      </w:r>
    </w:p>
    <w:p>
      <w:pPr>
        <w:snapToGrid w:val="0"/>
        <w:spacing w:line="520" w:lineRule="exact"/>
        <w:ind w:firstLine="484" w:firstLineChars="202"/>
        <w:textAlignment w:val="baseline"/>
        <w:rPr>
          <w:rFonts w:ascii="宋体" w:hAnsi="宋体" w:cs="宋体"/>
          <w:kern w:val="0"/>
          <w:sz w:val="24"/>
          <w:szCs w:val="24"/>
        </w:rPr>
      </w:pPr>
      <w:r>
        <w:rPr>
          <w:rFonts w:hint="eastAsia" w:ascii="宋体" w:hAnsi="宋体" w:cs="宋体"/>
          <w:color w:val="000000"/>
          <w:sz w:val="24"/>
          <w:szCs w:val="24"/>
        </w:rPr>
        <w:t>一、由于项目服务时间紧迫，成交供应商在《成交通知书》发出后15日内必须按照磋商文件确定的事项签订采购合同。合同一式肆份，采购人，供应商</w:t>
      </w:r>
      <w:r>
        <w:rPr>
          <w:rFonts w:hint="eastAsia" w:ascii="宋体" w:hAnsi="宋体"/>
          <w:sz w:val="24"/>
          <w:szCs w:val="24"/>
        </w:rPr>
        <w:t>各贰份，其他存档备查。</w:t>
      </w:r>
      <w:r>
        <w:rPr>
          <w:rFonts w:hint="eastAsia" w:ascii="宋体" w:hAnsi="宋体" w:cs="宋体"/>
          <w:kern w:val="0"/>
          <w:sz w:val="24"/>
          <w:szCs w:val="24"/>
        </w:rPr>
        <w:t xml:space="preserve">所签合同不得对磋商文件作实质性修改。采购人不得向成交供应商提出不合理的要求作为签订合同的条件，不得与成交供应商私下订立背离磋商文件实质性内容的协议。 </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 xml:space="preserve"> 二、采购人按合同约定积极配合</w:t>
      </w:r>
      <w:r>
        <w:rPr>
          <w:rFonts w:hint="eastAsia" w:ascii="宋体" w:hAnsi="宋体" w:cs="宋体"/>
          <w:color w:val="000000"/>
          <w:sz w:val="24"/>
        </w:rPr>
        <w:t>成交供应商</w:t>
      </w:r>
      <w:r>
        <w:rPr>
          <w:rFonts w:hint="eastAsia" w:ascii="宋体" w:hAnsi="宋体" w:cs="宋体"/>
          <w:sz w:val="24"/>
          <w:szCs w:val="24"/>
        </w:rPr>
        <w:t>履约，</w:t>
      </w:r>
      <w:r>
        <w:rPr>
          <w:rFonts w:hint="eastAsia" w:ascii="宋体" w:hAnsi="宋体" w:cs="宋体"/>
          <w:color w:val="000000"/>
          <w:sz w:val="24"/>
        </w:rPr>
        <w:t>成交供应商</w:t>
      </w:r>
      <w:r>
        <w:rPr>
          <w:rFonts w:hint="eastAsia" w:ascii="宋体" w:hAnsi="宋体" w:cs="宋体"/>
          <w:sz w:val="24"/>
          <w:szCs w:val="24"/>
        </w:rPr>
        <w:t>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三、采购人故意推迟项目验收时间的，与</w:t>
      </w:r>
      <w:r>
        <w:rPr>
          <w:rFonts w:hint="eastAsia" w:ascii="宋体" w:hAnsi="宋体" w:cs="宋体"/>
          <w:color w:val="000000"/>
          <w:sz w:val="24"/>
        </w:rPr>
        <w:t>成交供应商</w:t>
      </w:r>
      <w:r>
        <w:rPr>
          <w:rFonts w:hint="eastAsia" w:ascii="宋体" w:hAnsi="宋体" w:cs="宋体"/>
          <w:sz w:val="24"/>
          <w:szCs w:val="24"/>
        </w:rPr>
        <w:t>串通或要求</w:t>
      </w:r>
      <w:r>
        <w:rPr>
          <w:rFonts w:hint="eastAsia" w:ascii="宋体" w:hAnsi="宋体" w:cs="宋体"/>
          <w:color w:val="000000"/>
          <w:sz w:val="24"/>
        </w:rPr>
        <w:t>成交供应商</w:t>
      </w:r>
      <w:r>
        <w:rPr>
          <w:rFonts w:hint="eastAsia" w:ascii="宋体" w:hAnsi="宋体" w:cs="宋体"/>
          <w:sz w:val="24"/>
          <w:szCs w:val="24"/>
        </w:rPr>
        <w:t>通过减少货物数量或降低服务标准的，在履行合同中采取更改配置、调换物品等手段的，要求</w:t>
      </w:r>
      <w:r>
        <w:rPr>
          <w:rFonts w:hint="eastAsia" w:ascii="宋体" w:hAnsi="宋体" w:cs="宋体"/>
          <w:color w:val="000000"/>
          <w:sz w:val="24"/>
        </w:rPr>
        <w:t>成交供应商</w:t>
      </w:r>
      <w:r>
        <w:rPr>
          <w:rFonts w:hint="eastAsia" w:ascii="宋体" w:hAnsi="宋体" w:cs="宋体"/>
          <w:sz w:val="24"/>
          <w:szCs w:val="24"/>
        </w:rPr>
        <w:t>出具虚假发票或任意更改销售发票的，谋取不正当利益的，承担相应的法律责任。</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四、</w:t>
      </w:r>
      <w:r>
        <w:rPr>
          <w:rFonts w:hint="eastAsia" w:ascii="宋体" w:hAnsi="宋体" w:cs="宋体"/>
          <w:color w:val="000000"/>
          <w:sz w:val="24"/>
        </w:rPr>
        <w:t>成交供应商</w:t>
      </w:r>
      <w:r>
        <w:rPr>
          <w:rFonts w:hint="eastAsia" w:ascii="宋体" w:hAnsi="宋体" w:cs="宋体"/>
          <w:sz w:val="24"/>
          <w:szCs w:val="24"/>
        </w:rPr>
        <w:t>出现违约情形，应当及时纠正或补偿；造成损失的，按合同约定追究违约责任；发现有假冒、伪劣、走私产品、商业贿赂等违法情形的，应由采购人移交工商、质监、公安等行政执法部门依法查处。</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五、不响应付款方式的，视同响应文件无效，按无效响应文件处理。</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六、付款方式详见磋商文件第五章。</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七、以上项目款的支付不计息。</w:t>
      </w:r>
    </w:p>
    <w:p>
      <w:pPr>
        <w:rPr>
          <w:rFonts w:ascii="宋体" w:hAnsi="宋体" w:cs="宋体"/>
          <w:b/>
          <w:bCs/>
          <w:kern w:val="44"/>
          <w:sz w:val="44"/>
          <w:szCs w:val="44"/>
        </w:rPr>
      </w:pPr>
    </w:p>
    <w:p>
      <w:pPr>
        <w:spacing w:line="360" w:lineRule="auto"/>
        <w:jc w:val="center"/>
        <w:rPr>
          <w:rFonts w:ascii="宋体"/>
          <w:sz w:val="24"/>
          <w:szCs w:val="24"/>
        </w:rPr>
      </w:pPr>
      <w:r>
        <w:rPr>
          <w:rFonts w:hint="eastAsia" w:ascii="宋体" w:hAnsi="宋体" w:cs="宋体"/>
          <w:b/>
          <w:bCs/>
          <w:kern w:val="44"/>
          <w:sz w:val="44"/>
          <w:szCs w:val="44"/>
        </w:rPr>
        <w:br w:type="page"/>
      </w:r>
      <w:r>
        <w:rPr>
          <w:rFonts w:hint="eastAsia" w:ascii="宋体" w:hAnsi="宋体" w:cs="宋体"/>
          <w:b/>
          <w:bCs/>
          <w:kern w:val="44"/>
          <w:sz w:val="44"/>
          <w:szCs w:val="44"/>
        </w:rPr>
        <w:t>第七章</w:t>
      </w:r>
      <w:r>
        <w:rPr>
          <w:rFonts w:ascii="宋体" w:hAnsi="宋体" w:cs="宋体"/>
          <w:b/>
          <w:bCs/>
          <w:kern w:val="44"/>
          <w:sz w:val="44"/>
          <w:szCs w:val="44"/>
        </w:rPr>
        <w:t xml:space="preserve"> </w:t>
      </w:r>
      <w:r>
        <w:rPr>
          <w:rFonts w:hint="eastAsia" w:ascii="宋体" w:hAnsi="宋体" w:cs="宋体"/>
          <w:b/>
          <w:bCs/>
          <w:kern w:val="44"/>
          <w:sz w:val="44"/>
          <w:szCs w:val="44"/>
        </w:rPr>
        <w:t>质疑提出和处理</w:t>
      </w:r>
    </w:p>
    <w:p>
      <w:pPr>
        <w:adjustRightInd w:val="0"/>
        <w:snapToGrid w:val="0"/>
        <w:spacing w:line="480" w:lineRule="exact"/>
        <w:ind w:firstLine="480" w:firstLineChars="200"/>
        <w:rPr>
          <w:rFonts w:ascii="宋体" w:hAnsi="宋体" w:cs="宋体"/>
          <w:sz w:val="24"/>
          <w:szCs w:val="24"/>
        </w:rPr>
      </w:pP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一、质疑的提出</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、质疑人必须是直接参加本次磋商活动的当事人。</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、下载磋商文件的供应商应根据第二章“磋商供应商须知”中第一条第</w:t>
      </w:r>
      <w:r>
        <w:rPr>
          <w:rFonts w:ascii="宋体" w:hAnsi="宋体" w:cs="宋体"/>
          <w:sz w:val="24"/>
          <w:szCs w:val="24"/>
        </w:rPr>
        <w:t>4</w:t>
      </w:r>
      <w:r>
        <w:rPr>
          <w:rFonts w:hint="eastAsia" w:ascii="宋体" w:hAnsi="宋体" w:cs="宋体"/>
          <w:sz w:val="24"/>
          <w:szCs w:val="24"/>
        </w:rPr>
        <w:t>款的约定提出；响应文件接收截止后，供应商未进行磋商登记的，不能就响应文件接收截止后的招投标过程、成交结果提出质疑；在磋商过程中，凡主持人或评估小组明确提出须由供应商确认的事项，供应商当场无异议的，事后不得提出质疑。</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对不能提供相关佐证材料的、涉及商业秘密的、非书面形式的、非送达的、匿名的《质疑函》将不予受理。</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相关佐证材料要具备客观性、关联性、合法性，无法查实的（如宣传册、媒体报道、猜测、推理等）不能作为佐证材料。</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采购单位或采购代理机构不负责搜集相关佐证材料等工作。</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二、《质疑函》的受理和回复</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、《质疑函》须由质疑人的法定代表人或参加本次磋商被授权人送达采购单位和采购代理机构。</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、采购单位、采购代理机构负责将质疑人提出的质疑相关材料提供给相关专家或评估小组审核，并将审核意见回复质疑人。</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、因质疑情况复杂，组织论证或审查时间较长的，采购单位、采购代理机构以书面形式通知质疑人，可适当延长质疑回复处理时间。</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三、质疑处理</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、质疑成立的处理。采购单位或采购代理机构终止采购，并建议有关部门给相关当事人予以处理。</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、质疑不成立的处理。</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）质疑人书面《申请撤回质疑函》的，不作违约处理。</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）质疑人在规定的时间内不配合进行质疑调查处理的，按自动撤回《质疑函》处理。</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）质疑人不按《质疑函》格式就提出质疑的，作违约处理。同时，视情列入不良供应商名单。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）质疑人虽提供了相关佐证材料，但不能证明其质疑成立的，采购单位或采购代理机构请质疑人补充相关佐证材料，仍不能证明其质疑成立的，作违约处理。并将其列入不良供应商名单。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）质疑人不能提供相关佐证材料的，采购单位、采购代理机构已指出，质疑人仍然坚持提出质疑的，作违约处理。同时，列入不良供应商名单。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）对明显有违事实的、经相关专家或评审小组认定无依据的、经其他供应商举证无依据的质疑，作违约处理，列入不良供应商名单；同时，对其中每一项不成立的质疑给予质疑人</w:t>
      </w:r>
      <w:r>
        <w:rPr>
          <w:rFonts w:ascii="宋体" w:hAnsi="宋体" w:cs="宋体"/>
          <w:sz w:val="24"/>
          <w:szCs w:val="24"/>
        </w:rPr>
        <w:t>1</w:t>
      </w:r>
      <w:r>
        <w:rPr>
          <w:rFonts w:hint="eastAsia" w:ascii="宋体" w:hAnsi="宋体" w:cs="宋体"/>
          <w:sz w:val="24"/>
          <w:szCs w:val="24"/>
        </w:rPr>
        <w:t>年内禁入本区域内的政府采购活动的违约处理，依次类推；视情在南通公共资源交易平台、省、国家级相关媒体予以披露。</w:t>
      </w:r>
    </w:p>
    <w:p>
      <w:pPr>
        <w:adjustRightInd w:val="0"/>
        <w:snapToGrid w:val="0"/>
        <w:spacing w:line="480" w:lineRule="exact"/>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）质疑人承担使用虚假材料或恶意方式质疑的法律责任。</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四、无佐证材料的举报作违约处理。供应商不得进行不提供相关佐证材料（含无法查实的如宣传册、媒体报道、猜测、推理等）向有关部门的举报，否则作违约处理。同时对其在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年内禁入由采购单位组织的政府采购活动的违约处理。</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五、投诉不成立的作违约处理。供应商进行质疑后，采购单位回复质疑不成立，供应商仍进行投诉的，并最终投诉不成立的，作违约处理。采购单位有权对其在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年内禁入由采购单位组织的政府采购活动的违约处理。</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六、《质疑函》、《质疑回复函》，质疑、举报、投诉不成立的等相关情况，视情在南通公共资源交易平台、省、国家级等相关媒体予以披露。并建议相关政府采购机构对该供应商同步实施</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七、质疑供应商对采购单位或代理机构的答复不满意或者采购单位或代理机构未在规定的时间内作出答复的，可以在答复期满后</w:t>
      </w:r>
      <w:r>
        <w:rPr>
          <w:rFonts w:ascii="宋体" w:hAnsi="宋体" w:cs="宋体"/>
          <w:sz w:val="24"/>
          <w:szCs w:val="24"/>
        </w:rPr>
        <w:t>15</w:t>
      </w:r>
      <w:r>
        <w:rPr>
          <w:rFonts w:hint="eastAsia" w:ascii="宋体" w:hAnsi="宋体" w:cs="宋体"/>
          <w:sz w:val="24"/>
          <w:szCs w:val="24"/>
        </w:rPr>
        <w:t>个工作日内向南通市政府采购监督管理部门投诉。</w:t>
      </w:r>
    </w:p>
    <w:p>
      <w:pPr>
        <w:pStyle w:val="5"/>
        <w:keepNext w:val="0"/>
        <w:keepLines w:val="0"/>
        <w:numPr>
          <w:ilvl w:val="0"/>
          <w:numId w:val="0"/>
        </w:numPr>
        <w:snapToGrid w:val="0"/>
        <w:spacing w:before="0" w:after="156" w:afterLines="50" w:line="520" w:lineRule="exact"/>
        <w:ind w:left="420"/>
        <w:jc w:val="center"/>
        <w:rPr>
          <w:rFonts w:ascii="宋体"/>
        </w:rPr>
      </w:pPr>
      <w:bookmarkStart w:id="68" w:name="_Toc363573860"/>
      <w:r>
        <w:rPr>
          <w:rFonts w:ascii="宋体"/>
          <w:w w:val="80"/>
          <w:sz w:val="24"/>
          <w:szCs w:val="24"/>
        </w:rPr>
        <w:br w:type="page"/>
      </w:r>
      <w:r>
        <w:rPr>
          <w:rFonts w:hint="eastAsia" w:ascii="宋体" w:hAnsi="宋体" w:cs="宋体"/>
          <w:w w:val="80"/>
        </w:rPr>
        <w:t>第八章</w:t>
      </w:r>
      <w:r>
        <w:rPr>
          <w:rFonts w:hint="eastAsia" w:ascii="宋体" w:hAnsi="宋体" w:cs="宋体"/>
          <w:w w:val="80"/>
          <w:lang w:val="en-US" w:eastAsia="zh-CN"/>
        </w:rPr>
        <w:t xml:space="preserve"> </w:t>
      </w:r>
      <w:r>
        <w:rPr>
          <w:rFonts w:hint="eastAsia" w:ascii="宋体" w:hAnsi="宋体" w:cs="宋体"/>
          <w:w w:val="80"/>
        </w:rPr>
        <w:t>响应文件组成及格式</w:t>
      </w:r>
      <w:bookmarkEnd w:id="68"/>
    </w:p>
    <w:p>
      <w:pPr>
        <w:widowControl/>
        <w:snapToGrid w:val="0"/>
        <w:spacing w:line="360" w:lineRule="auto"/>
        <w:ind w:firstLine="472" w:firstLineChars="196"/>
        <w:jc w:val="left"/>
        <w:rPr>
          <w:rFonts w:ascii="宋体" w:hAnsi="宋体" w:cs="宋体"/>
          <w:b/>
          <w:bCs/>
          <w:sz w:val="24"/>
          <w:szCs w:val="24"/>
        </w:rPr>
      </w:pPr>
    </w:p>
    <w:p>
      <w:pPr>
        <w:widowControl/>
        <w:snapToGrid w:val="0"/>
        <w:spacing w:line="360" w:lineRule="auto"/>
        <w:ind w:firstLine="472" w:firstLineChars="196"/>
        <w:jc w:val="left"/>
        <w:rPr>
          <w:rFonts w:ascii="宋体"/>
          <w:b/>
          <w:bCs/>
          <w:sz w:val="24"/>
          <w:szCs w:val="24"/>
        </w:rPr>
      </w:pPr>
      <w:r>
        <w:rPr>
          <w:rFonts w:hint="eastAsia" w:ascii="宋体" w:hAnsi="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widowControl/>
        <w:numPr>
          <w:ilvl w:val="0"/>
          <w:numId w:val="7"/>
        </w:numPr>
        <w:snapToGrid w:val="0"/>
        <w:spacing w:line="360" w:lineRule="auto"/>
        <w:ind w:firstLine="472" w:firstLineChars="196"/>
        <w:jc w:val="left"/>
        <w:rPr>
          <w:rFonts w:ascii="宋体"/>
          <w:b/>
          <w:bCs/>
          <w:sz w:val="24"/>
          <w:szCs w:val="24"/>
          <w:lang w:val="zh-CN"/>
        </w:rPr>
      </w:pPr>
      <w:r>
        <w:rPr>
          <w:rFonts w:hint="eastAsia" w:ascii="宋体" w:hAnsi="宋体" w:cs="宋体"/>
          <w:b/>
          <w:bCs/>
          <w:sz w:val="24"/>
          <w:szCs w:val="24"/>
        </w:rPr>
        <w:t>资格审查文件</w:t>
      </w:r>
      <w:r>
        <w:rPr>
          <w:rFonts w:hint="eastAsia" w:ascii="宋体" w:hAnsi="宋体" w:cs="宋体"/>
          <w:b/>
          <w:bCs/>
          <w:sz w:val="24"/>
          <w:szCs w:val="24"/>
          <w:lang w:val="zh-CN"/>
        </w:rPr>
        <w:t>（</w:t>
      </w:r>
      <w:r>
        <w:rPr>
          <w:rFonts w:hint="eastAsia" w:ascii="宋体" w:hAnsi="宋体" w:cs="宋体"/>
          <w:b/>
          <w:bCs/>
          <w:sz w:val="24"/>
          <w:szCs w:val="24"/>
        </w:rPr>
        <w:t>单独密封</w:t>
      </w:r>
      <w:r>
        <w:rPr>
          <w:rFonts w:hint="eastAsia" w:ascii="宋体" w:hAnsi="宋体" w:cs="宋体"/>
          <w:b/>
          <w:bCs/>
          <w:sz w:val="24"/>
          <w:szCs w:val="24"/>
          <w:lang w:val="zh-CN"/>
        </w:rPr>
        <w:t>）</w:t>
      </w:r>
    </w:p>
    <w:p>
      <w:pPr>
        <w:numPr>
          <w:ilvl w:val="0"/>
          <w:numId w:val="8"/>
        </w:numPr>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供应商必须有能力按本磋商文件规定的要求提供相关服务，须提供有效的三证合一的企业法人营业执照复印件或扫描件。</w:t>
      </w:r>
    </w:p>
    <w:p>
      <w:pPr>
        <w:widowControl/>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2、 提供供应商的法定代表人或负责人身份证明及身份证原件的复印件或扫描件（须加盖供应商公章，格式参见竞争性磋商文件第八章）；</w:t>
      </w:r>
    </w:p>
    <w:p>
      <w:pPr>
        <w:widowControl/>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3、如为被委托受权人参加竞争性磋商的，还必须提供法定代表人或负责人签名或盖章的授权委托书及被委托受权人身份证这两项原件的复印件或扫描件（须加盖供应商公章，格式参见竞争性磋商文件第八章）；</w:t>
      </w:r>
    </w:p>
    <w:p>
      <w:pPr>
        <w:snapToGrid w:val="0"/>
        <w:spacing w:line="360" w:lineRule="auto"/>
        <w:ind w:firstLine="480" w:firstLineChars="200"/>
        <w:textAlignment w:val="baseline"/>
        <w:rPr>
          <w:rFonts w:hint="eastAsia" w:eastAsiaTheme="minorEastAsia"/>
          <w:lang w:eastAsia="zh-CN"/>
        </w:rPr>
      </w:pPr>
      <w:r>
        <w:rPr>
          <w:rFonts w:hint="eastAsia" w:ascii="宋体" w:hAnsi="宋体" w:cs="宋体"/>
          <w:sz w:val="24"/>
          <w:szCs w:val="24"/>
        </w:rPr>
        <w:t>4、</w:t>
      </w:r>
      <w:r>
        <w:rPr>
          <w:rFonts w:hint="eastAsia" w:ascii="宋体" w:hAnsi="宋体" w:cs="宋体"/>
          <w:sz w:val="24"/>
          <w:szCs w:val="24"/>
          <w:lang w:val="en-US" w:eastAsia="zh-CN"/>
        </w:rPr>
        <w:t>供应商</w:t>
      </w:r>
      <w:r>
        <w:rPr>
          <w:rFonts w:hint="eastAsia" w:asciiTheme="minorEastAsia" w:hAnsiTheme="minorEastAsia" w:eastAsiaTheme="minorEastAsia"/>
          <w:sz w:val="24"/>
          <w:szCs w:val="24"/>
          <w:highlight w:val="none"/>
        </w:rPr>
        <w:t>具有《中华人民共和国特种设备安装改造维修许可证》（电梯）曳引与强制驱动电梯（或乘客电梯）安装、维修B级及以上资质或《中华人民共和国特种设备生产许可证》（电梯）曳引驱动乘客电梯（含消防员电梯）B级及以上资质</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提供有效的资质证书</w:t>
      </w:r>
      <w:r>
        <w:rPr>
          <w:rFonts w:hint="eastAsia" w:asciiTheme="minorEastAsia" w:hAnsiTheme="minorEastAsia" w:eastAsiaTheme="minorEastAsia"/>
          <w:sz w:val="24"/>
          <w:szCs w:val="24"/>
          <w:highlight w:val="none"/>
        </w:rPr>
        <w:t>的原件的复印件（须加盖公章）</w:t>
      </w:r>
      <w:r>
        <w:rPr>
          <w:rFonts w:hint="eastAsia" w:asciiTheme="minorEastAsia" w:hAnsiTheme="minorEastAsia" w:eastAsiaTheme="minorEastAsia"/>
          <w:sz w:val="24"/>
          <w:szCs w:val="24"/>
          <w:highlight w:val="none"/>
          <w:lang w:eastAsia="zh-CN"/>
        </w:rPr>
        <w:t>；</w:t>
      </w:r>
    </w:p>
    <w:p>
      <w:pPr>
        <w:pStyle w:val="2"/>
        <w:snapToGrid w:val="0"/>
        <w:spacing w:after="0"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5、</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符合《政府采购法》第二十二条规定条件的承诺函</w:t>
      </w:r>
      <w:r>
        <w:rPr>
          <w:rFonts w:hint="eastAsia" w:ascii="宋体" w:hAnsi="宋体" w:cs="宋体"/>
          <w:sz w:val="24"/>
          <w:szCs w:val="24"/>
        </w:rPr>
        <w:t>（格式参见竞争性磋商文件第八章）</w:t>
      </w:r>
      <w:r>
        <w:rPr>
          <w:rFonts w:hint="eastAsia" w:ascii="宋体" w:hAnsi="宋体" w:eastAsia="宋体" w:cs="宋体"/>
          <w:kern w:val="0"/>
          <w:sz w:val="24"/>
          <w:szCs w:val="24"/>
          <w:lang w:val="zh-CN"/>
        </w:rPr>
        <w:t>；</w:t>
      </w:r>
    </w:p>
    <w:p>
      <w:pPr>
        <w:pStyle w:val="2"/>
        <w:snapToGrid w:val="0"/>
        <w:spacing w:after="0" w:line="360" w:lineRule="auto"/>
        <w:ind w:firstLine="480"/>
      </w:pPr>
      <w:r>
        <w:rPr>
          <w:rFonts w:hint="eastAsia" w:ascii="宋体" w:hAnsi="宋体" w:cs="宋体"/>
          <w:bCs/>
          <w:color w:val="000000"/>
          <w:sz w:val="24"/>
          <w:szCs w:val="24"/>
          <w:lang w:val="en-US" w:eastAsia="zh-CN"/>
        </w:rPr>
        <w:t>6、</w:t>
      </w:r>
      <w:r>
        <w:rPr>
          <w:rFonts w:hint="eastAsia" w:ascii="宋体" w:hAnsi="宋体" w:cs="宋体"/>
          <w:bCs/>
          <w:color w:val="000000"/>
          <w:sz w:val="24"/>
          <w:szCs w:val="24"/>
        </w:rPr>
        <w:t>供应商一般情况表（格式参见第八章）</w:t>
      </w:r>
      <w:r>
        <w:rPr>
          <w:rFonts w:hint="eastAsia" w:ascii="宋体" w:hAnsi="宋体" w:cs="宋体"/>
          <w:sz w:val="24"/>
          <w:szCs w:val="24"/>
        </w:rPr>
        <w:t>。</w:t>
      </w:r>
    </w:p>
    <w:p>
      <w:pPr>
        <w:snapToGrid w:val="0"/>
        <w:spacing w:line="360" w:lineRule="auto"/>
        <w:ind w:firstLine="482" w:firstLineChars="200"/>
        <w:textAlignment w:val="baseline"/>
        <w:rPr>
          <w:rFonts w:ascii="宋体" w:hAnsi="宋体" w:cs="宋体"/>
          <w:sz w:val="24"/>
          <w:szCs w:val="24"/>
        </w:rPr>
      </w:pPr>
      <w:r>
        <w:rPr>
          <w:rFonts w:hint="eastAsia" w:ascii="宋体" w:hAnsi="宋体" w:cs="宋体"/>
          <w:b/>
          <w:bCs/>
          <w:sz w:val="24"/>
          <w:szCs w:val="24"/>
        </w:rPr>
        <w:t>注：以上材料如为复印件或扫描件均需加盖单位公章，要求提供原件查验的，因携带原件不全而由此引起的后果由投标人自负。</w:t>
      </w:r>
    </w:p>
    <w:p>
      <w:pPr>
        <w:widowControl/>
        <w:snapToGrid w:val="0"/>
        <w:spacing w:line="360" w:lineRule="auto"/>
        <w:ind w:firstLine="472" w:firstLineChars="196"/>
        <w:jc w:val="left"/>
        <w:textAlignment w:val="baseline"/>
        <w:rPr>
          <w:rFonts w:ascii="宋体" w:hAnsi="宋体"/>
          <w:b/>
          <w:sz w:val="24"/>
          <w:szCs w:val="24"/>
        </w:rPr>
      </w:pPr>
      <w:r>
        <w:rPr>
          <w:rFonts w:hint="eastAsia" w:ascii="宋体" w:hAnsi="宋体"/>
          <w:b/>
          <w:sz w:val="24"/>
          <w:szCs w:val="24"/>
        </w:rPr>
        <w:t>二、技术响应文件（单独密封）</w:t>
      </w:r>
    </w:p>
    <w:p>
      <w:pPr>
        <w:widowControl/>
        <w:snapToGrid w:val="0"/>
        <w:spacing w:line="360" w:lineRule="auto"/>
        <w:ind w:firstLine="470" w:firstLineChars="196"/>
        <w:jc w:val="left"/>
        <w:textAlignment w:val="baseline"/>
        <w:rPr>
          <w:rFonts w:ascii="宋体" w:hAnsi="宋体"/>
          <w:sz w:val="24"/>
          <w:szCs w:val="24"/>
        </w:rPr>
      </w:pPr>
      <w:r>
        <w:rPr>
          <w:rFonts w:hint="eastAsia" w:ascii="宋体" w:hAnsi="宋体"/>
          <w:sz w:val="24"/>
          <w:szCs w:val="24"/>
        </w:rPr>
        <w:t>1、竞争性磋商响应函（格式参见第八章）；</w:t>
      </w:r>
    </w:p>
    <w:p>
      <w:pPr>
        <w:widowControl/>
        <w:snapToGrid w:val="0"/>
        <w:spacing w:line="360" w:lineRule="auto"/>
        <w:ind w:firstLine="470" w:firstLineChars="196"/>
        <w:jc w:val="left"/>
        <w:textAlignment w:val="baseline"/>
        <w:rPr>
          <w:rFonts w:ascii="宋体" w:hAnsi="宋体" w:cs="宋体"/>
          <w:sz w:val="24"/>
          <w:szCs w:val="24"/>
        </w:rPr>
      </w:pPr>
      <w:r>
        <w:rPr>
          <w:rFonts w:hint="eastAsia" w:ascii="宋体" w:hAnsi="宋体"/>
          <w:sz w:val="24"/>
          <w:szCs w:val="24"/>
        </w:rPr>
        <w:t>2、</w:t>
      </w:r>
      <w:r>
        <w:rPr>
          <w:rFonts w:hint="eastAsia" w:ascii="宋体" w:hAnsi="宋体" w:cs="宋体"/>
          <w:sz w:val="24"/>
          <w:szCs w:val="24"/>
        </w:rPr>
        <w:t>评标办法和项目需求中所涉及的事项需提供的所有资料；</w:t>
      </w:r>
    </w:p>
    <w:p>
      <w:pPr>
        <w:snapToGrid w:val="0"/>
        <w:spacing w:line="360" w:lineRule="auto"/>
        <w:ind w:firstLine="480" w:firstLineChars="200"/>
        <w:jc w:val="left"/>
        <w:textAlignment w:val="baseline"/>
        <w:rPr>
          <w:sz w:val="24"/>
          <w:szCs w:val="24"/>
        </w:rPr>
      </w:pPr>
      <w:r>
        <w:rPr>
          <w:rFonts w:hint="eastAsia" w:ascii="宋体" w:hAnsi="宋体" w:cs="宋体"/>
          <w:sz w:val="24"/>
          <w:szCs w:val="24"/>
          <w:lang w:val="en-US" w:eastAsia="zh-CN"/>
        </w:rPr>
        <w:t>3</w:t>
      </w:r>
      <w:r>
        <w:rPr>
          <w:rFonts w:hint="eastAsia" w:ascii="宋体" w:hAnsi="宋体" w:cs="宋体"/>
          <w:sz w:val="24"/>
          <w:szCs w:val="24"/>
        </w:rPr>
        <w:t>、评标办法和项目需求中未涉及的事项，供应商认为需要提交的其他资料。</w:t>
      </w:r>
    </w:p>
    <w:p>
      <w:pPr>
        <w:widowControl/>
        <w:snapToGrid w:val="0"/>
        <w:spacing w:line="360" w:lineRule="auto"/>
        <w:ind w:firstLine="470" w:firstLineChars="196"/>
        <w:jc w:val="left"/>
        <w:textAlignment w:val="baseline"/>
        <w:rPr>
          <w:rFonts w:ascii="宋体" w:hAnsi="宋体" w:cs="宋体"/>
          <w:bCs/>
          <w:color w:val="000000"/>
          <w:sz w:val="24"/>
          <w:szCs w:val="24"/>
        </w:rPr>
      </w:pPr>
      <w:r>
        <w:rPr>
          <w:rFonts w:hint="eastAsia" w:ascii="宋体" w:hAnsi="宋体"/>
          <w:sz w:val="24"/>
          <w:szCs w:val="24"/>
        </w:rPr>
        <w:t>注：为方便评委评审，请供应商按评标办法中所涉及的事项顺序进行编制，可以补充相</w:t>
      </w:r>
      <w:r>
        <w:rPr>
          <w:rFonts w:hint="eastAsia" w:ascii="宋体" w:hAnsi="宋体" w:cs="宋体"/>
          <w:color w:val="000000"/>
          <w:sz w:val="24"/>
          <w:szCs w:val="24"/>
        </w:rPr>
        <w:t>关材料；</w:t>
      </w:r>
    </w:p>
    <w:p>
      <w:pPr>
        <w:widowControl/>
        <w:snapToGrid w:val="0"/>
        <w:spacing w:line="360" w:lineRule="auto"/>
        <w:ind w:firstLine="472" w:firstLineChars="196"/>
        <w:jc w:val="left"/>
        <w:rPr>
          <w:rFonts w:ascii="宋体"/>
          <w:b/>
          <w:bCs/>
          <w:sz w:val="24"/>
          <w:szCs w:val="24"/>
        </w:rPr>
      </w:pPr>
      <w:r>
        <w:rPr>
          <w:rFonts w:hint="eastAsia" w:ascii="宋体" w:hAnsi="宋体" w:cs="宋体"/>
          <w:b/>
          <w:bCs/>
          <w:sz w:val="24"/>
          <w:szCs w:val="24"/>
        </w:rPr>
        <w:t>三、商务报价响应文件（单独密封）</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lang w:val="zh-CN"/>
        </w:rPr>
        <w:t>1、</w:t>
      </w:r>
      <w:r>
        <w:rPr>
          <w:rFonts w:hint="eastAsia" w:ascii="宋体" w:hAnsi="宋体" w:cs="宋体"/>
          <w:bCs/>
          <w:color w:val="000000"/>
          <w:sz w:val="24"/>
          <w:szCs w:val="24"/>
        </w:rPr>
        <w:t>磋商</w:t>
      </w:r>
      <w:r>
        <w:rPr>
          <w:rFonts w:hint="eastAsia" w:ascii="宋体" w:hAnsi="宋体" w:cs="宋体"/>
          <w:bCs/>
          <w:color w:val="000000"/>
          <w:sz w:val="24"/>
          <w:szCs w:val="24"/>
          <w:lang w:val="zh-CN"/>
        </w:rPr>
        <w:t>响应报价总表（格式参见第八章）；</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中小企业声明函（</w:t>
      </w:r>
      <w:r>
        <w:rPr>
          <w:rFonts w:hint="eastAsia" w:ascii="宋体" w:hAnsi="宋体" w:cs="宋体"/>
          <w:bCs/>
          <w:color w:val="000000"/>
          <w:sz w:val="24"/>
          <w:szCs w:val="24"/>
        </w:rPr>
        <w:t>如有）</w:t>
      </w:r>
      <w:r>
        <w:rPr>
          <w:rFonts w:hint="eastAsia" w:ascii="宋体" w:hAnsi="宋体" w:cs="宋体"/>
          <w:bCs/>
          <w:color w:val="000000"/>
          <w:sz w:val="24"/>
          <w:szCs w:val="24"/>
          <w:lang w:val="zh-CN"/>
        </w:rPr>
        <w:t>。</w:t>
      </w:r>
    </w:p>
    <w:p>
      <w:pPr>
        <w:widowControl/>
        <w:snapToGrid w:val="0"/>
        <w:spacing w:line="360" w:lineRule="auto"/>
        <w:jc w:val="left"/>
        <w:rPr>
          <w:rFonts w:ascii="宋体"/>
          <w:b/>
          <w:bCs/>
          <w:sz w:val="28"/>
          <w:szCs w:val="28"/>
        </w:rPr>
      </w:pPr>
      <w:r>
        <w:rPr>
          <w:rFonts w:ascii="宋体"/>
          <w:b/>
          <w:bCs/>
          <w:sz w:val="28"/>
          <w:szCs w:val="28"/>
          <w:highlight w:val="yellow"/>
        </w:rPr>
        <w:br w:type="page"/>
      </w:r>
      <w:r>
        <w:rPr>
          <w:rFonts w:hint="eastAsia" w:ascii="宋体" w:hAnsi="宋体" w:cs="宋体"/>
          <w:b/>
          <w:bCs/>
          <w:sz w:val="28"/>
          <w:szCs w:val="28"/>
        </w:rPr>
        <w:t>附件：</w:t>
      </w:r>
    </w:p>
    <w:p>
      <w:pPr>
        <w:snapToGrid w:val="0"/>
        <w:spacing w:line="520" w:lineRule="exact"/>
        <w:jc w:val="center"/>
        <w:outlineLvl w:val="3"/>
        <w:rPr>
          <w:rFonts w:ascii="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napToGrid w:val="0"/>
        <w:spacing w:line="520" w:lineRule="exact"/>
        <w:jc w:val="center"/>
        <w:rPr>
          <w:rFonts w:ascii="宋体"/>
          <w:sz w:val="24"/>
          <w:szCs w:val="24"/>
        </w:rPr>
      </w:pPr>
    </w:p>
    <w:p>
      <w:pPr>
        <w:snapToGrid w:val="0"/>
        <w:spacing w:line="520" w:lineRule="exact"/>
        <w:jc w:val="center"/>
        <w:rPr>
          <w:rFonts w:ascii="宋体"/>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r>
        <w:rPr>
          <w:rFonts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sz w:val="24"/>
          <w:szCs w:val="24"/>
        </w:rPr>
      </w:pPr>
      <w:r>
        <w:rPr>
          <w:rFonts w:hint="eastAsia" w:cs="宋体"/>
          <w:sz w:val="24"/>
          <w:szCs w:val="24"/>
          <w:u w:val="single" w:color="000000"/>
        </w:rPr>
        <w:t>　　　　　</w:t>
      </w:r>
      <w:r>
        <w:rPr>
          <w:rFonts w:hint="eastAsia" w:cs="宋体"/>
          <w:sz w:val="24"/>
          <w:szCs w:val="24"/>
        </w:rPr>
        <w:t>（先生／女士）现任我单位</w:t>
      </w:r>
      <w:r>
        <w:rPr>
          <w:rFonts w:hint="eastAsia" w:cs="宋体"/>
          <w:sz w:val="24"/>
          <w:szCs w:val="24"/>
          <w:u w:val="single" w:color="000000"/>
        </w:rPr>
        <w:t>　　　　 　　　</w:t>
      </w:r>
      <w:r>
        <w:rPr>
          <w:rFonts w:hint="eastAsia" w:cs="宋体"/>
          <w:sz w:val="24"/>
          <w:szCs w:val="24"/>
        </w:rPr>
        <w:t>职务，为法定代表人，特此证明。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cs="宋体"/>
          <w:sz w:val="24"/>
          <w:szCs w:val="24"/>
        </w:rPr>
      </w:pPr>
      <w:r>
        <w:rPr>
          <w:rFonts w:hint="eastAsia" w:cs="宋体"/>
          <w:sz w:val="24"/>
          <w:szCs w:val="24"/>
        </w:rPr>
        <w:t>身份证号码：</w:t>
      </w:r>
    </w:p>
    <w:p>
      <w:pPr>
        <w:snapToGrid w:val="0"/>
        <w:spacing w:line="420" w:lineRule="exact"/>
        <w:ind w:firstLine="480" w:firstLineChars="200"/>
        <w:textAlignment w:val="baseline"/>
        <w:rPr>
          <w:rFonts w:cs="宋体"/>
          <w:sz w:val="24"/>
          <w:szCs w:val="24"/>
        </w:rPr>
      </w:pPr>
    </w:p>
    <w:p>
      <w:pPr>
        <w:snapToGrid w:val="0"/>
        <w:spacing w:line="420" w:lineRule="exact"/>
        <w:ind w:firstLine="480" w:firstLineChars="200"/>
        <w:textAlignment w:val="baseline"/>
        <w:rPr>
          <w:sz w:val="24"/>
          <w:szCs w:val="24"/>
          <w:u w:val="single"/>
        </w:rPr>
      </w:pPr>
    </w:p>
    <w:p>
      <w:pPr>
        <w:snapToGrid w:val="0"/>
        <w:spacing w:line="520" w:lineRule="exact"/>
        <w:jc w:val="right"/>
        <w:textAlignment w:val="baseline"/>
        <w:rPr>
          <w:rFonts w:ascii="宋体" w:hAnsi="宋体" w:cs="宋体"/>
          <w:color w:val="000000"/>
          <w:sz w:val="24"/>
          <w:szCs w:val="24"/>
        </w:rPr>
      </w:pPr>
      <w:r>
        <w:rPr>
          <w:rFonts w:hint="eastAsia" w:cs="宋体"/>
          <w:sz w:val="24"/>
          <w:szCs w:val="24"/>
        </w:rPr>
        <w:t xml:space="preserve">                      </w:t>
      </w:r>
      <w:r>
        <w:rPr>
          <w:rFonts w:hint="eastAsia" w:ascii="宋体" w:hAnsi="宋体" w:cs="宋体"/>
          <w:color w:val="000000"/>
          <w:sz w:val="24"/>
          <w:szCs w:val="24"/>
        </w:rPr>
        <w:t>竞争性磋商响应单位：（加盖公章）</w:t>
      </w:r>
    </w:p>
    <w:p>
      <w:pPr>
        <w:snapToGrid w:val="0"/>
        <w:spacing w:line="420" w:lineRule="exact"/>
        <w:ind w:right="960" w:firstLine="484" w:firstLineChars="202"/>
        <w:jc w:val="center"/>
        <w:textAlignment w:val="baseline"/>
        <w:rPr>
          <w:sz w:val="20"/>
        </w:rPr>
      </w:pPr>
      <w:r>
        <w:rPr>
          <w:rFonts w:hint="eastAsia" w:ascii="宋体" w:hAnsi="宋体" w:cs="宋体"/>
          <w:color w:val="000000"/>
          <w:sz w:val="24"/>
          <w:szCs w:val="24"/>
        </w:rPr>
        <w:t xml:space="preserve">                                            年      月     日</w:t>
      </w:r>
    </w:p>
    <w:p>
      <w:pPr>
        <w:snapToGrid w:val="0"/>
        <w:spacing w:line="420" w:lineRule="exact"/>
        <w:ind w:firstLine="404" w:firstLineChars="202"/>
        <w:jc w:val="left"/>
        <w:textAlignment w:val="baseline"/>
        <w:rPr>
          <w:sz w:val="20"/>
        </w:rPr>
      </w:pPr>
    </w:p>
    <w:tbl>
      <w:tblPr>
        <w:tblStyle w:val="53"/>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法定代表人身份证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jc w:val="center"/>
        <w:textAlignment w:val="baseline"/>
        <w:rPr>
          <w:sz w:val="20"/>
        </w:rPr>
      </w:pPr>
    </w:p>
    <w:p>
      <w:pPr>
        <w:snapToGrid w:val="0"/>
        <w:spacing w:line="360" w:lineRule="auto"/>
        <w:ind w:firstLine="480" w:firstLineChars="200"/>
        <w:jc w:val="left"/>
        <w:textAlignment w:val="baseline"/>
        <w:rPr>
          <w:rFonts w:cs="宋体"/>
          <w:sz w:val="24"/>
          <w:szCs w:val="24"/>
        </w:rPr>
      </w:pPr>
      <w:r>
        <w:rPr>
          <w:rFonts w:hint="eastAsia" w:cs="宋体"/>
          <w:sz w:val="24"/>
          <w:szCs w:val="24"/>
        </w:rPr>
        <w:t>注：如为法定代表人参加项目</w:t>
      </w:r>
      <w:r>
        <w:rPr>
          <w:rFonts w:hint="eastAsia" w:ascii="宋体" w:hAnsi="宋体" w:cs="宋体"/>
          <w:color w:val="000000"/>
          <w:sz w:val="24"/>
          <w:szCs w:val="24"/>
        </w:rPr>
        <w:t>竞争性磋商响应</w:t>
      </w:r>
      <w:r>
        <w:rPr>
          <w:rFonts w:hint="eastAsia" w:cs="宋体"/>
          <w:sz w:val="24"/>
          <w:szCs w:val="24"/>
        </w:rPr>
        <w:t>，须将身份证原件带至竞争性磋商现场备查。</w:t>
      </w:r>
    </w:p>
    <w:p>
      <w:pPr>
        <w:snapToGrid w:val="0"/>
        <w:spacing w:line="360" w:lineRule="auto"/>
        <w:ind w:firstLine="480" w:firstLineChars="200"/>
        <w:jc w:val="left"/>
        <w:textAlignment w:val="baseline"/>
        <w:rPr>
          <w:rFonts w:cs="宋体"/>
          <w:sz w:val="24"/>
          <w:szCs w:val="24"/>
        </w:rPr>
      </w:pPr>
      <w:r>
        <w:rPr>
          <w:rFonts w:hint="eastAsia" w:cs="宋体"/>
          <w:sz w:val="24"/>
          <w:szCs w:val="24"/>
        </w:rPr>
        <w:t>如为被委托受权人参加项目竞争性</w:t>
      </w:r>
      <w:r>
        <w:rPr>
          <w:rFonts w:hint="eastAsia" w:ascii="宋体" w:hAnsi="宋体" w:cs="宋体"/>
          <w:color w:val="000000"/>
          <w:sz w:val="24"/>
          <w:szCs w:val="24"/>
        </w:rPr>
        <w:t>磋商</w:t>
      </w:r>
      <w:r>
        <w:rPr>
          <w:rFonts w:hint="eastAsia" w:cs="宋体"/>
          <w:sz w:val="24"/>
          <w:szCs w:val="24"/>
        </w:rPr>
        <w:t>响应，无须将法定代表人身份证原件带至竞争性</w:t>
      </w:r>
      <w:r>
        <w:rPr>
          <w:rFonts w:hint="eastAsia" w:ascii="宋体" w:hAnsi="宋体" w:cs="宋体"/>
          <w:color w:val="000000"/>
          <w:sz w:val="24"/>
          <w:szCs w:val="24"/>
        </w:rPr>
        <w:t>磋商</w:t>
      </w:r>
      <w:r>
        <w:rPr>
          <w:rFonts w:hint="eastAsia" w:cs="宋体"/>
          <w:sz w:val="24"/>
          <w:szCs w:val="24"/>
        </w:rPr>
        <w:t>现场备查，仅需提供本证明。</w:t>
      </w:r>
    </w:p>
    <w:p>
      <w:pPr>
        <w:snapToGrid w:val="0"/>
        <w:spacing w:line="520" w:lineRule="exact"/>
        <w:ind w:firstLine="482" w:firstLineChars="200"/>
        <w:rPr>
          <w:rFonts w:ascii="宋体"/>
          <w:b/>
          <w:bCs/>
          <w:sz w:val="24"/>
          <w:szCs w:val="24"/>
        </w:rPr>
      </w:pPr>
    </w:p>
    <w:p>
      <w:pPr>
        <w:snapToGrid w:val="0"/>
        <w:spacing w:line="520" w:lineRule="exact"/>
        <w:jc w:val="center"/>
        <w:outlineLvl w:val="3"/>
        <w:rPr>
          <w:rFonts w:ascii="宋体"/>
          <w:b/>
          <w:bCs/>
          <w:sz w:val="28"/>
          <w:szCs w:val="28"/>
        </w:rPr>
      </w:pPr>
      <w:r>
        <w:rPr>
          <w:rFonts w:ascii="宋体"/>
          <w:b/>
          <w:bCs/>
          <w:sz w:val="24"/>
          <w:szCs w:val="24"/>
        </w:rPr>
        <w:br w:type="page"/>
      </w:r>
      <w:r>
        <w:rPr>
          <w:rFonts w:ascii="宋体" w:hAnsi="宋体" w:cs="宋体"/>
          <w:b/>
          <w:bCs/>
          <w:sz w:val="28"/>
          <w:szCs w:val="28"/>
        </w:rPr>
        <w:t>2</w:t>
      </w:r>
      <w:r>
        <w:rPr>
          <w:rFonts w:hint="eastAsia" w:ascii="宋体" w:hAnsi="宋体" w:cs="宋体"/>
          <w:b/>
          <w:bCs/>
          <w:sz w:val="28"/>
          <w:szCs w:val="28"/>
        </w:rPr>
        <w:t>、授权委托书</w:t>
      </w:r>
    </w:p>
    <w:p>
      <w:pPr>
        <w:snapToGrid w:val="0"/>
        <w:spacing w:line="520" w:lineRule="exact"/>
        <w:jc w:val="center"/>
        <w:rPr>
          <w:rFonts w:ascii="宋体"/>
          <w:sz w:val="24"/>
          <w:szCs w:val="24"/>
        </w:rPr>
      </w:pPr>
      <w:r>
        <w:rPr>
          <w:rFonts w:hint="eastAsia" w:ascii="宋体" w:hAnsi="宋体" w:cs="宋体"/>
          <w:sz w:val="24"/>
          <w:szCs w:val="24"/>
        </w:rPr>
        <w:t>（如被授权人参加磋商，须出示此证明）</w:t>
      </w:r>
    </w:p>
    <w:p>
      <w:pPr>
        <w:snapToGrid w:val="0"/>
        <w:spacing w:line="520" w:lineRule="exact"/>
        <w:jc w:val="center"/>
        <w:rPr>
          <w:rFonts w:ascii="宋体"/>
          <w:sz w:val="24"/>
          <w:szCs w:val="24"/>
        </w:rPr>
      </w:pPr>
    </w:p>
    <w:p>
      <w:pPr>
        <w:snapToGrid w:val="0"/>
        <w:spacing w:line="360" w:lineRule="auto"/>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p>
    <w:p>
      <w:pPr>
        <w:snapToGrid w:val="0"/>
        <w:spacing w:line="360" w:lineRule="auto"/>
        <w:ind w:firstLine="484" w:firstLineChars="202"/>
        <w:textAlignment w:val="baseline"/>
        <w:rPr>
          <w:sz w:val="24"/>
          <w:szCs w:val="24"/>
        </w:rPr>
      </w:pPr>
      <w:r>
        <w:rPr>
          <w:rFonts w:hint="eastAsia" w:cs="宋体"/>
          <w:sz w:val="24"/>
          <w:szCs w:val="24"/>
        </w:rPr>
        <w:t>本授权委托书声明：我</w:t>
      </w:r>
      <w:r>
        <w:rPr>
          <w:rFonts w:hint="eastAsia" w:cs="宋体"/>
          <w:sz w:val="24"/>
          <w:szCs w:val="24"/>
          <w:u w:val="single" w:color="000000"/>
        </w:rPr>
        <w:t xml:space="preserve">　    </w:t>
      </w:r>
      <w:r>
        <w:rPr>
          <w:rFonts w:hint="eastAsia" w:cs="宋体"/>
          <w:sz w:val="24"/>
          <w:szCs w:val="24"/>
        </w:rPr>
        <w:t>（姓名）系</w:t>
      </w:r>
      <w:r>
        <w:rPr>
          <w:rFonts w:hint="eastAsia" w:cs="宋体"/>
          <w:sz w:val="24"/>
          <w:szCs w:val="24"/>
          <w:u w:val="single" w:color="000000"/>
        </w:rPr>
        <w:t xml:space="preserve">　            </w:t>
      </w:r>
      <w:r>
        <w:rPr>
          <w:rFonts w:hint="eastAsia" w:cs="宋体"/>
          <w:sz w:val="24"/>
          <w:szCs w:val="24"/>
        </w:rPr>
        <w:t>（供应商名称）的法定代表人，现授权委托</w:t>
      </w:r>
      <w:r>
        <w:rPr>
          <w:rFonts w:hint="eastAsia" w:cs="宋体"/>
          <w:sz w:val="24"/>
          <w:szCs w:val="24"/>
          <w:u w:val="single" w:color="000000"/>
        </w:rPr>
        <w:t xml:space="preserve">　　     </w:t>
      </w:r>
      <w:r>
        <w:rPr>
          <w:rFonts w:hint="eastAsia" w:cs="宋体"/>
          <w:sz w:val="24"/>
          <w:szCs w:val="24"/>
        </w:rPr>
        <w:t>（姓名）为我公司为被委托受权人，以本公司的名义参加本项目的竞争性磋商响应活动。被委托受权人在开标、评审磋商活动、合同谈判过程中所签署的一切文件和处理与之有关的一切事务，我均予以承认。</w:t>
      </w:r>
    </w:p>
    <w:p>
      <w:pPr>
        <w:snapToGrid w:val="0"/>
        <w:spacing w:line="360" w:lineRule="auto"/>
        <w:ind w:firstLine="484" w:firstLineChars="202"/>
        <w:textAlignment w:val="baseline"/>
        <w:rPr>
          <w:rFonts w:cs="宋体"/>
          <w:sz w:val="24"/>
          <w:szCs w:val="24"/>
        </w:rPr>
      </w:pPr>
      <w:r>
        <w:rPr>
          <w:rFonts w:hint="eastAsia" w:cs="宋体"/>
          <w:sz w:val="24"/>
          <w:szCs w:val="24"/>
        </w:rPr>
        <w:t>被委托受权人无转委权。特此委托。</w:t>
      </w:r>
    </w:p>
    <w:p>
      <w:pPr>
        <w:pStyle w:val="19"/>
        <w:snapToGrid w:val="0"/>
        <w:spacing w:line="360" w:lineRule="auto"/>
        <w:textAlignment w:val="baseline"/>
        <w:rPr>
          <w:szCs w:val="24"/>
        </w:rPr>
      </w:pPr>
    </w:p>
    <w:p>
      <w:pPr>
        <w:snapToGrid w:val="0"/>
        <w:spacing w:line="360" w:lineRule="auto"/>
        <w:ind w:firstLine="972" w:firstLineChars="405"/>
        <w:textAlignment w:val="baseline"/>
        <w:rPr>
          <w:sz w:val="24"/>
          <w:szCs w:val="24"/>
        </w:rPr>
      </w:pPr>
      <w:r>
        <w:rPr>
          <w:rFonts w:hint="eastAsia" w:cs="宋体"/>
          <w:sz w:val="24"/>
          <w:szCs w:val="24"/>
        </w:rPr>
        <w:t>法定代表人签字：</w:t>
      </w:r>
    </w:p>
    <w:p>
      <w:pPr>
        <w:snapToGrid w:val="0"/>
        <w:spacing w:line="360" w:lineRule="auto"/>
        <w:ind w:firstLine="972" w:firstLineChars="405"/>
        <w:textAlignment w:val="baseline"/>
        <w:rPr>
          <w:sz w:val="24"/>
          <w:szCs w:val="24"/>
        </w:rPr>
      </w:pPr>
      <w:r>
        <w:rPr>
          <w:rFonts w:hint="eastAsia" w:cs="宋体"/>
          <w:sz w:val="24"/>
          <w:szCs w:val="24"/>
        </w:rPr>
        <w:t>被委托受权人身份证号：</w:t>
      </w:r>
    </w:p>
    <w:p>
      <w:pPr>
        <w:snapToGrid w:val="0"/>
        <w:spacing w:line="360" w:lineRule="auto"/>
        <w:ind w:firstLine="972" w:firstLineChars="405"/>
        <w:textAlignment w:val="baseline"/>
        <w:rPr>
          <w:sz w:val="24"/>
          <w:szCs w:val="24"/>
        </w:rPr>
      </w:pPr>
      <w:r>
        <w:rPr>
          <w:rFonts w:hint="eastAsia" w:cs="宋体"/>
          <w:sz w:val="24"/>
          <w:szCs w:val="24"/>
        </w:rPr>
        <w:t>被委托受权人签字：</w:t>
      </w:r>
    </w:p>
    <w:p>
      <w:pPr>
        <w:snapToGrid w:val="0"/>
        <w:spacing w:line="520" w:lineRule="exact"/>
        <w:jc w:val="right"/>
        <w:textAlignment w:val="baseline"/>
        <w:rPr>
          <w:rFonts w:ascii="宋体" w:hAnsi="宋体" w:cs="宋体"/>
          <w:color w:val="000000"/>
          <w:sz w:val="24"/>
          <w:szCs w:val="24"/>
        </w:rPr>
      </w:pPr>
      <w:r>
        <w:rPr>
          <w:rFonts w:hint="eastAsia" w:ascii="宋体" w:hAnsi="宋体" w:cs="宋体"/>
          <w:color w:val="000000"/>
          <w:sz w:val="24"/>
          <w:szCs w:val="24"/>
        </w:rPr>
        <w:t>竞争性磋商响应单位：（加盖公章）</w:t>
      </w:r>
    </w:p>
    <w:p>
      <w:pPr>
        <w:snapToGrid w:val="0"/>
        <w:spacing w:line="420" w:lineRule="exact"/>
        <w:ind w:firstLine="484" w:firstLineChars="202"/>
        <w:jc w:val="right"/>
        <w:textAlignment w:val="baseline"/>
        <w:rPr>
          <w:sz w:val="20"/>
        </w:rPr>
      </w:pPr>
      <w:r>
        <w:rPr>
          <w:rFonts w:hint="eastAsia" w:ascii="宋体" w:hAnsi="宋体" w:cs="宋体"/>
          <w:color w:val="000000"/>
          <w:sz w:val="24"/>
          <w:szCs w:val="24"/>
        </w:rPr>
        <w:t>年      月     日</w:t>
      </w:r>
    </w:p>
    <w:p>
      <w:pPr>
        <w:snapToGrid w:val="0"/>
        <w:spacing w:line="420" w:lineRule="exact"/>
        <w:ind w:firstLine="404" w:firstLineChars="202"/>
        <w:jc w:val="left"/>
        <w:textAlignment w:val="baseline"/>
        <w:rPr>
          <w:sz w:val="20"/>
        </w:rPr>
      </w:pPr>
    </w:p>
    <w:p>
      <w:pPr>
        <w:snapToGrid w:val="0"/>
        <w:spacing w:line="420" w:lineRule="exact"/>
        <w:ind w:firstLine="404" w:firstLineChars="202"/>
        <w:jc w:val="left"/>
        <w:textAlignment w:val="baseline"/>
        <w:rPr>
          <w:sz w:val="20"/>
        </w:rPr>
      </w:pPr>
    </w:p>
    <w:tbl>
      <w:tblPr>
        <w:tblStyle w:val="53"/>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被委托受权人身份证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left"/>
        <w:textAlignment w:val="baseline"/>
        <w:rPr>
          <w:sz w:val="24"/>
          <w:szCs w:val="24"/>
        </w:rPr>
      </w:pPr>
      <w:r>
        <w:rPr>
          <w:rFonts w:hint="eastAsia" w:cs="宋体"/>
          <w:sz w:val="24"/>
          <w:szCs w:val="24"/>
        </w:rPr>
        <w:t>注：如为被委托受权人参加项目竞争性磋商响应，须将身份证原件带至竞争性磋商现场备查。</w:t>
      </w:r>
    </w:p>
    <w:p>
      <w:pPr>
        <w:snapToGrid w:val="0"/>
        <w:spacing w:line="520" w:lineRule="exact"/>
        <w:jc w:val="center"/>
        <w:outlineLvl w:val="3"/>
        <w:rPr>
          <w:rFonts w:ascii="宋体"/>
          <w:b/>
          <w:bCs/>
          <w:sz w:val="28"/>
          <w:szCs w:val="28"/>
        </w:rPr>
      </w:pPr>
    </w:p>
    <w:p>
      <w:pPr>
        <w:jc w:val="center"/>
        <w:rPr>
          <w:rFonts w:hint="eastAsia" w:ascii="宋体" w:hAnsi="宋体" w:cs="宋体"/>
          <w:b/>
          <w:sz w:val="24"/>
          <w:szCs w:val="24"/>
        </w:rPr>
      </w:pPr>
      <w:r>
        <w:br w:type="page"/>
      </w:r>
      <w:r>
        <w:rPr>
          <w:rFonts w:hint="eastAsia" w:ascii="宋体" w:hAnsi="宋体" w:cs="宋体"/>
          <w:b/>
          <w:color w:val="000000"/>
          <w:sz w:val="24"/>
          <w:szCs w:val="24"/>
        </w:rPr>
        <w:t>3、</w:t>
      </w:r>
      <w:r>
        <w:rPr>
          <w:rFonts w:hint="eastAsia" w:ascii="宋体" w:hAnsi="宋体" w:cs="宋体"/>
          <w:b/>
          <w:sz w:val="24"/>
          <w:szCs w:val="24"/>
        </w:rPr>
        <w:t>供应商一般情况表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企业名称</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总部地址</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分支机构</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rPr>
                <w:rFonts w:ascii="宋体" w:hAnsi="宋体" w:cs="宋体"/>
                <w:color w:val="000000"/>
                <w:sz w:val="24"/>
                <w:szCs w:val="24"/>
              </w:rPr>
            </w:pPr>
            <w:r>
              <w:rPr>
                <w:rFonts w:hint="eastAsia" w:ascii="宋体" w:hAnsi="宋体" w:cs="宋体"/>
                <w:color w:val="000000"/>
                <w:sz w:val="24"/>
                <w:szCs w:val="24"/>
              </w:rPr>
              <w:t>当地代表处地址</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电话</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联系人</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传真</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电子邮件</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注册地</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注册年份</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资质等级</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公司</w:t>
            </w:r>
            <w:r>
              <w:rPr>
                <w:rFonts w:hint="eastAsia" w:ascii="宋体" w:hAnsi="宋体" w:cs="宋体"/>
                <w:color w:val="000000"/>
                <w:sz w:val="24"/>
                <w:szCs w:val="24"/>
              </w:rPr>
              <w:t>具备的相关</w:t>
            </w:r>
            <w:r>
              <w:rPr>
                <w:rFonts w:ascii="宋体" w:hAnsi="宋体" w:cs="宋体"/>
                <w:color w:val="000000"/>
                <w:sz w:val="24"/>
                <w:szCs w:val="24"/>
              </w:rPr>
              <w:t>资质等级</w:t>
            </w:r>
            <w:r>
              <w:rPr>
                <w:rFonts w:hint="eastAsia" w:ascii="宋体" w:hAnsi="宋体" w:cs="宋体"/>
                <w:color w:val="000000"/>
                <w:sz w:val="24"/>
                <w:szCs w:val="24"/>
              </w:rPr>
              <w:t>及相应的</w:t>
            </w:r>
            <w:r>
              <w:rPr>
                <w:rFonts w:ascii="宋体" w:hAnsi="宋体" w:cs="宋体"/>
                <w:color w:val="000000"/>
                <w:sz w:val="24"/>
                <w:szCs w:val="24"/>
              </w:rPr>
              <w:t>证书号</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质量管理体系</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公司   （是否通过，何种）   质量保证体系认证（如通过请附相关</w:t>
            </w:r>
            <w:r>
              <w:rPr>
                <w:rFonts w:hint="eastAsia" w:ascii="宋体" w:hAnsi="宋体" w:cs="宋体"/>
                <w:color w:val="000000"/>
                <w:sz w:val="24"/>
                <w:szCs w:val="24"/>
              </w:rPr>
              <w:t>在有效期内的</w:t>
            </w:r>
            <w:r>
              <w:rPr>
                <w:rFonts w:ascii="宋体" w:hAnsi="宋体" w:cs="宋体"/>
                <w:color w:val="000000"/>
                <w:sz w:val="24"/>
                <w:szCs w:val="24"/>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项目负责人</w:t>
            </w:r>
          </w:p>
        </w:tc>
        <w:tc>
          <w:tcPr>
            <w:tcW w:w="1559" w:type="dxa"/>
            <w:gridSpan w:val="2"/>
            <w:noWrap w:val="0"/>
            <w:vAlign w:val="top"/>
          </w:tcPr>
          <w:p>
            <w:pPr>
              <w:spacing w:line="520" w:lineRule="exact"/>
              <w:ind w:firstLine="484" w:firstLineChars="202"/>
              <w:rPr>
                <w:rFonts w:ascii="宋体" w:hAnsi="宋体" w:cs="宋体"/>
                <w:color w:val="000000"/>
                <w:sz w:val="24"/>
                <w:szCs w:val="24"/>
              </w:rPr>
            </w:pPr>
          </w:p>
        </w:tc>
        <w:tc>
          <w:tcPr>
            <w:tcW w:w="1417" w:type="dxa"/>
            <w:gridSpan w:val="2"/>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年龄</w:t>
            </w:r>
          </w:p>
        </w:tc>
        <w:tc>
          <w:tcPr>
            <w:tcW w:w="1466" w:type="dxa"/>
            <w:gridSpan w:val="2"/>
            <w:noWrap w:val="0"/>
            <w:vAlign w:val="top"/>
          </w:tcPr>
          <w:p>
            <w:pPr>
              <w:spacing w:line="520" w:lineRule="exact"/>
              <w:ind w:firstLine="484" w:firstLineChars="202"/>
              <w:rPr>
                <w:rFonts w:ascii="宋体" w:hAnsi="宋体" w:cs="宋体"/>
                <w:color w:val="000000"/>
                <w:sz w:val="24"/>
                <w:szCs w:val="24"/>
              </w:rPr>
            </w:pPr>
          </w:p>
        </w:tc>
        <w:tc>
          <w:tcPr>
            <w:tcW w:w="1320" w:type="dxa"/>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性别</w:t>
            </w:r>
          </w:p>
        </w:tc>
        <w:tc>
          <w:tcPr>
            <w:tcW w:w="1467" w:type="dxa"/>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职务职称</w:t>
            </w:r>
          </w:p>
        </w:tc>
        <w:tc>
          <w:tcPr>
            <w:tcW w:w="2976" w:type="dxa"/>
            <w:gridSpan w:val="4"/>
            <w:noWrap w:val="0"/>
            <w:vAlign w:val="top"/>
          </w:tcPr>
          <w:p>
            <w:pPr>
              <w:spacing w:line="520" w:lineRule="exact"/>
              <w:ind w:firstLine="484" w:firstLineChars="202"/>
              <w:rPr>
                <w:rFonts w:ascii="宋体" w:hAnsi="宋体" w:cs="宋体"/>
                <w:color w:val="000000"/>
                <w:sz w:val="24"/>
                <w:szCs w:val="24"/>
              </w:rPr>
            </w:pPr>
          </w:p>
        </w:tc>
        <w:tc>
          <w:tcPr>
            <w:tcW w:w="1466" w:type="dxa"/>
            <w:gridSpan w:val="2"/>
            <w:noWrap w:val="0"/>
            <w:vAlign w:val="top"/>
          </w:tcPr>
          <w:p>
            <w:pPr>
              <w:spacing w:line="520" w:lineRule="exact"/>
              <w:rPr>
                <w:rFonts w:ascii="宋体" w:hAnsi="宋体" w:cs="宋体"/>
                <w:color w:val="000000"/>
                <w:sz w:val="24"/>
                <w:szCs w:val="24"/>
              </w:rPr>
            </w:pPr>
            <w:r>
              <w:rPr>
                <w:rFonts w:hint="eastAsia" w:ascii="宋体" w:hAnsi="宋体" w:cs="宋体"/>
                <w:color w:val="000000"/>
                <w:sz w:val="24"/>
                <w:szCs w:val="24"/>
              </w:rPr>
              <w:t>执业资格</w:t>
            </w:r>
          </w:p>
        </w:tc>
        <w:tc>
          <w:tcPr>
            <w:tcW w:w="2787" w:type="dxa"/>
            <w:gridSpan w:val="2"/>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8" w:hRule="atLeas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经营范围</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营业执照载明：</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1.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2.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3.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noWrap w:val="0"/>
            <w:vAlign w:val="center"/>
          </w:tcPr>
          <w:p>
            <w:pPr>
              <w:spacing w:line="520" w:lineRule="exact"/>
              <w:rPr>
                <w:rFonts w:ascii="宋体" w:hAnsi="宋体" w:cs="宋体"/>
                <w:color w:val="000000"/>
                <w:sz w:val="24"/>
                <w:szCs w:val="24"/>
              </w:rPr>
            </w:pPr>
            <w:r>
              <w:rPr>
                <w:rFonts w:hint="eastAsia" w:ascii="宋体" w:hAnsi="宋体" w:cs="宋体"/>
                <w:color w:val="000000"/>
                <w:sz w:val="24"/>
                <w:szCs w:val="24"/>
              </w:rPr>
              <w:t>从事类似相关项目的经历及</w:t>
            </w:r>
            <w:r>
              <w:rPr>
                <w:rFonts w:ascii="宋体" w:hAnsi="宋体" w:cs="宋体"/>
                <w:color w:val="000000"/>
                <w:sz w:val="24"/>
                <w:szCs w:val="24"/>
              </w:rPr>
              <w:t>年数</w:t>
            </w:r>
          </w:p>
        </w:tc>
        <w:tc>
          <w:tcPr>
            <w:tcW w:w="6521" w:type="dxa"/>
            <w:gridSpan w:val="7"/>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其他认为有必要提供的内容，可自行添加</w:t>
            </w:r>
          </w:p>
        </w:tc>
        <w:tc>
          <w:tcPr>
            <w:tcW w:w="6521" w:type="dxa"/>
            <w:gridSpan w:val="7"/>
            <w:noWrap w:val="0"/>
            <w:vAlign w:val="top"/>
          </w:tcPr>
          <w:p>
            <w:pPr>
              <w:spacing w:line="520" w:lineRule="exact"/>
              <w:ind w:firstLine="484" w:firstLineChars="202"/>
              <w:rPr>
                <w:rFonts w:ascii="宋体" w:hAnsi="宋体" w:cs="宋体"/>
                <w:color w:val="000000"/>
                <w:sz w:val="24"/>
                <w:szCs w:val="24"/>
              </w:rPr>
            </w:pPr>
          </w:p>
        </w:tc>
      </w:tr>
    </w:tbl>
    <w:p>
      <w:pPr>
        <w:snapToGrid w:val="0"/>
        <w:spacing w:line="360" w:lineRule="auto"/>
        <w:ind w:right="79"/>
        <w:textAlignment w:val="baseline"/>
        <w:rPr>
          <w:rFonts w:ascii="宋体" w:hAnsi="宋体" w:cs="宋体"/>
          <w:color w:val="000000"/>
          <w:sz w:val="24"/>
          <w:szCs w:val="24"/>
        </w:rPr>
      </w:pPr>
      <w:r>
        <w:rPr>
          <w:rFonts w:hint="eastAsia" w:ascii="宋体" w:hAnsi="宋体" w:cs="宋体"/>
          <w:color w:val="000000"/>
          <w:sz w:val="24"/>
          <w:szCs w:val="24"/>
        </w:rPr>
        <w:t>竞争性磋商响应</w:t>
      </w:r>
      <w:r>
        <w:rPr>
          <w:rFonts w:hint="eastAsia" w:ascii="宋体" w:hAnsi="宋体" w:cs="宋体"/>
          <w:szCs w:val="24"/>
        </w:rPr>
        <w:t>供应商：（单位盖章）</w:t>
      </w:r>
    </w:p>
    <w:p>
      <w:pPr>
        <w:snapToGrid w:val="0"/>
        <w:spacing w:line="360" w:lineRule="auto"/>
        <w:rPr>
          <w:rFonts w:ascii="宋体" w:hAnsi="宋体" w:cs="宋体"/>
          <w:color w:val="000000"/>
          <w:sz w:val="24"/>
          <w:szCs w:val="24"/>
        </w:rPr>
      </w:pPr>
      <w:r>
        <w:rPr>
          <w:rFonts w:hint="eastAsia" w:hAnsi="宋体" w:cs="宋体"/>
          <w:sz w:val="24"/>
        </w:rPr>
        <w:t>法定代表人或</w:t>
      </w:r>
      <w:r>
        <w:rPr>
          <w:rFonts w:hint="eastAsia" w:hAnsi="宋体" w:cs="仿宋_GB2312"/>
          <w:sz w:val="24"/>
        </w:rPr>
        <w:t>被授权人（签字或盖章）</w:t>
      </w:r>
      <w:r>
        <w:rPr>
          <w:rFonts w:hint="eastAsia" w:hAnsi="宋体" w:cs="宋体"/>
          <w:sz w:val="24"/>
        </w:rPr>
        <w:t>：</w:t>
      </w:r>
      <w:r>
        <w:rPr>
          <w:rFonts w:hint="eastAsia" w:ascii="宋体" w:hAnsi="宋体" w:cs="宋体"/>
          <w:color w:val="000000"/>
          <w:sz w:val="24"/>
          <w:szCs w:val="24"/>
        </w:rPr>
        <w:t xml:space="preserve">            </w:t>
      </w:r>
    </w:p>
    <w:p>
      <w:pPr>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日期：  年  月  日</w:t>
      </w:r>
      <w:r>
        <w:rPr>
          <w:rFonts w:hint="eastAsia" w:ascii="宋体" w:hAnsi="宋体" w:cs="宋体"/>
          <w:color w:val="000000"/>
          <w:sz w:val="24"/>
          <w:szCs w:val="24"/>
        </w:rPr>
        <w:br w:type="page"/>
      </w:r>
    </w:p>
    <w:p>
      <w:pPr>
        <w:jc w:val="center"/>
        <w:rPr>
          <w:rFonts w:hint="eastAsia" w:asciiTheme="minorEastAsia" w:hAnsiTheme="minorEastAsia" w:eastAsiaTheme="minorEastAsia" w:cstheme="minorEastAsia"/>
          <w:b/>
          <w:color w:val="000000"/>
          <w:sz w:val="24"/>
          <w:szCs w:val="24"/>
        </w:rPr>
      </w:pPr>
      <w:r>
        <w:rPr>
          <w:rFonts w:hint="eastAsia" w:ascii="宋体" w:hAnsi="宋体" w:cs="宋体"/>
          <w:b/>
          <w:bCs/>
          <w:color w:val="000000"/>
          <w:sz w:val="28"/>
          <w:szCs w:val="28"/>
        </w:rPr>
        <w:t>4、</w:t>
      </w:r>
      <w:r>
        <w:rPr>
          <w:rFonts w:hint="eastAsia" w:asciiTheme="minorEastAsia" w:hAnsiTheme="minorEastAsia" w:eastAsiaTheme="minorEastAsia" w:cstheme="minorEastAsia"/>
          <w:b/>
          <w:color w:val="000000"/>
          <w:sz w:val="24"/>
          <w:szCs w:val="24"/>
          <w:lang w:val="en-US" w:eastAsia="zh-CN"/>
        </w:rPr>
        <w:t>供应商</w:t>
      </w:r>
      <w:r>
        <w:rPr>
          <w:rFonts w:hint="eastAsia" w:asciiTheme="minorEastAsia" w:hAnsiTheme="minorEastAsia" w:eastAsiaTheme="minorEastAsia" w:cstheme="minorEastAsia"/>
          <w:b/>
          <w:color w:val="000000"/>
          <w:sz w:val="24"/>
          <w:szCs w:val="24"/>
        </w:rPr>
        <w:t>符合《政府采购法》第二十二条规定条件的声明函</w:t>
      </w:r>
    </w:p>
    <w:p>
      <w:pPr>
        <w:spacing w:line="460" w:lineRule="exac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 xml:space="preserve">                          </w:t>
      </w:r>
    </w:p>
    <w:p>
      <w:pPr>
        <w:spacing w:line="520" w:lineRule="exact"/>
        <w:ind w:firstLine="480"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Cs/>
          <w:color w:val="000000"/>
          <w:sz w:val="24"/>
          <w:szCs w:val="24"/>
        </w:rPr>
        <w:t>我单位参加</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rPr>
        <w:t>（项目名称）投标活动。针对《中华人民共和国政府采购法》第二十二条规定做出如下声明：</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1.我单位具有独立承担民事责任的能力；</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2.我单位具有良好的商业信誉和健全的财务会计制度；</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3.我单位具有履行合同所必需的设备和专业技术能力；</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4.我单位有依法缴纳税收和社会保障资金的良好记录；</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6.我单位满足法律、行政法规规定的其他条件。</w:t>
      </w:r>
    </w:p>
    <w:p>
      <w:pPr>
        <w:spacing w:line="500" w:lineRule="exact"/>
        <w:rPr>
          <w:rFonts w:hint="eastAsia" w:asciiTheme="minorEastAsia" w:hAnsiTheme="minorEastAsia" w:eastAsiaTheme="minorEastAsia" w:cstheme="minorEastAsia"/>
          <w:bCs/>
          <w:color w:val="000000"/>
          <w:sz w:val="24"/>
          <w:szCs w:val="24"/>
        </w:rPr>
      </w:pPr>
    </w:p>
    <w:p>
      <w:pPr>
        <w:spacing w:line="460" w:lineRule="exac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承诺人名称（公章）：</w:t>
      </w:r>
    </w:p>
    <w:p>
      <w:pPr>
        <w:spacing w:line="460" w:lineRule="exact"/>
        <w:jc w:val="righ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w:t>
      </w:r>
    </w:p>
    <w:p>
      <w:pPr>
        <w:pStyle w:val="142"/>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color w:val="000000"/>
          <w:sz w:val="24"/>
          <w:szCs w:val="24"/>
        </w:rPr>
        <w:t xml:space="preserve">                                 </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日期：</w:t>
      </w:r>
      <w:r>
        <w:rPr>
          <w:rFonts w:hint="eastAsia" w:asciiTheme="minorEastAsia" w:hAnsiTheme="minorEastAsia" w:eastAsiaTheme="minorEastAsia" w:cstheme="minorEastAsia"/>
          <w:bCs/>
          <w:color w:val="000000"/>
          <w:sz w:val="24"/>
          <w:szCs w:val="24"/>
          <w:u w:val="single"/>
        </w:rPr>
        <w:t>______</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日</w:t>
      </w:r>
    </w:p>
    <w:p>
      <w:pPr>
        <w:snapToGrid w:val="0"/>
        <w:spacing w:line="520" w:lineRule="exact"/>
        <w:jc w:val="right"/>
        <w:rPr>
          <w:rFonts w:ascii="宋体"/>
          <w:sz w:val="24"/>
          <w:szCs w:val="24"/>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pacing w:line="360" w:lineRule="auto"/>
        <w:rPr>
          <w:rFonts w:ascii="宋体"/>
          <w:b/>
          <w:bCs/>
          <w:sz w:val="30"/>
          <w:szCs w:val="30"/>
        </w:rPr>
      </w:pPr>
    </w:p>
    <w:p>
      <w:pPr>
        <w:snapToGrid w:val="0"/>
        <w:spacing w:line="520" w:lineRule="exact"/>
        <w:ind w:firstLine="420" w:firstLineChars="200"/>
        <w:jc w:val="center"/>
        <w:rPr>
          <w:rFonts w:ascii="宋体"/>
          <w:b/>
          <w:bCs/>
          <w:sz w:val="28"/>
          <w:szCs w:val="28"/>
        </w:rPr>
      </w:pPr>
      <w:r>
        <w:br w:type="page"/>
      </w:r>
      <w:r>
        <w:rPr>
          <w:rFonts w:hint="eastAsia" w:ascii="宋体" w:hAnsi="宋体" w:cs="宋体"/>
          <w:b/>
          <w:bCs/>
          <w:sz w:val="28"/>
          <w:szCs w:val="28"/>
          <w:lang w:val="en-US" w:eastAsia="zh-CN"/>
        </w:rPr>
        <w:t>5</w:t>
      </w:r>
      <w:r>
        <w:rPr>
          <w:rFonts w:hint="eastAsia" w:ascii="宋体" w:hAnsi="宋体" w:cs="宋体"/>
          <w:b/>
          <w:bCs/>
          <w:sz w:val="28"/>
          <w:szCs w:val="28"/>
        </w:rPr>
        <w:t>、竞争性磋商响应函（格式不得变动）</w:t>
      </w:r>
    </w:p>
    <w:p>
      <w:pPr>
        <w:snapToGrid w:val="0"/>
        <w:spacing w:line="520" w:lineRule="exact"/>
        <w:rPr>
          <w:rFonts w:ascii="宋体"/>
          <w:sz w:val="24"/>
          <w:szCs w:val="24"/>
          <w:u w:val="single"/>
        </w:rPr>
      </w:pPr>
    </w:p>
    <w:p>
      <w:pPr>
        <w:snapToGrid w:val="0"/>
        <w:spacing w:line="520" w:lineRule="exact"/>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p>
    <w:p>
      <w:pPr>
        <w:snapToGrid w:val="0"/>
        <w:spacing w:line="520" w:lineRule="exact"/>
        <w:ind w:firstLine="480" w:firstLineChars="200"/>
        <w:rPr>
          <w:rFonts w:ascii="宋体"/>
          <w:sz w:val="24"/>
          <w:szCs w:val="24"/>
        </w:rPr>
      </w:pPr>
      <w:r>
        <w:rPr>
          <w:rFonts w:hint="eastAsia" w:ascii="宋体" w:hAnsi="宋体" w:cs="宋体"/>
          <w:sz w:val="24"/>
          <w:szCs w:val="24"/>
        </w:rPr>
        <w:t>依据贵单位委托代理机构组织的</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（磋商项目名称</w:t>
      </w:r>
      <w:r>
        <w:rPr>
          <w:rFonts w:ascii="宋体" w:hAnsi="宋体" w:cs="宋体"/>
          <w:sz w:val="24"/>
          <w:szCs w:val="24"/>
        </w:rPr>
        <w:t>)</w:t>
      </w:r>
      <w:r>
        <w:rPr>
          <w:rFonts w:hint="eastAsia" w:ascii="宋体" w:hAnsi="宋体" w:cs="宋体"/>
          <w:sz w:val="24"/>
          <w:szCs w:val="24"/>
        </w:rPr>
        <w:t>项目竞争性磋商的邀请，我方授权</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（职务）为全权代表参加该项目的磋商工作，全权处理本次竞争性磋商的有关事宜。同时，我公司声明如下：</w:t>
      </w:r>
    </w:p>
    <w:p>
      <w:pPr>
        <w:snapToGrid w:val="0"/>
        <w:spacing w:line="52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、我公司已毫无保留地向贵方提供一切所需的证明材料。</w:t>
      </w:r>
    </w:p>
    <w:p>
      <w:pPr>
        <w:snapToGrid w:val="0"/>
        <w:spacing w:line="52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、一旦成交，我方承诺无正当理由拒绝签订合同，将被贵方取消成交资格。</w:t>
      </w:r>
    </w:p>
    <w:p>
      <w:pPr>
        <w:snapToGrid w:val="0"/>
        <w:spacing w:line="52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b/>
          <w:bCs/>
          <w:sz w:val="24"/>
          <w:szCs w:val="24"/>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ascii="宋体"/>
          <w:sz w:val="24"/>
          <w:szCs w:val="24"/>
        </w:rPr>
      </w:pPr>
    </w:p>
    <w:p>
      <w:pPr>
        <w:snapToGrid w:val="0"/>
        <w:spacing w:line="520" w:lineRule="exact"/>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520" w:lineRule="exact"/>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520" w:lineRule="exact"/>
        <w:jc w:val="right"/>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widowControl/>
        <w:snapToGrid w:val="0"/>
        <w:jc w:val="center"/>
        <w:textAlignment w:val="baseline"/>
        <w:rPr>
          <w:rFonts w:hint="eastAsia" w:ascii="宋体" w:hAnsi="宋体" w:cs="宋体"/>
          <w:b/>
          <w:bCs/>
          <w:sz w:val="28"/>
          <w:szCs w:val="28"/>
        </w:rPr>
      </w:pPr>
      <w:r>
        <w:rPr>
          <w:rFonts w:ascii="宋体"/>
          <w:b/>
          <w:bCs/>
          <w:sz w:val="28"/>
          <w:szCs w:val="28"/>
        </w:rPr>
        <w:br w:type="page"/>
      </w:r>
      <w:r>
        <w:rPr>
          <w:rFonts w:hint="eastAsia" w:ascii="宋体" w:hAnsi="宋体" w:cs="宋体"/>
          <w:b/>
          <w:bCs/>
          <w:sz w:val="28"/>
          <w:szCs w:val="28"/>
          <w:lang w:val="en-US" w:eastAsia="zh-CN"/>
        </w:rPr>
        <w:t>6</w:t>
      </w:r>
      <w:r>
        <w:rPr>
          <w:rFonts w:hint="eastAsia" w:ascii="宋体" w:hAnsi="宋体" w:cs="宋体"/>
          <w:b/>
          <w:bCs/>
          <w:sz w:val="28"/>
          <w:szCs w:val="28"/>
        </w:rPr>
        <w:t>、磋商响应报价总表</w:t>
      </w:r>
    </w:p>
    <w:p>
      <w:pPr>
        <w:pStyle w:val="19"/>
        <w:snapToGrid w:val="0"/>
        <w:textAlignment w:val="baseline"/>
      </w:pPr>
    </w:p>
    <w:tbl>
      <w:tblPr>
        <w:tblStyle w:val="53"/>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0"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项目名称</w:t>
            </w:r>
          </w:p>
        </w:tc>
        <w:tc>
          <w:tcPr>
            <w:tcW w:w="7564"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lang w:val="zh-CN"/>
              </w:rPr>
              <w:t>南通市保安服务有限公司电梯维保服务项目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460"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磋商总价报价（首次）</w:t>
            </w:r>
          </w:p>
        </w:tc>
        <w:tc>
          <w:tcPr>
            <w:tcW w:w="7564" w:type="dxa"/>
            <w:noWrap w:val="0"/>
            <w:vAlign w:val="center"/>
          </w:tcPr>
          <w:p>
            <w:pPr>
              <w:snapToGrid w:val="0"/>
              <w:spacing w:line="420" w:lineRule="exact"/>
              <w:rPr>
                <w:rFonts w:hint="eastAsia" w:cs="宋体"/>
                <w:sz w:val="24"/>
                <w:szCs w:val="24"/>
              </w:rPr>
            </w:pPr>
            <w:r>
              <w:rPr>
                <w:rFonts w:hint="eastAsia" w:cs="宋体"/>
                <w:sz w:val="24"/>
                <w:szCs w:val="24"/>
              </w:rPr>
              <w:t>大写：</w:t>
            </w:r>
            <w:r>
              <w:rPr>
                <w:rFonts w:hint="eastAsia" w:ascii="宋体" w:hAnsi="宋体" w:cs="宋体"/>
                <w:snapToGrid w:val="0"/>
                <w:sz w:val="24"/>
                <w:szCs w:val="24"/>
              </w:rPr>
              <w:t>人民币</w:t>
            </w:r>
            <w:r>
              <w:rPr>
                <w:rFonts w:hint="eastAsia" w:ascii="宋体" w:hAnsi="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元/年</w:t>
            </w:r>
            <w:r>
              <w:rPr>
                <w:rFonts w:hint="eastAsia" w:cs="宋体"/>
                <w:sz w:val="24"/>
                <w:szCs w:val="24"/>
              </w:rPr>
              <w:t xml:space="preserve"> </w:t>
            </w:r>
          </w:p>
          <w:p>
            <w:pPr>
              <w:snapToGrid w:val="0"/>
              <w:spacing w:line="420" w:lineRule="exact"/>
              <w:ind w:left="1130" w:hanging="1130" w:hangingChars="471"/>
              <w:textAlignment w:val="baseline"/>
              <w:rPr>
                <w:sz w:val="20"/>
                <w:szCs w:val="22"/>
              </w:rPr>
            </w:pPr>
            <w:r>
              <w:rPr>
                <w:rFonts w:hint="eastAsia" w:cs="宋体"/>
                <w:sz w:val="24"/>
                <w:szCs w:val="24"/>
              </w:rPr>
              <w:t>小写：￥</w:t>
            </w:r>
            <w:r>
              <w:rPr>
                <w:rFonts w:hint="eastAsia" w:cs="宋体"/>
                <w:sz w:val="24"/>
                <w:szCs w:val="24"/>
                <w:u w:val="single"/>
              </w:rPr>
              <w:t xml:space="preserve">                 </w:t>
            </w:r>
            <w:r>
              <w:rPr>
                <w:rFonts w:hint="eastAsia" w:ascii="宋体" w:hAnsi="宋体" w:cs="宋体"/>
                <w:snapToGrid w:val="0"/>
                <w:sz w:val="24"/>
                <w:szCs w:val="24"/>
                <w:u w:val="single"/>
                <w:lang w:val="en-US" w:eastAsia="zh-CN"/>
              </w:rPr>
              <w:t>元/年</w:t>
            </w:r>
            <w:r>
              <w:rPr>
                <w:rFonts w:hint="eastAsia"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460"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磋商总价报价</w:t>
            </w:r>
          </w:p>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第二次</w:t>
            </w:r>
            <w:r>
              <w:rPr>
                <w:rFonts w:hint="eastAsia" w:ascii="宋体" w:hAnsi="宋体" w:cs="宋体"/>
                <w:sz w:val="24"/>
                <w:szCs w:val="24"/>
              </w:rPr>
              <w:t>）</w:t>
            </w:r>
          </w:p>
          <w:p>
            <w:pPr>
              <w:snapToGrid w:val="0"/>
              <w:spacing w:line="480" w:lineRule="exact"/>
              <w:jc w:val="center"/>
              <w:textAlignment w:val="baseline"/>
              <w:rPr>
                <w:sz w:val="20"/>
                <w:szCs w:val="22"/>
              </w:rPr>
            </w:pPr>
            <w:r>
              <w:rPr>
                <w:rFonts w:hint="eastAsia" w:ascii="宋体" w:hAnsi="宋体" w:cs="宋体"/>
                <w:b/>
                <w:bCs/>
                <w:sz w:val="24"/>
                <w:szCs w:val="24"/>
                <w:highlight w:val="none"/>
                <w:u w:val="single" w:color="000000"/>
              </w:rPr>
              <w:t>（磋商现场填写）</w:t>
            </w:r>
          </w:p>
        </w:tc>
        <w:tc>
          <w:tcPr>
            <w:tcW w:w="7564" w:type="dxa"/>
            <w:noWrap w:val="0"/>
            <w:vAlign w:val="center"/>
          </w:tcPr>
          <w:p>
            <w:pPr>
              <w:snapToGrid w:val="0"/>
              <w:spacing w:line="420" w:lineRule="exact"/>
              <w:rPr>
                <w:rFonts w:hint="eastAsia" w:cs="宋体"/>
                <w:sz w:val="24"/>
                <w:szCs w:val="24"/>
              </w:rPr>
            </w:pPr>
            <w:r>
              <w:rPr>
                <w:rFonts w:hint="eastAsia" w:cs="宋体"/>
                <w:sz w:val="24"/>
                <w:szCs w:val="24"/>
              </w:rPr>
              <w:t>大写：</w:t>
            </w:r>
            <w:r>
              <w:rPr>
                <w:rFonts w:hint="eastAsia" w:ascii="宋体" w:hAnsi="宋体" w:cs="宋体"/>
                <w:snapToGrid w:val="0"/>
                <w:sz w:val="24"/>
                <w:szCs w:val="24"/>
              </w:rPr>
              <w:t>人民币</w:t>
            </w:r>
            <w:r>
              <w:rPr>
                <w:rFonts w:hint="eastAsia" w:ascii="宋体" w:hAnsi="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元/年</w:t>
            </w:r>
            <w:r>
              <w:rPr>
                <w:rFonts w:hint="eastAsia" w:ascii="宋体" w:hAnsi="宋体" w:cs="宋体"/>
                <w:snapToGrid w:val="0"/>
                <w:sz w:val="24"/>
                <w:szCs w:val="24"/>
              </w:rPr>
              <w:t>。</w:t>
            </w:r>
            <w:r>
              <w:rPr>
                <w:rFonts w:hint="eastAsia" w:cs="宋体"/>
                <w:sz w:val="24"/>
                <w:szCs w:val="24"/>
              </w:rPr>
              <w:t xml:space="preserve"> </w:t>
            </w:r>
          </w:p>
          <w:p>
            <w:pPr>
              <w:snapToGrid w:val="0"/>
              <w:spacing w:line="420" w:lineRule="exact"/>
              <w:ind w:left="1130" w:hanging="1130" w:hangingChars="471"/>
              <w:textAlignment w:val="baseline"/>
              <w:rPr>
                <w:rFonts w:cs="宋体"/>
                <w:sz w:val="20"/>
                <w:szCs w:val="22"/>
              </w:rPr>
            </w:pPr>
            <w:r>
              <w:rPr>
                <w:rFonts w:hint="eastAsia" w:cs="宋体"/>
                <w:sz w:val="24"/>
                <w:szCs w:val="24"/>
              </w:rPr>
              <w:t>小写：￥</w:t>
            </w:r>
            <w:r>
              <w:rPr>
                <w:rFonts w:hint="eastAsia" w:cs="宋体"/>
                <w:sz w:val="24"/>
                <w:szCs w:val="24"/>
                <w:u w:val="single"/>
              </w:rPr>
              <w:t xml:space="preserve">                 </w:t>
            </w:r>
            <w:r>
              <w:rPr>
                <w:rFonts w:hint="eastAsia" w:ascii="宋体" w:hAnsi="宋体" w:cs="宋体"/>
                <w:snapToGrid w:val="0"/>
                <w:sz w:val="24"/>
                <w:szCs w:val="24"/>
                <w:u w:val="single"/>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60"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付款条件</w:t>
            </w:r>
          </w:p>
        </w:tc>
        <w:tc>
          <w:tcPr>
            <w:tcW w:w="7564"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完全接受并响应本项目磋商文件的要求。</w:t>
            </w:r>
          </w:p>
        </w:tc>
      </w:tr>
    </w:tbl>
    <w:p>
      <w:pPr>
        <w:pStyle w:val="2"/>
        <w:snapToGrid w:val="0"/>
        <w:ind w:firstLine="0" w:firstLineChars="0"/>
        <w:textAlignment w:val="baseline"/>
        <w:rPr>
          <w:szCs w:val="24"/>
        </w:rPr>
      </w:pPr>
    </w:p>
    <w:p>
      <w:pPr>
        <w:pStyle w:val="114"/>
        <w:snapToGrid w:val="0"/>
        <w:spacing w:line="360" w:lineRule="auto"/>
        <w:ind w:firstLine="241" w:firstLineChars="100"/>
        <w:textAlignment w:val="baseline"/>
        <w:rPr>
          <w:rFonts w:hint="eastAsia" w:ascii="Times New Roman" w:hAnsi="宋体"/>
          <w:b/>
          <w:sz w:val="24"/>
        </w:rPr>
      </w:pPr>
      <w:r>
        <w:rPr>
          <w:rFonts w:hint="eastAsia" w:ascii="Times New Roman" w:hAnsi="宋体"/>
          <w:b/>
          <w:sz w:val="24"/>
        </w:rPr>
        <w:t>注：1、最终总价报价将在磋商现场填写，响应文件密封提交时只需填写首次磋商总价报价。</w:t>
      </w:r>
    </w:p>
    <w:p>
      <w:pPr>
        <w:pStyle w:val="114"/>
        <w:snapToGrid w:val="0"/>
        <w:spacing w:line="360" w:lineRule="auto"/>
        <w:ind w:firstLine="482" w:firstLineChars="200"/>
        <w:textAlignment w:val="baseline"/>
        <w:rPr>
          <w:rFonts w:ascii="Times New Roman" w:hAnsi="宋体"/>
          <w:b/>
          <w:sz w:val="24"/>
        </w:rPr>
      </w:pPr>
      <w:r>
        <w:rPr>
          <w:rFonts w:hint="eastAsia" w:ascii="Times New Roman" w:hAnsi="宋体"/>
          <w:b/>
          <w:sz w:val="24"/>
        </w:rPr>
        <w:t>2、本表式不得自行改动。</w:t>
      </w:r>
    </w:p>
    <w:p>
      <w:pPr>
        <w:snapToGrid w:val="0"/>
        <w:spacing w:line="360" w:lineRule="auto"/>
        <w:ind w:firstLine="482" w:firstLineChars="200"/>
        <w:outlineLvl w:val="1"/>
      </w:pPr>
      <w:r>
        <w:rPr>
          <w:rFonts w:hint="eastAsia" w:hAnsi="宋体" w:cs="宋体"/>
          <w:b/>
          <w:sz w:val="24"/>
        </w:rPr>
        <w:t>3</w:t>
      </w:r>
      <w:r>
        <w:rPr>
          <w:rFonts w:hint="eastAsia" w:ascii="宋体" w:hAnsi="宋体" w:cs="宋体"/>
          <w:b/>
          <w:bCs/>
          <w:sz w:val="24"/>
          <w:szCs w:val="24"/>
        </w:rPr>
        <w:t>、磋商报价（以人民币计价</w:t>
      </w:r>
      <w:r>
        <w:rPr>
          <w:rFonts w:hint="eastAsia" w:ascii="宋体" w:hAnsi="宋体" w:cs="宋体"/>
          <w:b/>
          <w:bCs/>
          <w:color w:val="auto"/>
          <w:sz w:val="24"/>
          <w:szCs w:val="24"/>
        </w:rPr>
        <w:t>）应包括但不限于所有与本项目实施有关的所有费用包括：材料费（涉及到电梯维保的所有配件）、设备费、设备维修或更换费、上门服务费（含业主临时或应急要求）、人员工资（含保险费）、管理费、利润、税金、政策性文件规定及为达到采购人要求所包含的所有风险、责任等各项费用。但不包括</w:t>
      </w:r>
      <w:r>
        <w:rPr>
          <w:rFonts w:hint="eastAsia" w:ascii="宋体" w:hAnsi="宋体" w:cs="宋体"/>
          <w:b/>
          <w:bCs/>
          <w:color w:val="auto"/>
          <w:sz w:val="24"/>
          <w:szCs w:val="24"/>
          <w:lang w:eastAsia="zh-CN"/>
        </w:rPr>
        <w:t>：</w:t>
      </w:r>
      <w:r>
        <w:rPr>
          <w:rFonts w:hint="eastAsia" w:ascii="宋体" w:hAnsi="宋体" w:cs="宋体"/>
          <w:b/>
          <w:bCs/>
          <w:color w:val="auto"/>
          <w:sz w:val="24"/>
          <w:szCs w:val="24"/>
        </w:rPr>
        <w:t>国家新规定的为电梯进行改造、重大维修工作所需要的材料和人工费用</w:t>
      </w:r>
      <w:r>
        <w:rPr>
          <w:rFonts w:hint="eastAsia" w:ascii="宋体" w:hAnsi="宋体" w:cs="宋体"/>
          <w:b/>
          <w:bCs/>
          <w:color w:val="auto"/>
          <w:sz w:val="24"/>
          <w:szCs w:val="24"/>
          <w:lang w:eastAsia="zh-CN"/>
        </w:rPr>
        <w:t>以及</w:t>
      </w:r>
      <w:r>
        <w:rPr>
          <w:rFonts w:hint="eastAsia" w:ascii="宋体" w:hAnsi="宋体" w:cs="宋体"/>
          <w:b/>
          <w:bCs/>
          <w:color w:val="auto"/>
          <w:sz w:val="24"/>
          <w:szCs w:val="24"/>
        </w:rPr>
        <w:t>国家特种设备检验机构在电梯检验时的相关配合费用和年检费。</w:t>
      </w:r>
    </w:p>
    <w:p>
      <w:pPr>
        <w:snapToGrid w:val="0"/>
        <w:spacing w:line="360" w:lineRule="auto"/>
        <w:ind w:right="79"/>
        <w:textAlignment w:val="baseline"/>
        <w:rPr>
          <w:rFonts w:ascii="宋体" w:hAnsi="宋体" w:cs="宋体"/>
          <w:color w:val="000000"/>
          <w:sz w:val="24"/>
          <w:szCs w:val="24"/>
        </w:rPr>
      </w:pPr>
      <w:r>
        <w:rPr>
          <w:rFonts w:hint="eastAsia" w:ascii="宋体" w:hAnsi="宋体" w:cs="宋体"/>
          <w:sz w:val="24"/>
          <w:szCs w:val="24"/>
        </w:rPr>
        <w:t>竞争性磋商响应供应商：（单位盖章）</w:t>
      </w:r>
    </w:p>
    <w:p>
      <w:pPr>
        <w:pStyle w:val="114"/>
        <w:tabs>
          <w:tab w:val="left" w:pos="5665"/>
          <w:tab w:val="right" w:pos="8360"/>
        </w:tabs>
        <w:snapToGrid w:val="0"/>
        <w:spacing w:line="360" w:lineRule="auto"/>
        <w:ind w:right="42"/>
        <w:textAlignment w:val="baseline"/>
        <w:rPr>
          <w:rFonts w:hAnsi="宋体"/>
          <w:sz w:val="24"/>
          <w:u w:val="single"/>
        </w:rPr>
      </w:pPr>
      <w:r>
        <w:rPr>
          <w:rFonts w:hint="eastAsia" w:hAnsi="宋体"/>
          <w:sz w:val="24"/>
        </w:rPr>
        <w:t>法定代表人或</w:t>
      </w:r>
      <w:r>
        <w:rPr>
          <w:rFonts w:hint="eastAsia" w:hAnsi="宋体" w:cs="仿宋_GB2312"/>
          <w:sz w:val="24"/>
        </w:rPr>
        <w:t>被授权人（签字或盖章）</w:t>
      </w:r>
      <w:r>
        <w:rPr>
          <w:rFonts w:hint="eastAsia" w:hAnsi="宋体"/>
          <w:sz w:val="24"/>
        </w:rPr>
        <w:t>：</w:t>
      </w:r>
    </w:p>
    <w:p>
      <w:pPr>
        <w:pStyle w:val="114"/>
        <w:tabs>
          <w:tab w:val="left" w:pos="5665"/>
          <w:tab w:val="right" w:pos="8360"/>
        </w:tabs>
        <w:snapToGrid w:val="0"/>
        <w:spacing w:line="360" w:lineRule="auto"/>
        <w:ind w:right="42"/>
        <w:textAlignment w:val="baseline"/>
        <w:rPr>
          <w:rFonts w:hint="eastAsia" w:hAnsi="宋体"/>
          <w:color w:val="000000"/>
          <w:sz w:val="24"/>
          <w:lang w:val="zh-CN"/>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420" w:lineRule="exact"/>
        <w:textAlignment w:val="baseline"/>
        <w:rPr>
          <w:sz w:val="20"/>
        </w:rPr>
      </w:pPr>
    </w:p>
    <w:p>
      <w:pPr>
        <w:snapToGrid w:val="0"/>
        <w:spacing w:line="420" w:lineRule="exact"/>
        <w:jc w:val="center"/>
        <w:textAlignment w:val="baseline"/>
        <w:rPr>
          <w:b/>
          <w:bCs/>
        </w:rPr>
      </w:pPr>
      <w:r>
        <w:rPr>
          <w:b/>
          <w:bCs/>
        </w:rPr>
        <w:t>……</w:t>
      </w:r>
      <w:r>
        <w:rPr>
          <w:rFonts w:hint="eastAsia" w:cs="宋体"/>
          <w:b/>
          <w:bCs/>
        </w:rPr>
        <w:t>全文结束</w:t>
      </w:r>
      <w:r>
        <w:rPr>
          <w:b/>
          <w:bCs/>
        </w:rPr>
        <w:t>……</w:t>
      </w:r>
    </w:p>
    <w:p>
      <w:pPr>
        <w:pStyle w:val="2"/>
        <w:rPr>
          <w:b/>
          <w:bCs/>
        </w:rPr>
      </w:pPr>
    </w:p>
    <w:p>
      <w:pPr>
        <w:pStyle w:val="2"/>
        <w:rPr>
          <w:b/>
          <w:bCs/>
        </w:rPr>
      </w:pPr>
    </w:p>
    <w:p>
      <w:pPr>
        <w:pStyle w:val="2"/>
        <w:ind w:left="0" w:leftChars="0" w:firstLine="0" w:firstLineChars="0"/>
        <w:rPr>
          <w:b/>
          <w:bCs/>
        </w:rPr>
      </w:pPr>
    </w:p>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auto"/>
    <w:pitch w:val="default"/>
    <w:sig w:usb0="00000000" w:usb1="00000000" w:usb2="00000000" w:usb3="00000000" w:csb0="00000001" w:csb1="00000000"/>
  </w:font>
  <w:font w:name="Helvetica">
    <w:altName w:val="Arial"/>
    <w:panose1 w:val="020B050402020203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33"/>
                            <w:jc w:val="center"/>
                          </w:pPr>
                          <w:r>
                            <w:rPr>
                              <w:b/>
                              <w:bCs/>
                            </w:rPr>
                            <w:fldChar w:fldCharType="begin"/>
                          </w:r>
                          <w:r>
                            <w:rPr>
                              <w:b/>
                              <w:bCs/>
                            </w:rPr>
                            <w:instrText xml:space="preserve">PAGE</w:instrText>
                          </w:r>
                          <w:r>
                            <w:rPr>
                              <w:b/>
                              <w:bCs/>
                            </w:rPr>
                            <w:fldChar w:fldCharType="separate"/>
                          </w:r>
                          <w:r>
                            <w:rPr>
                              <w:b/>
                              <w:bCs/>
                            </w:rPr>
                            <w:t>52</w:t>
                          </w:r>
                          <w:r>
                            <w:rPr>
                              <w:b/>
                              <w:bCs/>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qRS7NAAAAADAQAADwAAAAAAAAABACAAAAAiAAAAZHJzL2Rvd25yZXYueG1sUEsB&#10;AhQAFAAAAAgAh07iQI/QazL9AQAADwQAAA4AAAAAAAAAAQAgAAAAHwEAAGRycy9lMm9Eb2MueG1s&#10;UEsFBgAAAAAGAAYAWQEAAI4FAAAAAA==&#10;">
              <v:fill on="f" focussize="0,0"/>
              <v:stroke on="f"/>
              <v:imagedata o:title=""/>
              <o:lock v:ext="edit" aspectratio="f"/>
              <v:textbox inset="0mm,0mm,0mm,0mm" style="mso-fit-shape-to-text:t;">
                <w:txbxContent>
                  <w:p>
                    <w:pPr>
                      <w:pStyle w:val="33"/>
                      <w:jc w:val="center"/>
                    </w:pPr>
                    <w:r>
                      <w:rPr>
                        <w:b/>
                        <w:bCs/>
                      </w:rPr>
                      <w:fldChar w:fldCharType="begin"/>
                    </w:r>
                    <w:r>
                      <w:rPr>
                        <w:b/>
                        <w:bCs/>
                      </w:rPr>
                      <w:instrText xml:space="preserve">PAGE</w:instrText>
                    </w:r>
                    <w:r>
                      <w:rPr>
                        <w:b/>
                        <w:bCs/>
                      </w:rPr>
                      <w:fldChar w:fldCharType="separate"/>
                    </w:r>
                    <w:r>
                      <w:rPr>
                        <w:b/>
                        <w:bCs/>
                      </w:rPr>
                      <w:t>52</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jc w:val="both"/>
    </w:pPr>
    <w:r>
      <w:rPr>
        <w:rFonts w:hint="eastAsia"/>
        <w:sz w:val="18"/>
        <w:szCs w:val="18"/>
        <w:u w:val="single"/>
        <w:lang w:eastAsia="zh-CN"/>
      </w:rPr>
      <w:t>南通市保安服务有限公司电梯维保服务项目</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lang w:val="en-US" w:eastAsia="zh-CN"/>
      </w:rPr>
      <w:t xml:space="preserve">              </w:t>
    </w:r>
    <w:r>
      <w:rPr>
        <w:rFonts w:hint="eastAsia"/>
        <w:sz w:val="18"/>
        <w:szCs w:val="18"/>
        <w:u w:val="single"/>
        <w:lang w:val="zh-CN"/>
      </w:rPr>
      <w:t xml:space="preserve">     </w:t>
    </w:r>
    <w:r>
      <w:rPr>
        <w:rFonts w:hint="eastAsia"/>
        <w:sz w:val="18"/>
        <w:szCs w:val="18"/>
        <w:u w:val="single"/>
        <w:lang w:val="en-US" w:eastAsia="zh-CN"/>
      </w:rPr>
      <w:t xml:space="preserve">         </w:t>
    </w:r>
    <w:r>
      <w:rPr>
        <w:rFonts w:hint="eastAsia"/>
        <w:sz w:val="18"/>
        <w:szCs w:val="18"/>
        <w:u w:val="single"/>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DB306"/>
    <w:multiLevelType w:val="singleLevel"/>
    <w:tmpl w:val="87CDB306"/>
    <w:lvl w:ilvl="0" w:tentative="0">
      <w:start w:val="1"/>
      <w:numFmt w:val="decimal"/>
      <w:suff w:val="nothing"/>
      <w:lvlText w:val="%1、"/>
      <w:lvlJc w:val="left"/>
    </w:lvl>
  </w:abstractNum>
  <w:abstractNum w:abstractNumId="1">
    <w:nsid w:val="F987E0F1"/>
    <w:multiLevelType w:val="singleLevel"/>
    <w:tmpl w:val="F987E0F1"/>
    <w:lvl w:ilvl="0" w:tentative="0">
      <w:start w:val="1"/>
      <w:numFmt w:val="decimal"/>
      <w:suff w:val="nothing"/>
      <w:lvlText w:val="%1、"/>
      <w:lvlJc w:val="left"/>
    </w:lvl>
  </w:abstractNum>
  <w:abstractNum w:abstractNumId="2">
    <w:nsid w:val="0000003D"/>
    <w:multiLevelType w:val="multilevel"/>
    <w:tmpl w:val="0000003D"/>
    <w:lvl w:ilvl="0" w:tentative="0">
      <w:start w:val="1"/>
      <w:numFmt w:val="chineseCountingThousand"/>
      <w:pStyle w:val="5"/>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3">
    <w:nsid w:val="1655D05D"/>
    <w:multiLevelType w:val="singleLevel"/>
    <w:tmpl w:val="1655D05D"/>
    <w:lvl w:ilvl="0" w:tentative="0">
      <w:start w:val="2"/>
      <w:numFmt w:val="decimal"/>
      <w:suff w:val="nothing"/>
      <w:lvlText w:val="%1、"/>
      <w:lvlJc w:val="left"/>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8A0AB6"/>
    <w:multiLevelType w:val="singleLevel"/>
    <w:tmpl w:val="358A0AB6"/>
    <w:lvl w:ilvl="0" w:tentative="0">
      <w:start w:val="7"/>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6F1A29ED"/>
    <w:multiLevelType w:val="singleLevel"/>
    <w:tmpl w:val="6F1A29ED"/>
    <w:lvl w:ilvl="0" w:tentative="0">
      <w:start w:val="1"/>
      <w:numFmt w:val="chineseCounting"/>
      <w:suff w:val="nothing"/>
      <w:lvlText w:val="%1、"/>
      <w:lvlJc w:val="left"/>
      <w:rPr>
        <w:rFonts w:hint="eastAsia"/>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4"/>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TZiZTA5NGE2N2ZiZTY0YjVkMWYyZGIzNGU0MGIifQ=="/>
  </w:docVars>
  <w:rsids>
    <w:rsidRoot w:val="00172A27"/>
    <w:rsid w:val="000058C1"/>
    <w:rsid w:val="00005F7A"/>
    <w:rsid w:val="00007F59"/>
    <w:rsid w:val="0001029F"/>
    <w:rsid w:val="000102D4"/>
    <w:rsid w:val="00016294"/>
    <w:rsid w:val="00017BBF"/>
    <w:rsid w:val="00021EFF"/>
    <w:rsid w:val="00021FC4"/>
    <w:rsid w:val="0002291C"/>
    <w:rsid w:val="00023F8C"/>
    <w:rsid w:val="0002545F"/>
    <w:rsid w:val="00026B68"/>
    <w:rsid w:val="00027032"/>
    <w:rsid w:val="00034047"/>
    <w:rsid w:val="0003602F"/>
    <w:rsid w:val="000361E7"/>
    <w:rsid w:val="000378F2"/>
    <w:rsid w:val="00037B25"/>
    <w:rsid w:val="00037B3B"/>
    <w:rsid w:val="00037E69"/>
    <w:rsid w:val="0004431A"/>
    <w:rsid w:val="00047F32"/>
    <w:rsid w:val="00050BBD"/>
    <w:rsid w:val="00053A57"/>
    <w:rsid w:val="00054028"/>
    <w:rsid w:val="00056E5D"/>
    <w:rsid w:val="0005762B"/>
    <w:rsid w:val="000606F5"/>
    <w:rsid w:val="00061BB0"/>
    <w:rsid w:val="00062482"/>
    <w:rsid w:val="00063304"/>
    <w:rsid w:val="000643A3"/>
    <w:rsid w:val="000655FD"/>
    <w:rsid w:val="00065E68"/>
    <w:rsid w:val="00066618"/>
    <w:rsid w:val="00070B68"/>
    <w:rsid w:val="00071345"/>
    <w:rsid w:val="00071716"/>
    <w:rsid w:val="000725D4"/>
    <w:rsid w:val="00074921"/>
    <w:rsid w:val="00074B89"/>
    <w:rsid w:val="00075380"/>
    <w:rsid w:val="00083910"/>
    <w:rsid w:val="00083EDB"/>
    <w:rsid w:val="00084E31"/>
    <w:rsid w:val="000851B6"/>
    <w:rsid w:val="00085F8A"/>
    <w:rsid w:val="00090781"/>
    <w:rsid w:val="000908FA"/>
    <w:rsid w:val="000939C5"/>
    <w:rsid w:val="00094062"/>
    <w:rsid w:val="00094F40"/>
    <w:rsid w:val="000978C3"/>
    <w:rsid w:val="00097CA4"/>
    <w:rsid w:val="000A179B"/>
    <w:rsid w:val="000A2C95"/>
    <w:rsid w:val="000A2F79"/>
    <w:rsid w:val="000A5F25"/>
    <w:rsid w:val="000A60BD"/>
    <w:rsid w:val="000A710B"/>
    <w:rsid w:val="000A7F3B"/>
    <w:rsid w:val="000B2047"/>
    <w:rsid w:val="000B2801"/>
    <w:rsid w:val="000B38FB"/>
    <w:rsid w:val="000B4A07"/>
    <w:rsid w:val="000C38DC"/>
    <w:rsid w:val="000C3E5E"/>
    <w:rsid w:val="000C4679"/>
    <w:rsid w:val="000C544A"/>
    <w:rsid w:val="000D121D"/>
    <w:rsid w:val="000D204D"/>
    <w:rsid w:val="000D2C01"/>
    <w:rsid w:val="000D3847"/>
    <w:rsid w:val="000D3D00"/>
    <w:rsid w:val="000D4886"/>
    <w:rsid w:val="000D4C32"/>
    <w:rsid w:val="000D653D"/>
    <w:rsid w:val="000D694F"/>
    <w:rsid w:val="000D6E50"/>
    <w:rsid w:val="000E29DF"/>
    <w:rsid w:val="000E322F"/>
    <w:rsid w:val="000E3AAC"/>
    <w:rsid w:val="000E4F98"/>
    <w:rsid w:val="000E5934"/>
    <w:rsid w:val="000E66F3"/>
    <w:rsid w:val="000F5A0A"/>
    <w:rsid w:val="000F7BDB"/>
    <w:rsid w:val="000F7EEF"/>
    <w:rsid w:val="00100AF9"/>
    <w:rsid w:val="00100FE7"/>
    <w:rsid w:val="001020F7"/>
    <w:rsid w:val="00103D77"/>
    <w:rsid w:val="00105BBC"/>
    <w:rsid w:val="001062B6"/>
    <w:rsid w:val="001078E8"/>
    <w:rsid w:val="00110BA5"/>
    <w:rsid w:val="0011354B"/>
    <w:rsid w:val="0011396D"/>
    <w:rsid w:val="00113EAD"/>
    <w:rsid w:val="0011474C"/>
    <w:rsid w:val="00114ADB"/>
    <w:rsid w:val="00115200"/>
    <w:rsid w:val="00120CE9"/>
    <w:rsid w:val="00123BD5"/>
    <w:rsid w:val="00125073"/>
    <w:rsid w:val="001255B6"/>
    <w:rsid w:val="00127592"/>
    <w:rsid w:val="0013050F"/>
    <w:rsid w:val="0013239E"/>
    <w:rsid w:val="00132A4A"/>
    <w:rsid w:val="00133CBD"/>
    <w:rsid w:val="001350E0"/>
    <w:rsid w:val="00135173"/>
    <w:rsid w:val="00136FE5"/>
    <w:rsid w:val="001419C0"/>
    <w:rsid w:val="00141CE1"/>
    <w:rsid w:val="00141EA3"/>
    <w:rsid w:val="0014374E"/>
    <w:rsid w:val="00144A8C"/>
    <w:rsid w:val="001505CF"/>
    <w:rsid w:val="00150875"/>
    <w:rsid w:val="00150998"/>
    <w:rsid w:val="00150D75"/>
    <w:rsid w:val="001528E4"/>
    <w:rsid w:val="001533B2"/>
    <w:rsid w:val="00157327"/>
    <w:rsid w:val="001663EB"/>
    <w:rsid w:val="001711E5"/>
    <w:rsid w:val="00172A27"/>
    <w:rsid w:val="00173C54"/>
    <w:rsid w:val="001746FC"/>
    <w:rsid w:val="001750E5"/>
    <w:rsid w:val="00181ECB"/>
    <w:rsid w:val="0018394A"/>
    <w:rsid w:val="00184E4B"/>
    <w:rsid w:val="00186A58"/>
    <w:rsid w:val="001877EC"/>
    <w:rsid w:val="00192AB4"/>
    <w:rsid w:val="00196C27"/>
    <w:rsid w:val="0019750A"/>
    <w:rsid w:val="001976BE"/>
    <w:rsid w:val="001A0983"/>
    <w:rsid w:val="001A1F4A"/>
    <w:rsid w:val="001A22DA"/>
    <w:rsid w:val="001A2821"/>
    <w:rsid w:val="001A4B38"/>
    <w:rsid w:val="001B0894"/>
    <w:rsid w:val="001B271D"/>
    <w:rsid w:val="001B462C"/>
    <w:rsid w:val="001B4D1C"/>
    <w:rsid w:val="001B4E47"/>
    <w:rsid w:val="001B56E3"/>
    <w:rsid w:val="001B5775"/>
    <w:rsid w:val="001B6B02"/>
    <w:rsid w:val="001C2231"/>
    <w:rsid w:val="001C2640"/>
    <w:rsid w:val="001C2C85"/>
    <w:rsid w:val="001C5FBE"/>
    <w:rsid w:val="001C6469"/>
    <w:rsid w:val="001D0AEE"/>
    <w:rsid w:val="001D1803"/>
    <w:rsid w:val="001D1E4A"/>
    <w:rsid w:val="001D38F1"/>
    <w:rsid w:val="001D60DD"/>
    <w:rsid w:val="001E02D1"/>
    <w:rsid w:val="001E2FCD"/>
    <w:rsid w:val="001E3534"/>
    <w:rsid w:val="001E35F0"/>
    <w:rsid w:val="001E48AB"/>
    <w:rsid w:val="001E4B5A"/>
    <w:rsid w:val="001E4DE8"/>
    <w:rsid w:val="001E6317"/>
    <w:rsid w:val="001F4880"/>
    <w:rsid w:val="001F5A4B"/>
    <w:rsid w:val="001F650B"/>
    <w:rsid w:val="001F66A9"/>
    <w:rsid w:val="00200061"/>
    <w:rsid w:val="00201B85"/>
    <w:rsid w:val="002025A0"/>
    <w:rsid w:val="00206420"/>
    <w:rsid w:val="00206AF1"/>
    <w:rsid w:val="00207784"/>
    <w:rsid w:val="00207F85"/>
    <w:rsid w:val="00210BA8"/>
    <w:rsid w:val="00211E09"/>
    <w:rsid w:val="00211E0E"/>
    <w:rsid w:val="00223466"/>
    <w:rsid w:val="00224F5F"/>
    <w:rsid w:val="00225670"/>
    <w:rsid w:val="002257D7"/>
    <w:rsid w:val="00225DFC"/>
    <w:rsid w:val="00225FA1"/>
    <w:rsid w:val="00230037"/>
    <w:rsid w:val="00231148"/>
    <w:rsid w:val="002315E8"/>
    <w:rsid w:val="00232A32"/>
    <w:rsid w:val="00235015"/>
    <w:rsid w:val="0023505E"/>
    <w:rsid w:val="00235BFC"/>
    <w:rsid w:val="00236425"/>
    <w:rsid w:val="00237122"/>
    <w:rsid w:val="00240EF7"/>
    <w:rsid w:val="002416D0"/>
    <w:rsid w:val="0024174B"/>
    <w:rsid w:val="0024510C"/>
    <w:rsid w:val="002456F3"/>
    <w:rsid w:val="00245B72"/>
    <w:rsid w:val="002465F4"/>
    <w:rsid w:val="00247445"/>
    <w:rsid w:val="002476BA"/>
    <w:rsid w:val="002509ED"/>
    <w:rsid w:val="002512A5"/>
    <w:rsid w:val="00253F6B"/>
    <w:rsid w:val="00260193"/>
    <w:rsid w:val="00260CD4"/>
    <w:rsid w:val="0026106F"/>
    <w:rsid w:val="002611FD"/>
    <w:rsid w:val="00261261"/>
    <w:rsid w:val="00261BC6"/>
    <w:rsid w:val="00262F8E"/>
    <w:rsid w:val="00264685"/>
    <w:rsid w:val="002656FE"/>
    <w:rsid w:val="00265FBC"/>
    <w:rsid w:val="00266DB4"/>
    <w:rsid w:val="0026722D"/>
    <w:rsid w:val="00271E05"/>
    <w:rsid w:val="00271F9E"/>
    <w:rsid w:val="0027365F"/>
    <w:rsid w:val="002743B2"/>
    <w:rsid w:val="00275DE2"/>
    <w:rsid w:val="002764D7"/>
    <w:rsid w:val="002816D3"/>
    <w:rsid w:val="002818BB"/>
    <w:rsid w:val="00284DE4"/>
    <w:rsid w:val="00291332"/>
    <w:rsid w:val="00291680"/>
    <w:rsid w:val="00291738"/>
    <w:rsid w:val="002917E0"/>
    <w:rsid w:val="002939C3"/>
    <w:rsid w:val="00295637"/>
    <w:rsid w:val="00295FD1"/>
    <w:rsid w:val="0029796E"/>
    <w:rsid w:val="00297B18"/>
    <w:rsid w:val="002A09EE"/>
    <w:rsid w:val="002A1F8F"/>
    <w:rsid w:val="002A2D12"/>
    <w:rsid w:val="002A2F7D"/>
    <w:rsid w:val="002A5D2A"/>
    <w:rsid w:val="002A7980"/>
    <w:rsid w:val="002A7DFA"/>
    <w:rsid w:val="002B7251"/>
    <w:rsid w:val="002B77A5"/>
    <w:rsid w:val="002B7CFD"/>
    <w:rsid w:val="002C2290"/>
    <w:rsid w:val="002C3237"/>
    <w:rsid w:val="002C43C2"/>
    <w:rsid w:val="002C5470"/>
    <w:rsid w:val="002C71C8"/>
    <w:rsid w:val="002D5067"/>
    <w:rsid w:val="002D6BC6"/>
    <w:rsid w:val="002D7709"/>
    <w:rsid w:val="002D7C8B"/>
    <w:rsid w:val="002E0741"/>
    <w:rsid w:val="002E214B"/>
    <w:rsid w:val="002E385C"/>
    <w:rsid w:val="002E5876"/>
    <w:rsid w:val="002E5B21"/>
    <w:rsid w:val="002E62B0"/>
    <w:rsid w:val="002F04DA"/>
    <w:rsid w:val="002F2C1A"/>
    <w:rsid w:val="002F2F03"/>
    <w:rsid w:val="002F44CF"/>
    <w:rsid w:val="002F4912"/>
    <w:rsid w:val="002F677F"/>
    <w:rsid w:val="00301698"/>
    <w:rsid w:val="0030187C"/>
    <w:rsid w:val="00303A7A"/>
    <w:rsid w:val="00305B2D"/>
    <w:rsid w:val="0030602E"/>
    <w:rsid w:val="00307ADC"/>
    <w:rsid w:val="003101C1"/>
    <w:rsid w:val="0031212E"/>
    <w:rsid w:val="00314EA0"/>
    <w:rsid w:val="0031503B"/>
    <w:rsid w:val="003175A8"/>
    <w:rsid w:val="0032064F"/>
    <w:rsid w:val="00326242"/>
    <w:rsid w:val="003311BA"/>
    <w:rsid w:val="00331BE9"/>
    <w:rsid w:val="00332927"/>
    <w:rsid w:val="003333B8"/>
    <w:rsid w:val="003339B0"/>
    <w:rsid w:val="00335723"/>
    <w:rsid w:val="003358D8"/>
    <w:rsid w:val="00340EED"/>
    <w:rsid w:val="00342585"/>
    <w:rsid w:val="003428D6"/>
    <w:rsid w:val="00343431"/>
    <w:rsid w:val="00343F86"/>
    <w:rsid w:val="00346FA1"/>
    <w:rsid w:val="00347DEF"/>
    <w:rsid w:val="00350C1C"/>
    <w:rsid w:val="00354446"/>
    <w:rsid w:val="00355DBE"/>
    <w:rsid w:val="00356CA9"/>
    <w:rsid w:val="0036237A"/>
    <w:rsid w:val="003643E9"/>
    <w:rsid w:val="00365DFC"/>
    <w:rsid w:val="00370706"/>
    <w:rsid w:val="0037207C"/>
    <w:rsid w:val="003726F6"/>
    <w:rsid w:val="00372BAE"/>
    <w:rsid w:val="00372E97"/>
    <w:rsid w:val="003740F9"/>
    <w:rsid w:val="00374DDC"/>
    <w:rsid w:val="00375D3C"/>
    <w:rsid w:val="003817E3"/>
    <w:rsid w:val="00381EBE"/>
    <w:rsid w:val="0038506A"/>
    <w:rsid w:val="003858EF"/>
    <w:rsid w:val="0038623A"/>
    <w:rsid w:val="00393ABA"/>
    <w:rsid w:val="003943B9"/>
    <w:rsid w:val="00396574"/>
    <w:rsid w:val="003967B3"/>
    <w:rsid w:val="00397129"/>
    <w:rsid w:val="003975A5"/>
    <w:rsid w:val="0039790E"/>
    <w:rsid w:val="00397C9B"/>
    <w:rsid w:val="003A01C6"/>
    <w:rsid w:val="003A2F50"/>
    <w:rsid w:val="003A310E"/>
    <w:rsid w:val="003A3BAC"/>
    <w:rsid w:val="003A3F72"/>
    <w:rsid w:val="003A5164"/>
    <w:rsid w:val="003A5379"/>
    <w:rsid w:val="003A57BD"/>
    <w:rsid w:val="003A6093"/>
    <w:rsid w:val="003A7167"/>
    <w:rsid w:val="003B1882"/>
    <w:rsid w:val="003B3F27"/>
    <w:rsid w:val="003B481D"/>
    <w:rsid w:val="003B4B7F"/>
    <w:rsid w:val="003B5138"/>
    <w:rsid w:val="003C0241"/>
    <w:rsid w:val="003C286E"/>
    <w:rsid w:val="003D0A3A"/>
    <w:rsid w:val="003D233D"/>
    <w:rsid w:val="003D5966"/>
    <w:rsid w:val="003D6CB7"/>
    <w:rsid w:val="003D72A4"/>
    <w:rsid w:val="003D7545"/>
    <w:rsid w:val="003D77DF"/>
    <w:rsid w:val="003D78F0"/>
    <w:rsid w:val="003E5F57"/>
    <w:rsid w:val="003E6CA3"/>
    <w:rsid w:val="003E7713"/>
    <w:rsid w:val="003E7931"/>
    <w:rsid w:val="003F2753"/>
    <w:rsid w:val="003F3F9A"/>
    <w:rsid w:val="003F4B46"/>
    <w:rsid w:val="003F6F81"/>
    <w:rsid w:val="00401ABC"/>
    <w:rsid w:val="00402D58"/>
    <w:rsid w:val="00403824"/>
    <w:rsid w:val="004050BB"/>
    <w:rsid w:val="004059F8"/>
    <w:rsid w:val="004064B2"/>
    <w:rsid w:val="00407C91"/>
    <w:rsid w:val="00411773"/>
    <w:rsid w:val="0041332F"/>
    <w:rsid w:val="0041416B"/>
    <w:rsid w:val="004161DA"/>
    <w:rsid w:val="00416484"/>
    <w:rsid w:val="00417B98"/>
    <w:rsid w:val="00420773"/>
    <w:rsid w:val="00425FD6"/>
    <w:rsid w:val="00427606"/>
    <w:rsid w:val="004279C7"/>
    <w:rsid w:val="004305B4"/>
    <w:rsid w:val="004311B0"/>
    <w:rsid w:val="0043369C"/>
    <w:rsid w:val="00433D36"/>
    <w:rsid w:val="0043477C"/>
    <w:rsid w:val="00434B38"/>
    <w:rsid w:val="00434E35"/>
    <w:rsid w:val="00437A68"/>
    <w:rsid w:val="00437C76"/>
    <w:rsid w:val="00441019"/>
    <w:rsid w:val="004425EF"/>
    <w:rsid w:val="00442B6C"/>
    <w:rsid w:val="004443DA"/>
    <w:rsid w:val="00447051"/>
    <w:rsid w:val="00447C56"/>
    <w:rsid w:val="00451E6C"/>
    <w:rsid w:val="00453C4A"/>
    <w:rsid w:val="00453E65"/>
    <w:rsid w:val="004561B2"/>
    <w:rsid w:val="00456CBC"/>
    <w:rsid w:val="0045785B"/>
    <w:rsid w:val="00460058"/>
    <w:rsid w:val="004623F7"/>
    <w:rsid w:val="0046356E"/>
    <w:rsid w:val="0046763F"/>
    <w:rsid w:val="00470C4C"/>
    <w:rsid w:val="0047155C"/>
    <w:rsid w:val="004719DC"/>
    <w:rsid w:val="004721E5"/>
    <w:rsid w:val="0047357C"/>
    <w:rsid w:val="00474A51"/>
    <w:rsid w:val="00481451"/>
    <w:rsid w:val="0048159E"/>
    <w:rsid w:val="004817C2"/>
    <w:rsid w:val="004817D8"/>
    <w:rsid w:val="004819B3"/>
    <w:rsid w:val="004820DF"/>
    <w:rsid w:val="00482A61"/>
    <w:rsid w:val="004851C2"/>
    <w:rsid w:val="004861CE"/>
    <w:rsid w:val="00487729"/>
    <w:rsid w:val="00490AC6"/>
    <w:rsid w:val="004910F0"/>
    <w:rsid w:val="00491943"/>
    <w:rsid w:val="00493E82"/>
    <w:rsid w:val="00494EEB"/>
    <w:rsid w:val="00496D73"/>
    <w:rsid w:val="004A24EE"/>
    <w:rsid w:val="004A377D"/>
    <w:rsid w:val="004A405A"/>
    <w:rsid w:val="004A4129"/>
    <w:rsid w:val="004A557D"/>
    <w:rsid w:val="004A56DD"/>
    <w:rsid w:val="004A570B"/>
    <w:rsid w:val="004A5934"/>
    <w:rsid w:val="004A7F32"/>
    <w:rsid w:val="004B1233"/>
    <w:rsid w:val="004B208A"/>
    <w:rsid w:val="004B2149"/>
    <w:rsid w:val="004B2D8C"/>
    <w:rsid w:val="004B67DE"/>
    <w:rsid w:val="004B72C5"/>
    <w:rsid w:val="004B7D94"/>
    <w:rsid w:val="004C03FF"/>
    <w:rsid w:val="004C05C3"/>
    <w:rsid w:val="004C06BA"/>
    <w:rsid w:val="004C2A62"/>
    <w:rsid w:val="004C420A"/>
    <w:rsid w:val="004C434E"/>
    <w:rsid w:val="004C7A0F"/>
    <w:rsid w:val="004D00F8"/>
    <w:rsid w:val="004D097D"/>
    <w:rsid w:val="004D110E"/>
    <w:rsid w:val="004D18A5"/>
    <w:rsid w:val="004D319A"/>
    <w:rsid w:val="004D3EA6"/>
    <w:rsid w:val="004D6FC7"/>
    <w:rsid w:val="004E523D"/>
    <w:rsid w:val="004E655A"/>
    <w:rsid w:val="004E704E"/>
    <w:rsid w:val="004F364D"/>
    <w:rsid w:val="004F534F"/>
    <w:rsid w:val="004F6D64"/>
    <w:rsid w:val="004F764E"/>
    <w:rsid w:val="004F7AFA"/>
    <w:rsid w:val="0050346C"/>
    <w:rsid w:val="0050399B"/>
    <w:rsid w:val="00503EBC"/>
    <w:rsid w:val="00503F21"/>
    <w:rsid w:val="00504311"/>
    <w:rsid w:val="00507F2E"/>
    <w:rsid w:val="00510574"/>
    <w:rsid w:val="00510919"/>
    <w:rsid w:val="005121CA"/>
    <w:rsid w:val="005129D6"/>
    <w:rsid w:val="00513F04"/>
    <w:rsid w:val="00514F19"/>
    <w:rsid w:val="00515933"/>
    <w:rsid w:val="005164FD"/>
    <w:rsid w:val="0051662D"/>
    <w:rsid w:val="005167BA"/>
    <w:rsid w:val="005177C6"/>
    <w:rsid w:val="005212FD"/>
    <w:rsid w:val="00522C17"/>
    <w:rsid w:val="00524448"/>
    <w:rsid w:val="00524AD2"/>
    <w:rsid w:val="005253B2"/>
    <w:rsid w:val="005255C4"/>
    <w:rsid w:val="00526435"/>
    <w:rsid w:val="005277CA"/>
    <w:rsid w:val="005300E8"/>
    <w:rsid w:val="00531B46"/>
    <w:rsid w:val="00531DCB"/>
    <w:rsid w:val="00532531"/>
    <w:rsid w:val="00532C54"/>
    <w:rsid w:val="00532D38"/>
    <w:rsid w:val="005333A1"/>
    <w:rsid w:val="00534718"/>
    <w:rsid w:val="0053747E"/>
    <w:rsid w:val="0053785D"/>
    <w:rsid w:val="00537AF6"/>
    <w:rsid w:val="00537DF0"/>
    <w:rsid w:val="00540647"/>
    <w:rsid w:val="00540E45"/>
    <w:rsid w:val="005413C8"/>
    <w:rsid w:val="00542C5D"/>
    <w:rsid w:val="00547813"/>
    <w:rsid w:val="005478BE"/>
    <w:rsid w:val="00550396"/>
    <w:rsid w:val="005506EF"/>
    <w:rsid w:val="00550E44"/>
    <w:rsid w:val="0055181C"/>
    <w:rsid w:val="00551D57"/>
    <w:rsid w:val="005520FF"/>
    <w:rsid w:val="005542D7"/>
    <w:rsid w:val="00555558"/>
    <w:rsid w:val="00556AF7"/>
    <w:rsid w:val="00560E05"/>
    <w:rsid w:val="00562961"/>
    <w:rsid w:val="0056421D"/>
    <w:rsid w:val="00564709"/>
    <w:rsid w:val="00565450"/>
    <w:rsid w:val="00565752"/>
    <w:rsid w:val="005658DD"/>
    <w:rsid w:val="00567762"/>
    <w:rsid w:val="0057032F"/>
    <w:rsid w:val="00570C05"/>
    <w:rsid w:val="00571718"/>
    <w:rsid w:val="00571BB6"/>
    <w:rsid w:val="00573D1A"/>
    <w:rsid w:val="00573FDD"/>
    <w:rsid w:val="00574C7B"/>
    <w:rsid w:val="0057597A"/>
    <w:rsid w:val="00575CC1"/>
    <w:rsid w:val="00575F45"/>
    <w:rsid w:val="00576BA1"/>
    <w:rsid w:val="005804A2"/>
    <w:rsid w:val="00580A48"/>
    <w:rsid w:val="005823FB"/>
    <w:rsid w:val="00582534"/>
    <w:rsid w:val="005841BC"/>
    <w:rsid w:val="005843B8"/>
    <w:rsid w:val="00584C69"/>
    <w:rsid w:val="00585154"/>
    <w:rsid w:val="00591060"/>
    <w:rsid w:val="00593169"/>
    <w:rsid w:val="0059320F"/>
    <w:rsid w:val="0059390D"/>
    <w:rsid w:val="00594010"/>
    <w:rsid w:val="00594BBE"/>
    <w:rsid w:val="005955DC"/>
    <w:rsid w:val="00595FA9"/>
    <w:rsid w:val="005972C3"/>
    <w:rsid w:val="005A313F"/>
    <w:rsid w:val="005A4119"/>
    <w:rsid w:val="005A4DA2"/>
    <w:rsid w:val="005A52A9"/>
    <w:rsid w:val="005A673F"/>
    <w:rsid w:val="005A68E8"/>
    <w:rsid w:val="005B1057"/>
    <w:rsid w:val="005B21DF"/>
    <w:rsid w:val="005B308C"/>
    <w:rsid w:val="005B6B68"/>
    <w:rsid w:val="005C0614"/>
    <w:rsid w:val="005C0967"/>
    <w:rsid w:val="005C176A"/>
    <w:rsid w:val="005C29BD"/>
    <w:rsid w:val="005C2B69"/>
    <w:rsid w:val="005D0590"/>
    <w:rsid w:val="005D2DA5"/>
    <w:rsid w:val="005D4622"/>
    <w:rsid w:val="005D60C9"/>
    <w:rsid w:val="005D7453"/>
    <w:rsid w:val="005D7943"/>
    <w:rsid w:val="005E087B"/>
    <w:rsid w:val="005E110C"/>
    <w:rsid w:val="005E5586"/>
    <w:rsid w:val="005E5EDB"/>
    <w:rsid w:val="005E70E4"/>
    <w:rsid w:val="005E7AE6"/>
    <w:rsid w:val="005F44E9"/>
    <w:rsid w:val="005F6563"/>
    <w:rsid w:val="00600D08"/>
    <w:rsid w:val="00602F00"/>
    <w:rsid w:val="00603887"/>
    <w:rsid w:val="006045E6"/>
    <w:rsid w:val="0060566C"/>
    <w:rsid w:val="00605AB6"/>
    <w:rsid w:val="00607B9A"/>
    <w:rsid w:val="00612E25"/>
    <w:rsid w:val="00622E32"/>
    <w:rsid w:val="006231DE"/>
    <w:rsid w:val="00624133"/>
    <w:rsid w:val="00624E4B"/>
    <w:rsid w:val="00626C16"/>
    <w:rsid w:val="00626D07"/>
    <w:rsid w:val="00627EC6"/>
    <w:rsid w:val="00630B33"/>
    <w:rsid w:val="0063335E"/>
    <w:rsid w:val="00634CFE"/>
    <w:rsid w:val="00635629"/>
    <w:rsid w:val="00636370"/>
    <w:rsid w:val="00636961"/>
    <w:rsid w:val="0064036E"/>
    <w:rsid w:val="00640665"/>
    <w:rsid w:val="0064286B"/>
    <w:rsid w:val="00644F94"/>
    <w:rsid w:val="0065025F"/>
    <w:rsid w:val="0065063B"/>
    <w:rsid w:val="0065066E"/>
    <w:rsid w:val="006532BB"/>
    <w:rsid w:val="006533D1"/>
    <w:rsid w:val="00654A54"/>
    <w:rsid w:val="00662095"/>
    <w:rsid w:val="00662669"/>
    <w:rsid w:val="00662D7B"/>
    <w:rsid w:val="0066442C"/>
    <w:rsid w:val="00665BE5"/>
    <w:rsid w:val="006724B4"/>
    <w:rsid w:val="00674238"/>
    <w:rsid w:val="00680C22"/>
    <w:rsid w:val="00681F0C"/>
    <w:rsid w:val="0068216A"/>
    <w:rsid w:val="0068305C"/>
    <w:rsid w:val="00683FC9"/>
    <w:rsid w:val="006857B3"/>
    <w:rsid w:val="00685908"/>
    <w:rsid w:val="006859E8"/>
    <w:rsid w:val="00685AC6"/>
    <w:rsid w:val="00685DB2"/>
    <w:rsid w:val="006869E9"/>
    <w:rsid w:val="0069031B"/>
    <w:rsid w:val="00691A51"/>
    <w:rsid w:val="00695F5C"/>
    <w:rsid w:val="00696012"/>
    <w:rsid w:val="00697637"/>
    <w:rsid w:val="00697667"/>
    <w:rsid w:val="006A01B3"/>
    <w:rsid w:val="006A2399"/>
    <w:rsid w:val="006A2DE9"/>
    <w:rsid w:val="006A3276"/>
    <w:rsid w:val="006A3AC0"/>
    <w:rsid w:val="006A3E2B"/>
    <w:rsid w:val="006A454F"/>
    <w:rsid w:val="006A4FF1"/>
    <w:rsid w:val="006B137D"/>
    <w:rsid w:val="006B1AE8"/>
    <w:rsid w:val="006B4A1E"/>
    <w:rsid w:val="006B5A48"/>
    <w:rsid w:val="006B609D"/>
    <w:rsid w:val="006C0AE2"/>
    <w:rsid w:val="006C0D94"/>
    <w:rsid w:val="006C269E"/>
    <w:rsid w:val="006C2924"/>
    <w:rsid w:val="006C4232"/>
    <w:rsid w:val="006C43C0"/>
    <w:rsid w:val="006C5551"/>
    <w:rsid w:val="006C639C"/>
    <w:rsid w:val="006D22A5"/>
    <w:rsid w:val="006D2963"/>
    <w:rsid w:val="006D485E"/>
    <w:rsid w:val="006D4923"/>
    <w:rsid w:val="006D69F6"/>
    <w:rsid w:val="006E0C07"/>
    <w:rsid w:val="006E3C15"/>
    <w:rsid w:val="006E517B"/>
    <w:rsid w:val="006F005C"/>
    <w:rsid w:val="006F1BC8"/>
    <w:rsid w:val="006F2549"/>
    <w:rsid w:val="006F27A5"/>
    <w:rsid w:val="006F7D2C"/>
    <w:rsid w:val="00700877"/>
    <w:rsid w:val="00703DDF"/>
    <w:rsid w:val="00707649"/>
    <w:rsid w:val="00707BF4"/>
    <w:rsid w:val="00710FDC"/>
    <w:rsid w:val="00711087"/>
    <w:rsid w:val="00711337"/>
    <w:rsid w:val="00711C49"/>
    <w:rsid w:val="00714F75"/>
    <w:rsid w:val="00715679"/>
    <w:rsid w:val="00717AF1"/>
    <w:rsid w:val="00717BA7"/>
    <w:rsid w:val="007243DF"/>
    <w:rsid w:val="00724E58"/>
    <w:rsid w:val="0072557A"/>
    <w:rsid w:val="007256B6"/>
    <w:rsid w:val="00730BEA"/>
    <w:rsid w:val="0073114F"/>
    <w:rsid w:val="00731507"/>
    <w:rsid w:val="007319A3"/>
    <w:rsid w:val="0073343E"/>
    <w:rsid w:val="00733713"/>
    <w:rsid w:val="00734C41"/>
    <w:rsid w:val="00734D24"/>
    <w:rsid w:val="00737082"/>
    <w:rsid w:val="00743EF3"/>
    <w:rsid w:val="00751575"/>
    <w:rsid w:val="00752A41"/>
    <w:rsid w:val="00753B5F"/>
    <w:rsid w:val="00754434"/>
    <w:rsid w:val="00755BF0"/>
    <w:rsid w:val="00756C6B"/>
    <w:rsid w:val="0076084E"/>
    <w:rsid w:val="007633E9"/>
    <w:rsid w:val="00763D48"/>
    <w:rsid w:val="007643DF"/>
    <w:rsid w:val="007661C4"/>
    <w:rsid w:val="00766DBF"/>
    <w:rsid w:val="00770313"/>
    <w:rsid w:val="007707B5"/>
    <w:rsid w:val="0077231F"/>
    <w:rsid w:val="0077585D"/>
    <w:rsid w:val="007801C6"/>
    <w:rsid w:val="00780780"/>
    <w:rsid w:val="00780D8A"/>
    <w:rsid w:val="00782093"/>
    <w:rsid w:val="007869AB"/>
    <w:rsid w:val="00787753"/>
    <w:rsid w:val="00787FF9"/>
    <w:rsid w:val="0079111A"/>
    <w:rsid w:val="007912A4"/>
    <w:rsid w:val="00791918"/>
    <w:rsid w:val="00791ABB"/>
    <w:rsid w:val="00793083"/>
    <w:rsid w:val="00794363"/>
    <w:rsid w:val="00795CE4"/>
    <w:rsid w:val="00795E3E"/>
    <w:rsid w:val="007978F4"/>
    <w:rsid w:val="007A29CA"/>
    <w:rsid w:val="007A3F59"/>
    <w:rsid w:val="007A40A5"/>
    <w:rsid w:val="007A46CB"/>
    <w:rsid w:val="007A4F32"/>
    <w:rsid w:val="007A5123"/>
    <w:rsid w:val="007A57DE"/>
    <w:rsid w:val="007A775F"/>
    <w:rsid w:val="007B2832"/>
    <w:rsid w:val="007B3B39"/>
    <w:rsid w:val="007B52DA"/>
    <w:rsid w:val="007B606D"/>
    <w:rsid w:val="007C02C7"/>
    <w:rsid w:val="007C195A"/>
    <w:rsid w:val="007C49FB"/>
    <w:rsid w:val="007C7791"/>
    <w:rsid w:val="007D017C"/>
    <w:rsid w:val="007D096D"/>
    <w:rsid w:val="007D288E"/>
    <w:rsid w:val="007D5DD6"/>
    <w:rsid w:val="007D6568"/>
    <w:rsid w:val="007D7EAD"/>
    <w:rsid w:val="007E5AE8"/>
    <w:rsid w:val="007E673A"/>
    <w:rsid w:val="007F08B4"/>
    <w:rsid w:val="007F1936"/>
    <w:rsid w:val="007F392F"/>
    <w:rsid w:val="007F5837"/>
    <w:rsid w:val="007F5D32"/>
    <w:rsid w:val="007F621E"/>
    <w:rsid w:val="007F6B3A"/>
    <w:rsid w:val="007F7318"/>
    <w:rsid w:val="00801D3C"/>
    <w:rsid w:val="00803A51"/>
    <w:rsid w:val="00803D57"/>
    <w:rsid w:val="0080404F"/>
    <w:rsid w:val="00804207"/>
    <w:rsid w:val="0080429F"/>
    <w:rsid w:val="008063ED"/>
    <w:rsid w:val="00806DB3"/>
    <w:rsid w:val="008130C3"/>
    <w:rsid w:val="00813985"/>
    <w:rsid w:val="00815C6D"/>
    <w:rsid w:val="008163EB"/>
    <w:rsid w:val="008167B1"/>
    <w:rsid w:val="00821F15"/>
    <w:rsid w:val="00822664"/>
    <w:rsid w:val="00824DCB"/>
    <w:rsid w:val="0082509F"/>
    <w:rsid w:val="00826621"/>
    <w:rsid w:val="00826720"/>
    <w:rsid w:val="00830B70"/>
    <w:rsid w:val="00832A24"/>
    <w:rsid w:val="00833A03"/>
    <w:rsid w:val="00834A43"/>
    <w:rsid w:val="008364E9"/>
    <w:rsid w:val="0084159C"/>
    <w:rsid w:val="0084730D"/>
    <w:rsid w:val="00850986"/>
    <w:rsid w:val="00851D6F"/>
    <w:rsid w:val="00851DD2"/>
    <w:rsid w:val="00856C37"/>
    <w:rsid w:val="00857F09"/>
    <w:rsid w:val="008614A0"/>
    <w:rsid w:val="00861850"/>
    <w:rsid w:val="008619E5"/>
    <w:rsid w:val="00862702"/>
    <w:rsid w:val="008643F3"/>
    <w:rsid w:val="008673FE"/>
    <w:rsid w:val="00873C20"/>
    <w:rsid w:val="0087464C"/>
    <w:rsid w:val="00874679"/>
    <w:rsid w:val="008801A2"/>
    <w:rsid w:val="00881374"/>
    <w:rsid w:val="00881ADC"/>
    <w:rsid w:val="008836C9"/>
    <w:rsid w:val="00885115"/>
    <w:rsid w:val="00886A80"/>
    <w:rsid w:val="00886E32"/>
    <w:rsid w:val="0089233C"/>
    <w:rsid w:val="00896233"/>
    <w:rsid w:val="00896A6F"/>
    <w:rsid w:val="008A0162"/>
    <w:rsid w:val="008A12D0"/>
    <w:rsid w:val="008A1DDD"/>
    <w:rsid w:val="008A1F9B"/>
    <w:rsid w:val="008A33C9"/>
    <w:rsid w:val="008A34CC"/>
    <w:rsid w:val="008A5535"/>
    <w:rsid w:val="008A5FAC"/>
    <w:rsid w:val="008A671F"/>
    <w:rsid w:val="008A7716"/>
    <w:rsid w:val="008A77DF"/>
    <w:rsid w:val="008A7CCD"/>
    <w:rsid w:val="008B0042"/>
    <w:rsid w:val="008B196B"/>
    <w:rsid w:val="008B198C"/>
    <w:rsid w:val="008B51B0"/>
    <w:rsid w:val="008B5E27"/>
    <w:rsid w:val="008B6147"/>
    <w:rsid w:val="008C0A97"/>
    <w:rsid w:val="008C18A5"/>
    <w:rsid w:val="008C27C3"/>
    <w:rsid w:val="008C49C4"/>
    <w:rsid w:val="008C5022"/>
    <w:rsid w:val="008C5B13"/>
    <w:rsid w:val="008C69DF"/>
    <w:rsid w:val="008C69E4"/>
    <w:rsid w:val="008C6B0A"/>
    <w:rsid w:val="008C7DB1"/>
    <w:rsid w:val="008D1214"/>
    <w:rsid w:val="008D1A0F"/>
    <w:rsid w:val="008D2D0E"/>
    <w:rsid w:val="008D42AF"/>
    <w:rsid w:val="008D55AC"/>
    <w:rsid w:val="008D55D5"/>
    <w:rsid w:val="008D722A"/>
    <w:rsid w:val="008E0864"/>
    <w:rsid w:val="008E14D6"/>
    <w:rsid w:val="008E185D"/>
    <w:rsid w:val="008E3424"/>
    <w:rsid w:val="008E3EB1"/>
    <w:rsid w:val="008E41B2"/>
    <w:rsid w:val="008E6B35"/>
    <w:rsid w:val="008F2292"/>
    <w:rsid w:val="008F37FA"/>
    <w:rsid w:val="008F444E"/>
    <w:rsid w:val="008F44CB"/>
    <w:rsid w:val="008F45E4"/>
    <w:rsid w:val="008F4CB3"/>
    <w:rsid w:val="008F4EC0"/>
    <w:rsid w:val="008F7D03"/>
    <w:rsid w:val="00900E85"/>
    <w:rsid w:val="00901AFD"/>
    <w:rsid w:val="0090226B"/>
    <w:rsid w:val="00904DBC"/>
    <w:rsid w:val="0090587E"/>
    <w:rsid w:val="00905C6A"/>
    <w:rsid w:val="00905E0F"/>
    <w:rsid w:val="00907FB5"/>
    <w:rsid w:val="00907FE3"/>
    <w:rsid w:val="0091265E"/>
    <w:rsid w:val="009129B8"/>
    <w:rsid w:val="009142DA"/>
    <w:rsid w:val="00915AFC"/>
    <w:rsid w:val="00916BF2"/>
    <w:rsid w:val="0092106B"/>
    <w:rsid w:val="00922387"/>
    <w:rsid w:val="009230B6"/>
    <w:rsid w:val="00931165"/>
    <w:rsid w:val="009312EF"/>
    <w:rsid w:val="00931DD2"/>
    <w:rsid w:val="009343B3"/>
    <w:rsid w:val="00934E93"/>
    <w:rsid w:val="009350AF"/>
    <w:rsid w:val="009353D7"/>
    <w:rsid w:val="009401C4"/>
    <w:rsid w:val="009416CA"/>
    <w:rsid w:val="009433B0"/>
    <w:rsid w:val="00943CEB"/>
    <w:rsid w:val="00945049"/>
    <w:rsid w:val="00946634"/>
    <w:rsid w:val="00947DE2"/>
    <w:rsid w:val="009505B0"/>
    <w:rsid w:val="009533E2"/>
    <w:rsid w:val="00953469"/>
    <w:rsid w:val="00955ADB"/>
    <w:rsid w:val="00955B05"/>
    <w:rsid w:val="009601D2"/>
    <w:rsid w:val="00962E18"/>
    <w:rsid w:val="0096392C"/>
    <w:rsid w:val="00967D78"/>
    <w:rsid w:val="009710E0"/>
    <w:rsid w:val="009716AF"/>
    <w:rsid w:val="009722BC"/>
    <w:rsid w:val="0097298E"/>
    <w:rsid w:val="00974EFA"/>
    <w:rsid w:val="00975657"/>
    <w:rsid w:val="00983BA5"/>
    <w:rsid w:val="00984FCF"/>
    <w:rsid w:val="00985679"/>
    <w:rsid w:val="00985A89"/>
    <w:rsid w:val="00986B8F"/>
    <w:rsid w:val="00986BEA"/>
    <w:rsid w:val="00992988"/>
    <w:rsid w:val="00994A91"/>
    <w:rsid w:val="00995678"/>
    <w:rsid w:val="009A1807"/>
    <w:rsid w:val="009A28C8"/>
    <w:rsid w:val="009A30A5"/>
    <w:rsid w:val="009A3155"/>
    <w:rsid w:val="009A3F9E"/>
    <w:rsid w:val="009A43D8"/>
    <w:rsid w:val="009A52DD"/>
    <w:rsid w:val="009A5E11"/>
    <w:rsid w:val="009A6682"/>
    <w:rsid w:val="009A68FF"/>
    <w:rsid w:val="009B076B"/>
    <w:rsid w:val="009B097D"/>
    <w:rsid w:val="009B147A"/>
    <w:rsid w:val="009B38DD"/>
    <w:rsid w:val="009B40C7"/>
    <w:rsid w:val="009B4FA1"/>
    <w:rsid w:val="009B7D0F"/>
    <w:rsid w:val="009C1375"/>
    <w:rsid w:val="009C2BE5"/>
    <w:rsid w:val="009C3A3F"/>
    <w:rsid w:val="009C42DC"/>
    <w:rsid w:val="009C4FC2"/>
    <w:rsid w:val="009C67DC"/>
    <w:rsid w:val="009C77FF"/>
    <w:rsid w:val="009D003F"/>
    <w:rsid w:val="009D080A"/>
    <w:rsid w:val="009D3EB4"/>
    <w:rsid w:val="009D6D83"/>
    <w:rsid w:val="009D7486"/>
    <w:rsid w:val="009D7F7C"/>
    <w:rsid w:val="009E523B"/>
    <w:rsid w:val="009E52AF"/>
    <w:rsid w:val="009E5581"/>
    <w:rsid w:val="009E61A2"/>
    <w:rsid w:val="009E6908"/>
    <w:rsid w:val="009F2972"/>
    <w:rsid w:val="009F2FD8"/>
    <w:rsid w:val="009F30E6"/>
    <w:rsid w:val="009F6E7B"/>
    <w:rsid w:val="009F7311"/>
    <w:rsid w:val="00A0052B"/>
    <w:rsid w:val="00A02DBF"/>
    <w:rsid w:val="00A03A53"/>
    <w:rsid w:val="00A04558"/>
    <w:rsid w:val="00A06346"/>
    <w:rsid w:val="00A1005B"/>
    <w:rsid w:val="00A10C27"/>
    <w:rsid w:val="00A134DA"/>
    <w:rsid w:val="00A13F6A"/>
    <w:rsid w:val="00A1453E"/>
    <w:rsid w:val="00A171CD"/>
    <w:rsid w:val="00A17A38"/>
    <w:rsid w:val="00A17E64"/>
    <w:rsid w:val="00A20226"/>
    <w:rsid w:val="00A20F3F"/>
    <w:rsid w:val="00A21916"/>
    <w:rsid w:val="00A2234B"/>
    <w:rsid w:val="00A22747"/>
    <w:rsid w:val="00A23372"/>
    <w:rsid w:val="00A23B26"/>
    <w:rsid w:val="00A25ACA"/>
    <w:rsid w:val="00A30720"/>
    <w:rsid w:val="00A357CF"/>
    <w:rsid w:val="00A359A2"/>
    <w:rsid w:val="00A368BE"/>
    <w:rsid w:val="00A3754F"/>
    <w:rsid w:val="00A40656"/>
    <w:rsid w:val="00A42EAB"/>
    <w:rsid w:val="00A4335E"/>
    <w:rsid w:val="00A442F4"/>
    <w:rsid w:val="00A44F34"/>
    <w:rsid w:val="00A46D18"/>
    <w:rsid w:val="00A5270F"/>
    <w:rsid w:val="00A532DA"/>
    <w:rsid w:val="00A54344"/>
    <w:rsid w:val="00A6280D"/>
    <w:rsid w:val="00A63A3E"/>
    <w:rsid w:val="00A63CBA"/>
    <w:rsid w:val="00A642C4"/>
    <w:rsid w:val="00A6482D"/>
    <w:rsid w:val="00A652DA"/>
    <w:rsid w:val="00A66307"/>
    <w:rsid w:val="00A7282B"/>
    <w:rsid w:val="00A8000E"/>
    <w:rsid w:val="00A819CD"/>
    <w:rsid w:val="00A81B7C"/>
    <w:rsid w:val="00A825A6"/>
    <w:rsid w:val="00A82D72"/>
    <w:rsid w:val="00A84548"/>
    <w:rsid w:val="00A86365"/>
    <w:rsid w:val="00A86970"/>
    <w:rsid w:val="00A86FF6"/>
    <w:rsid w:val="00A9067B"/>
    <w:rsid w:val="00A9252B"/>
    <w:rsid w:val="00A92EBE"/>
    <w:rsid w:val="00A9516B"/>
    <w:rsid w:val="00A95AEB"/>
    <w:rsid w:val="00AA0F61"/>
    <w:rsid w:val="00AA2853"/>
    <w:rsid w:val="00AA36C7"/>
    <w:rsid w:val="00AA4459"/>
    <w:rsid w:val="00AA495E"/>
    <w:rsid w:val="00AA6934"/>
    <w:rsid w:val="00AA6E9D"/>
    <w:rsid w:val="00AA799C"/>
    <w:rsid w:val="00AA7BA4"/>
    <w:rsid w:val="00AB0C2C"/>
    <w:rsid w:val="00AB1078"/>
    <w:rsid w:val="00AB1346"/>
    <w:rsid w:val="00AB26DB"/>
    <w:rsid w:val="00AB3176"/>
    <w:rsid w:val="00AB46D4"/>
    <w:rsid w:val="00AB4A81"/>
    <w:rsid w:val="00AB4CFA"/>
    <w:rsid w:val="00AC4838"/>
    <w:rsid w:val="00AC572A"/>
    <w:rsid w:val="00AC5D56"/>
    <w:rsid w:val="00AC7340"/>
    <w:rsid w:val="00AD0813"/>
    <w:rsid w:val="00AD24EF"/>
    <w:rsid w:val="00AD2983"/>
    <w:rsid w:val="00AD5992"/>
    <w:rsid w:val="00AD5A93"/>
    <w:rsid w:val="00AE024C"/>
    <w:rsid w:val="00AE194F"/>
    <w:rsid w:val="00AE371D"/>
    <w:rsid w:val="00AE39AB"/>
    <w:rsid w:val="00AE584F"/>
    <w:rsid w:val="00AE63C3"/>
    <w:rsid w:val="00AE7CFC"/>
    <w:rsid w:val="00AF0490"/>
    <w:rsid w:val="00AF0BB9"/>
    <w:rsid w:val="00AF291F"/>
    <w:rsid w:val="00AF3CBB"/>
    <w:rsid w:val="00AF6489"/>
    <w:rsid w:val="00AF7A9F"/>
    <w:rsid w:val="00B01D34"/>
    <w:rsid w:val="00B01F7F"/>
    <w:rsid w:val="00B03609"/>
    <w:rsid w:val="00B03831"/>
    <w:rsid w:val="00B03DBB"/>
    <w:rsid w:val="00B04254"/>
    <w:rsid w:val="00B05449"/>
    <w:rsid w:val="00B05903"/>
    <w:rsid w:val="00B066F8"/>
    <w:rsid w:val="00B06E17"/>
    <w:rsid w:val="00B10648"/>
    <w:rsid w:val="00B110E8"/>
    <w:rsid w:val="00B15007"/>
    <w:rsid w:val="00B16D73"/>
    <w:rsid w:val="00B16DE7"/>
    <w:rsid w:val="00B179CD"/>
    <w:rsid w:val="00B225D7"/>
    <w:rsid w:val="00B23C0F"/>
    <w:rsid w:val="00B24177"/>
    <w:rsid w:val="00B30D05"/>
    <w:rsid w:val="00B30DFD"/>
    <w:rsid w:val="00B31253"/>
    <w:rsid w:val="00B327DB"/>
    <w:rsid w:val="00B357A3"/>
    <w:rsid w:val="00B37370"/>
    <w:rsid w:val="00B41871"/>
    <w:rsid w:val="00B4336F"/>
    <w:rsid w:val="00B4522D"/>
    <w:rsid w:val="00B4598F"/>
    <w:rsid w:val="00B46BF7"/>
    <w:rsid w:val="00B50E29"/>
    <w:rsid w:val="00B51E97"/>
    <w:rsid w:val="00B52CBD"/>
    <w:rsid w:val="00B5327F"/>
    <w:rsid w:val="00B534B4"/>
    <w:rsid w:val="00B565FE"/>
    <w:rsid w:val="00B57C66"/>
    <w:rsid w:val="00B60458"/>
    <w:rsid w:val="00B61DC3"/>
    <w:rsid w:val="00B633C4"/>
    <w:rsid w:val="00B67AEA"/>
    <w:rsid w:val="00B72C66"/>
    <w:rsid w:val="00B72CA2"/>
    <w:rsid w:val="00B73C62"/>
    <w:rsid w:val="00B83C32"/>
    <w:rsid w:val="00B85816"/>
    <w:rsid w:val="00B875C0"/>
    <w:rsid w:val="00B90075"/>
    <w:rsid w:val="00B902A6"/>
    <w:rsid w:val="00B90608"/>
    <w:rsid w:val="00B9166F"/>
    <w:rsid w:val="00B920AD"/>
    <w:rsid w:val="00B93E24"/>
    <w:rsid w:val="00B94C8E"/>
    <w:rsid w:val="00B9514C"/>
    <w:rsid w:val="00B966AC"/>
    <w:rsid w:val="00BA0A06"/>
    <w:rsid w:val="00BA1064"/>
    <w:rsid w:val="00BA485C"/>
    <w:rsid w:val="00BA48FC"/>
    <w:rsid w:val="00BA4C75"/>
    <w:rsid w:val="00BA6979"/>
    <w:rsid w:val="00BA7863"/>
    <w:rsid w:val="00BA790D"/>
    <w:rsid w:val="00BB14DC"/>
    <w:rsid w:val="00BB279B"/>
    <w:rsid w:val="00BB3D58"/>
    <w:rsid w:val="00BB4323"/>
    <w:rsid w:val="00BB452C"/>
    <w:rsid w:val="00BB4532"/>
    <w:rsid w:val="00BB4A21"/>
    <w:rsid w:val="00BB650B"/>
    <w:rsid w:val="00BB6BFB"/>
    <w:rsid w:val="00BC2785"/>
    <w:rsid w:val="00BC30DC"/>
    <w:rsid w:val="00BC4E9E"/>
    <w:rsid w:val="00BC58A4"/>
    <w:rsid w:val="00BC781E"/>
    <w:rsid w:val="00BD03E6"/>
    <w:rsid w:val="00BD148F"/>
    <w:rsid w:val="00BD1973"/>
    <w:rsid w:val="00BD358F"/>
    <w:rsid w:val="00BD4809"/>
    <w:rsid w:val="00BD5170"/>
    <w:rsid w:val="00BD5E5C"/>
    <w:rsid w:val="00BD5F32"/>
    <w:rsid w:val="00BD6416"/>
    <w:rsid w:val="00BD774B"/>
    <w:rsid w:val="00BE437C"/>
    <w:rsid w:val="00BE5949"/>
    <w:rsid w:val="00BF0241"/>
    <w:rsid w:val="00BF19DE"/>
    <w:rsid w:val="00BF3055"/>
    <w:rsid w:val="00BF3E3E"/>
    <w:rsid w:val="00C01D39"/>
    <w:rsid w:val="00C036C5"/>
    <w:rsid w:val="00C04346"/>
    <w:rsid w:val="00C047F4"/>
    <w:rsid w:val="00C04B21"/>
    <w:rsid w:val="00C04E5F"/>
    <w:rsid w:val="00C05C52"/>
    <w:rsid w:val="00C05E68"/>
    <w:rsid w:val="00C06C84"/>
    <w:rsid w:val="00C103CD"/>
    <w:rsid w:val="00C112DA"/>
    <w:rsid w:val="00C1253A"/>
    <w:rsid w:val="00C12544"/>
    <w:rsid w:val="00C12799"/>
    <w:rsid w:val="00C213E5"/>
    <w:rsid w:val="00C24F60"/>
    <w:rsid w:val="00C25C9B"/>
    <w:rsid w:val="00C261AB"/>
    <w:rsid w:val="00C32303"/>
    <w:rsid w:val="00C324B5"/>
    <w:rsid w:val="00C36220"/>
    <w:rsid w:val="00C362DF"/>
    <w:rsid w:val="00C375ED"/>
    <w:rsid w:val="00C37B1F"/>
    <w:rsid w:val="00C37F58"/>
    <w:rsid w:val="00C42BB6"/>
    <w:rsid w:val="00C42F14"/>
    <w:rsid w:val="00C44F26"/>
    <w:rsid w:val="00C5077E"/>
    <w:rsid w:val="00C52EF2"/>
    <w:rsid w:val="00C533E2"/>
    <w:rsid w:val="00C535AB"/>
    <w:rsid w:val="00C53722"/>
    <w:rsid w:val="00C537C1"/>
    <w:rsid w:val="00C53809"/>
    <w:rsid w:val="00C53B40"/>
    <w:rsid w:val="00C55493"/>
    <w:rsid w:val="00C57D30"/>
    <w:rsid w:val="00C601D5"/>
    <w:rsid w:val="00C60DC9"/>
    <w:rsid w:val="00C623F7"/>
    <w:rsid w:val="00C62AA6"/>
    <w:rsid w:val="00C63034"/>
    <w:rsid w:val="00C6413D"/>
    <w:rsid w:val="00C65706"/>
    <w:rsid w:val="00C65ACA"/>
    <w:rsid w:val="00C66C45"/>
    <w:rsid w:val="00C67F24"/>
    <w:rsid w:val="00C716A7"/>
    <w:rsid w:val="00C73097"/>
    <w:rsid w:val="00C73F67"/>
    <w:rsid w:val="00C750E2"/>
    <w:rsid w:val="00C75E74"/>
    <w:rsid w:val="00C775B9"/>
    <w:rsid w:val="00C77802"/>
    <w:rsid w:val="00C81801"/>
    <w:rsid w:val="00C81DB2"/>
    <w:rsid w:val="00C86011"/>
    <w:rsid w:val="00C8675F"/>
    <w:rsid w:val="00C914D4"/>
    <w:rsid w:val="00C91905"/>
    <w:rsid w:val="00C92B10"/>
    <w:rsid w:val="00C94322"/>
    <w:rsid w:val="00C94724"/>
    <w:rsid w:val="00C94C06"/>
    <w:rsid w:val="00C953DF"/>
    <w:rsid w:val="00C96214"/>
    <w:rsid w:val="00C966DF"/>
    <w:rsid w:val="00C97197"/>
    <w:rsid w:val="00C97E68"/>
    <w:rsid w:val="00CA19DF"/>
    <w:rsid w:val="00CA1CDE"/>
    <w:rsid w:val="00CA27FF"/>
    <w:rsid w:val="00CA3DB6"/>
    <w:rsid w:val="00CA478F"/>
    <w:rsid w:val="00CA56B5"/>
    <w:rsid w:val="00CA5DFF"/>
    <w:rsid w:val="00CA7956"/>
    <w:rsid w:val="00CB2444"/>
    <w:rsid w:val="00CB670E"/>
    <w:rsid w:val="00CB677B"/>
    <w:rsid w:val="00CB6E94"/>
    <w:rsid w:val="00CB74DE"/>
    <w:rsid w:val="00CB7E4B"/>
    <w:rsid w:val="00CC0D30"/>
    <w:rsid w:val="00CC22FF"/>
    <w:rsid w:val="00CC6901"/>
    <w:rsid w:val="00CC79BA"/>
    <w:rsid w:val="00CC7E4B"/>
    <w:rsid w:val="00CD078C"/>
    <w:rsid w:val="00CD27BA"/>
    <w:rsid w:val="00CD2C75"/>
    <w:rsid w:val="00CD5DE2"/>
    <w:rsid w:val="00CD6C97"/>
    <w:rsid w:val="00CD72D6"/>
    <w:rsid w:val="00CE37CD"/>
    <w:rsid w:val="00CE5DE5"/>
    <w:rsid w:val="00CE64D2"/>
    <w:rsid w:val="00CF055B"/>
    <w:rsid w:val="00CF2334"/>
    <w:rsid w:val="00CF2864"/>
    <w:rsid w:val="00CF3ACB"/>
    <w:rsid w:val="00CF4491"/>
    <w:rsid w:val="00CF53AC"/>
    <w:rsid w:val="00CF7598"/>
    <w:rsid w:val="00D01A91"/>
    <w:rsid w:val="00D0364B"/>
    <w:rsid w:val="00D062E0"/>
    <w:rsid w:val="00D06F21"/>
    <w:rsid w:val="00D11D6B"/>
    <w:rsid w:val="00D12B9D"/>
    <w:rsid w:val="00D135A1"/>
    <w:rsid w:val="00D14282"/>
    <w:rsid w:val="00D144D7"/>
    <w:rsid w:val="00D17755"/>
    <w:rsid w:val="00D21EB2"/>
    <w:rsid w:val="00D22B47"/>
    <w:rsid w:val="00D24484"/>
    <w:rsid w:val="00D253CD"/>
    <w:rsid w:val="00D27C1B"/>
    <w:rsid w:val="00D320AF"/>
    <w:rsid w:val="00D32226"/>
    <w:rsid w:val="00D3542F"/>
    <w:rsid w:val="00D354F3"/>
    <w:rsid w:val="00D37314"/>
    <w:rsid w:val="00D3784D"/>
    <w:rsid w:val="00D41B42"/>
    <w:rsid w:val="00D41C70"/>
    <w:rsid w:val="00D43F36"/>
    <w:rsid w:val="00D44FC8"/>
    <w:rsid w:val="00D45E87"/>
    <w:rsid w:val="00D469C2"/>
    <w:rsid w:val="00D46DD3"/>
    <w:rsid w:val="00D4720E"/>
    <w:rsid w:val="00D47AE1"/>
    <w:rsid w:val="00D50E93"/>
    <w:rsid w:val="00D52A5B"/>
    <w:rsid w:val="00D54746"/>
    <w:rsid w:val="00D54CBA"/>
    <w:rsid w:val="00D55B86"/>
    <w:rsid w:val="00D61BD2"/>
    <w:rsid w:val="00D63E6D"/>
    <w:rsid w:val="00D6701F"/>
    <w:rsid w:val="00D67E85"/>
    <w:rsid w:val="00D700E9"/>
    <w:rsid w:val="00D70C0A"/>
    <w:rsid w:val="00D70E57"/>
    <w:rsid w:val="00D72AC8"/>
    <w:rsid w:val="00D730B6"/>
    <w:rsid w:val="00D7524C"/>
    <w:rsid w:val="00D76BB6"/>
    <w:rsid w:val="00D76CF0"/>
    <w:rsid w:val="00D76F95"/>
    <w:rsid w:val="00D771EC"/>
    <w:rsid w:val="00D77551"/>
    <w:rsid w:val="00D80D27"/>
    <w:rsid w:val="00D81E4C"/>
    <w:rsid w:val="00D83FC4"/>
    <w:rsid w:val="00D845E8"/>
    <w:rsid w:val="00D870B0"/>
    <w:rsid w:val="00D879F7"/>
    <w:rsid w:val="00D87B3C"/>
    <w:rsid w:val="00D91AA6"/>
    <w:rsid w:val="00D9477B"/>
    <w:rsid w:val="00D94A98"/>
    <w:rsid w:val="00D97119"/>
    <w:rsid w:val="00D97D95"/>
    <w:rsid w:val="00DA2214"/>
    <w:rsid w:val="00DA7DD8"/>
    <w:rsid w:val="00DB118B"/>
    <w:rsid w:val="00DB1ADF"/>
    <w:rsid w:val="00DB201F"/>
    <w:rsid w:val="00DB5DB5"/>
    <w:rsid w:val="00DB5E21"/>
    <w:rsid w:val="00DB6033"/>
    <w:rsid w:val="00DB7AF2"/>
    <w:rsid w:val="00DC4490"/>
    <w:rsid w:val="00DC77BC"/>
    <w:rsid w:val="00DC7E3B"/>
    <w:rsid w:val="00DD0E99"/>
    <w:rsid w:val="00DD2172"/>
    <w:rsid w:val="00DD2A18"/>
    <w:rsid w:val="00DD4A5B"/>
    <w:rsid w:val="00DD67D4"/>
    <w:rsid w:val="00DD6EF5"/>
    <w:rsid w:val="00DE070C"/>
    <w:rsid w:val="00DE3B1D"/>
    <w:rsid w:val="00DE5AF6"/>
    <w:rsid w:val="00DE7267"/>
    <w:rsid w:val="00DF0ADB"/>
    <w:rsid w:val="00DF0FAE"/>
    <w:rsid w:val="00DF1835"/>
    <w:rsid w:val="00DF2C98"/>
    <w:rsid w:val="00DF55D2"/>
    <w:rsid w:val="00DF6B0D"/>
    <w:rsid w:val="00DF7641"/>
    <w:rsid w:val="00E00A36"/>
    <w:rsid w:val="00E030A0"/>
    <w:rsid w:val="00E04F8B"/>
    <w:rsid w:val="00E05C21"/>
    <w:rsid w:val="00E06889"/>
    <w:rsid w:val="00E0728A"/>
    <w:rsid w:val="00E076B0"/>
    <w:rsid w:val="00E07812"/>
    <w:rsid w:val="00E130A4"/>
    <w:rsid w:val="00E138DB"/>
    <w:rsid w:val="00E14859"/>
    <w:rsid w:val="00E164B1"/>
    <w:rsid w:val="00E16B3D"/>
    <w:rsid w:val="00E17513"/>
    <w:rsid w:val="00E176AA"/>
    <w:rsid w:val="00E20385"/>
    <w:rsid w:val="00E21738"/>
    <w:rsid w:val="00E25058"/>
    <w:rsid w:val="00E256F6"/>
    <w:rsid w:val="00E27CA3"/>
    <w:rsid w:val="00E314D7"/>
    <w:rsid w:val="00E32D29"/>
    <w:rsid w:val="00E34192"/>
    <w:rsid w:val="00E36E77"/>
    <w:rsid w:val="00E37062"/>
    <w:rsid w:val="00E4046A"/>
    <w:rsid w:val="00E41148"/>
    <w:rsid w:val="00E41524"/>
    <w:rsid w:val="00E42471"/>
    <w:rsid w:val="00E425C8"/>
    <w:rsid w:val="00E46EF8"/>
    <w:rsid w:val="00E4769D"/>
    <w:rsid w:val="00E51424"/>
    <w:rsid w:val="00E52F6B"/>
    <w:rsid w:val="00E57D8C"/>
    <w:rsid w:val="00E62907"/>
    <w:rsid w:val="00E635E0"/>
    <w:rsid w:val="00E64374"/>
    <w:rsid w:val="00E66AB7"/>
    <w:rsid w:val="00E7010C"/>
    <w:rsid w:val="00E701DC"/>
    <w:rsid w:val="00E710E9"/>
    <w:rsid w:val="00E71856"/>
    <w:rsid w:val="00E727FE"/>
    <w:rsid w:val="00E72D7E"/>
    <w:rsid w:val="00E740E0"/>
    <w:rsid w:val="00E742E3"/>
    <w:rsid w:val="00E756ED"/>
    <w:rsid w:val="00E7625D"/>
    <w:rsid w:val="00E7633B"/>
    <w:rsid w:val="00E77BF3"/>
    <w:rsid w:val="00E8155B"/>
    <w:rsid w:val="00E82960"/>
    <w:rsid w:val="00E867DA"/>
    <w:rsid w:val="00E86A76"/>
    <w:rsid w:val="00E86BFD"/>
    <w:rsid w:val="00E90075"/>
    <w:rsid w:val="00E9041A"/>
    <w:rsid w:val="00E90B7D"/>
    <w:rsid w:val="00E923B5"/>
    <w:rsid w:val="00E92E17"/>
    <w:rsid w:val="00E933DA"/>
    <w:rsid w:val="00E938A8"/>
    <w:rsid w:val="00E95E1D"/>
    <w:rsid w:val="00EA0EC2"/>
    <w:rsid w:val="00EA63B3"/>
    <w:rsid w:val="00EB2718"/>
    <w:rsid w:val="00EB3463"/>
    <w:rsid w:val="00EB39FF"/>
    <w:rsid w:val="00EB5721"/>
    <w:rsid w:val="00EB5991"/>
    <w:rsid w:val="00EB6278"/>
    <w:rsid w:val="00EB7DC4"/>
    <w:rsid w:val="00EC0C97"/>
    <w:rsid w:val="00EC1BED"/>
    <w:rsid w:val="00EC2467"/>
    <w:rsid w:val="00EC37EB"/>
    <w:rsid w:val="00EC51EF"/>
    <w:rsid w:val="00EC737F"/>
    <w:rsid w:val="00EC7C3C"/>
    <w:rsid w:val="00ED01B4"/>
    <w:rsid w:val="00ED188F"/>
    <w:rsid w:val="00ED3A14"/>
    <w:rsid w:val="00ED3F32"/>
    <w:rsid w:val="00ED4562"/>
    <w:rsid w:val="00ED4F29"/>
    <w:rsid w:val="00ED5294"/>
    <w:rsid w:val="00ED546B"/>
    <w:rsid w:val="00ED608D"/>
    <w:rsid w:val="00ED628B"/>
    <w:rsid w:val="00ED7E54"/>
    <w:rsid w:val="00EE106C"/>
    <w:rsid w:val="00EE1077"/>
    <w:rsid w:val="00EE2482"/>
    <w:rsid w:val="00EE32BD"/>
    <w:rsid w:val="00EE43CC"/>
    <w:rsid w:val="00EE45D1"/>
    <w:rsid w:val="00EF0372"/>
    <w:rsid w:val="00EF1693"/>
    <w:rsid w:val="00EF1CBE"/>
    <w:rsid w:val="00EF2340"/>
    <w:rsid w:val="00EF378C"/>
    <w:rsid w:val="00EF3CDD"/>
    <w:rsid w:val="00EF445F"/>
    <w:rsid w:val="00EF45CE"/>
    <w:rsid w:val="00EF52E6"/>
    <w:rsid w:val="00EF601E"/>
    <w:rsid w:val="00EF7497"/>
    <w:rsid w:val="00EF7A30"/>
    <w:rsid w:val="00F00F8B"/>
    <w:rsid w:val="00F01049"/>
    <w:rsid w:val="00F012FA"/>
    <w:rsid w:val="00F0241B"/>
    <w:rsid w:val="00F0310F"/>
    <w:rsid w:val="00F036E6"/>
    <w:rsid w:val="00F0518A"/>
    <w:rsid w:val="00F0778C"/>
    <w:rsid w:val="00F12464"/>
    <w:rsid w:val="00F14957"/>
    <w:rsid w:val="00F1512F"/>
    <w:rsid w:val="00F15D6B"/>
    <w:rsid w:val="00F16031"/>
    <w:rsid w:val="00F16ABC"/>
    <w:rsid w:val="00F2684D"/>
    <w:rsid w:val="00F26C14"/>
    <w:rsid w:val="00F30AAD"/>
    <w:rsid w:val="00F32E6D"/>
    <w:rsid w:val="00F41266"/>
    <w:rsid w:val="00F41A32"/>
    <w:rsid w:val="00F43EF7"/>
    <w:rsid w:val="00F4416F"/>
    <w:rsid w:val="00F44F96"/>
    <w:rsid w:val="00F46A91"/>
    <w:rsid w:val="00F476C8"/>
    <w:rsid w:val="00F4776B"/>
    <w:rsid w:val="00F47BFA"/>
    <w:rsid w:val="00F507CC"/>
    <w:rsid w:val="00F5082F"/>
    <w:rsid w:val="00F5176C"/>
    <w:rsid w:val="00F51E56"/>
    <w:rsid w:val="00F54722"/>
    <w:rsid w:val="00F56C9F"/>
    <w:rsid w:val="00F56E6A"/>
    <w:rsid w:val="00F56F1D"/>
    <w:rsid w:val="00F60841"/>
    <w:rsid w:val="00F6120D"/>
    <w:rsid w:val="00F63553"/>
    <w:rsid w:val="00F65200"/>
    <w:rsid w:val="00F655F3"/>
    <w:rsid w:val="00F65860"/>
    <w:rsid w:val="00F65946"/>
    <w:rsid w:val="00F65D8D"/>
    <w:rsid w:val="00F6723F"/>
    <w:rsid w:val="00F6731F"/>
    <w:rsid w:val="00F67B1A"/>
    <w:rsid w:val="00F67FF1"/>
    <w:rsid w:val="00F70C83"/>
    <w:rsid w:val="00F71C2F"/>
    <w:rsid w:val="00F73122"/>
    <w:rsid w:val="00F735A6"/>
    <w:rsid w:val="00F744A3"/>
    <w:rsid w:val="00F74508"/>
    <w:rsid w:val="00F74742"/>
    <w:rsid w:val="00F75679"/>
    <w:rsid w:val="00F76605"/>
    <w:rsid w:val="00F81D88"/>
    <w:rsid w:val="00F822FA"/>
    <w:rsid w:val="00F9005F"/>
    <w:rsid w:val="00F9019E"/>
    <w:rsid w:val="00F905CA"/>
    <w:rsid w:val="00F90D04"/>
    <w:rsid w:val="00F92C22"/>
    <w:rsid w:val="00F93466"/>
    <w:rsid w:val="00F968D0"/>
    <w:rsid w:val="00FA0372"/>
    <w:rsid w:val="00FA03FA"/>
    <w:rsid w:val="00FA097E"/>
    <w:rsid w:val="00FA1667"/>
    <w:rsid w:val="00FA3DB1"/>
    <w:rsid w:val="00FA539F"/>
    <w:rsid w:val="00FA5B7C"/>
    <w:rsid w:val="00FA5EFA"/>
    <w:rsid w:val="00FA6B4A"/>
    <w:rsid w:val="00FA7953"/>
    <w:rsid w:val="00FB32E7"/>
    <w:rsid w:val="00FB5ADA"/>
    <w:rsid w:val="00FC0A61"/>
    <w:rsid w:val="00FC25F9"/>
    <w:rsid w:val="00FC3BE8"/>
    <w:rsid w:val="00FC5E7F"/>
    <w:rsid w:val="00FC65DD"/>
    <w:rsid w:val="00FD3861"/>
    <w:rsid w:val="00FD7D46"/>
    <w:rsid w:val="00FE5151"/>
    <w:rsid w:val="00FE52F4"/>
    <w:rsid w:val="00FE679E"/>
    <w:rsid w:val="00FF4CF3"/>
    <w:rsid w:val="00FF537D"/>
    <w:rsid w:val="00FF55C1"/>
    <w:rsid w:val="01274F14"/>
    <w:rsid w:val="01303A9E"/>
    <w:rsid w:val="01383FD0"/>
    <w:rsid w:val="01451617"/>
    <w:rsid w:val="0190158D"/>
    <w:rsid w:val="01B77047"/>
    <w:rsid w:val="0203063D"/>
    <w:rsid w:val="02043122"/>
    <w:rsid w:val="02055635"/>
    <w:rsid w:val="02346456"/>
    <w:rsid w:val="024E269D"/>
    <w:rsid w:val="027B1CE2"/>
    <w:rsid w:val="029F57DD"/>
    <w:rsid w:val="02D738A3"/>
    <w:rsid w:val="034464B8"/>
    <w:rsid w:val="036576B8"/>
    <w:rsid w:val="03C71EFB"/>
    <w:rsid w:val="03D735B0"/>
    <w:rsid w:val="03FA6CDF"/>
    <w:rsid w:val="04365FFA"/>
    <w:rsid w:val="04494A43"/>
    <w:rsid w:val="04500542"/>
    <w:rsid w:val="046D244C"/>
    <w:rsid w:val="046F1BE2"/>
    <w:rsid w:val="04822D08"/>
    <w:rsid w:val="04C851F1"/>
    <w:rsid w:val="04FB048C"/>
    <w:rsid w:val="052C29BF"/>
    <w:rsid w:val="05337A63"/>
    <w:rsid w:val="055C5785"/>
    <w:rsid w:val="05913412"/>
    <w:rsid w:val="05F06637"/>
    <w:rsid w:val="062C7228"/>
    <w:rsid w:val="06517EE9"/>
    <w:rsid w:val="06C55EEB"/>
    <w:rsid w:val="07004918"/>
    <w:rsid w:val="070B6221"/>
    <w:rsid w:val="07654B87"/>
    <w:rsid w:val="07BA720E"/>
    <w:rsid w:val="07CB7156"/>
    <w:rsid w:val="07E13B30"/>
    <w:rsid w:val="07EE2CA7"/>
    <w:rsid w:val="07EF709A"/>
    <w:rsid w:val="081F2D4C"/>
    <w:rsid w:val="084E2ACF"/>
    <w:rsid w:val="084F19C0"/>
    <w:rsid w:val="08635040"/>
    <w:rsid w:val="08A83B98"/>
    <w:rsid w:val="08B2562B"/>
    <w:rsid w:val="08B5584D"/>
    <w:rsid w:val="08BC41C1"/>
    <w:rsid w:val="09190838"/>
    <w:rsid w:val="095C7B83"/>
    <w:rsid w:val="098F731B"/>
    <w:rsid w:val="0996625D"/>
    <w:rsid w:val="09DE2A70"/>
    <w:rsid w:val="0A1F4EA7"/>
    <w:rsid w:val="0AB51489"/>
    <w:rsid w:val="0ABF0DA2"/>
    <w:rsid w:val="0ACE0B6C"/>
    <w:rsid w:val="0AEE6792"/>
    <w:rsid w:val="0B33524B"/>
    <w:rsid w:val="0BD17250"/>
    <w:rsid w:val="0BE64801"/>
    <w:rsid w:val="0C7965AF"/>
    <w:rsid w:val="0C8E3524"/>
    <w:rsid w:val="0C95751F"/>
    <w:rsid w:val="0CBE378C"/>
    <w:rsid w:val="0CD426C0"/>
    <w:rsid w:val="0D63355E"/>
    <w:rsid w:val="0D6402AD"/>
    <w:rsid w:val="0D6E00F5"/>
    <w:rsid w:val="0DE27351"/>
    <w:rsid w:val="0E133FA6"/>
    <w:rsid w:val="0E195228"/>
    <w:rsid w:val="0E2217A8"/>
    <w:rsid w:val="0E925E78"/>
    <w:rsid w:val="0EA20C5D"/>
    <w:rsid w:val="0EA54211"/>
    <w:rsid w:val="0EAB227A"/>
    <w:rsid w:val="0EAD5EAE"/>
    <w:rsid w:val="0EB36468"/>
    <w:rsid w:val="0EDB1EAC"/>
    <w:rsid w:val="0EDB759D"/>
    <w:rsid w:val="0F361774"/>
    <w:rsid w:val="0F3B7D92"/>
    <w:rsid w:val="0F66630C"/>
    <w:rsid w:val="0F760781"/>
    <w:rsid w:val="0FCB5DCA"/>
    <w:rsid w:val="0FF10449"/>
    <w:rsid w:val="10485433"/>
    <w:rsid w:val="104C2911"/>
    <w:rsid w:val="107B6F12"/>
    <w:rsid w:val="11053C87"/>
    <w:rsid w:val="11316C22"/>
    <w:rsid w:val="11604A5C"/>
    <w:rsid w:val="1176169D"/>
    <w:rsid w:val="117C68E7"/>
    <w:rsid w:val="118263A1"/>
    <w:rsid w:val="119603EC"/>
    <w:rsid w:val="11A331FA"/>
    <w:rsid w:val="11A87B15"/>
    <w:rsid w:val="11C224F8"/>
    <w:rsid w:val="11DA3D05"/>
    <w:rsid w:val="120038A1"/>
    <w:rsid w:val="121A67F7"/>
    <w:rsid w:val="121E029E"/>
    <w:rsid w:val="124D4083"/>
    <w:rsid w:val="12701BF6"/>
    <w:rsid w:val="1287461C"/>
    <w:rsid w:val="12D777F2"/>
    <w:rsid w:val="12DE47E6"/>
    <w:rsid w:val="12F639E2"/>
    <w:rsid w:val="133D1517"/>
    <w:rsid w:val="136532E8"/>
    <w:rsid w:val="13CC1FE7"/>
    <w:rsid w:val="141407F8"/>
    <w:rsid w:val="14747306"/>
    <w:rsid w:val="14953687"/>
    <w:rsid w:val="14D251DA"/>
    <w:rsid w:val="155913AC"/>
    <w:rsid w:val="15BC3411"/>
    <w:rsid w:val="1614567C"/>
    <w:rsid w:val="16271ECD"/>
    <w:rsid w:val="16A76302"/>
    <w:rsid w:val="16C521B5"/>
    <w:rsid w:val="16F3593D"/>
    <w:rsid w:val="173A3666"/>
    <w:rsid w:val="17405D8B"/>
    <w:rsid w:val="17482177"/>
    <w:rsid w:val="17794290"/>
    <w:rsid w:val="17DF684D"/>
    <w:rsid w:val="17F31E94"/>
    <w:rsid w:val="181736F0"/>
    <w:rsid w:val="18301873"/>
    <w:rsid w:val="185D59F5"/>
    <w:rsid w:val="18652B97"/>
    <w:rsid w:val="18D24826"/>
    <w:rsid w:val="1930763A"/>
    <w:rsid w:val="193564B7"/>
    <w:rsid w:val="198F35F7"/>
    <w:rsid w:val="199667D2"/>
    <w:rsid w:val="19C02A41"/>
    <w:rsid w:val="19C63AD7"/>
    <w:rsid w:val="19DC2403"/>
    <w:rsid w:val="19E94399"/>
    <w:rsid w:val="19EC5D5F"/>
    <w:rsid w:val="19EF6331"/>
    <w:rsid w:val="1A2417DD"/>
    <w:rsid w:val="1A3B555D"/>
    <w:rsid w:val="1AA40BC5"/>
    <w:rsid w:val="1AA52927"/>
    <w:rsid w:val="1AFC093E"/>
    <w:rsid w:val="1B63274F"/>
    <w:rsid w:val="1B751D18"/>
    <w:rsid w:val="1B837689"/>
    <w:rsid w:val="1BA35581"/>
    <w:rsid w:val="1BBC1B6B"/>
    <w:rsid w:val="1BE1312F"/>
    <w:rsid w:val="1BE54206"/>
    <w:rsid w:val="1BFD0B5F"/>
    <w:rsid w:val="1C1224F7"/>
    <w:rsid w:val="1C211FCC"/>
    <w:rsid w:val="1C215860"/>
    <w:rsid w:val="1C3B088A"/>
    <w:rsid w:val="1CD120FF"/>
    <w:rsid w:val="1CDF6B41"/>
    <w:rsid w:val="1D2F3F5E"/>
    <w:rsid w:val="1D3121A1"/>
    <w:rsid w:val="1D52110B"/>
    <w:rsid w:val="1D567D06"/>
    <w:rsid w:val="1D5E5041"/>
    <w:rsid w:val="1D6920D8"/>
    <w:rsid w:val="1DF127C5"/>
    <w:rsid w:val="1E994839"/>
    <w:rsid w:val="1EA43D4B"/>
    <w:rsid w:val="1ECB6CF3"/>
    <w:rsid w:val="1ED63936"/>
    <w:rsid w:val="1EE82E44"/>
    <w:rsid w:val="1F095BCD"/>
    <w:rsid w:val="1F324176"/>
    <w:rsid w:val="1F3839D1"/>
    <w:rsid w:val="1F980D5B"/>
    <w:rsid w:val="1FB35C2A"/>
    <w:rsid w:val="1FB7392F"/>
    <w:rsid w:val="1FD83FC9"/>
    <w:rsid w:val="200A7C06"/>
    <w:rsid w:val="20443B05"/>
    <w:rsid w:val="20540405"/>
    <w:rsid w:val="2056015F"/>
    <w:rsid w:val="20AB7349"/>
    <w:rsid w:val="20B11C5C"/>
    <w:rsid w:val="20BE2EDB"/>
    <w:rsid w:val="20CF18B8"/>
    <w:rsid w:val="20DC1B4D"/>
    <w:rsid w:val="20E75FEA"/>
    <w:rsid w:val="211B0EE6"/>
    <w:rsid w:val="21386BBD"/>
    <w:rsid w:val="219A49A8"/>
    <w:rsid w:val="21BE7C5E"/>
    <w:rsid w:val="21C77D00"/>
    <w:rsid w:val="21CA74E9"/>
    <w:rsid w:val="21DE261D"/>
    <w:rsid w:val="21EC2BAB"/>
    <w:rsid w:val="21F22C88"/>
    <w:rsid w:val="220D46BA"/>
    <w:rsid w:val="22A60EB5"/>
    <w:rsid w:val="22D23494"/>
    <w:rsid w:val="22D81D21"/>
    <w:rsid w:val="230F0A4B"/>
    <w:rsid w:val="23165F69"/>
    <w:rsid w:val="232B1CE8"/>
    <w:rsid w:val="238263F4"/>
    <w:rsid w:val="23AF4937"/>
    <w:rsid w:val="23D64254"/>
    <w:rsid w:val="24011960"/>
    <w:rsid w:val="24054A11"/>
    <w:rsid w:val="241137D9"/>
    <w:rsid w:val="245A05CA"/>
    <w:rsid w:val="24895FF2"/>
    <w:rsid w:val="24B66F7B"/>
    <w:rsid w:val="24B95CB1"/>
    <w:rsid w:val="25101C98"/>
    <w:rsid w:val="2549427F"/>
    <w:rsid w:val="25974A42"/>
    <w:rsid w:val="25E037D0"/>
    <w:rsid w:val="2614749F"/>
    <w:rsid w:val="268C368D"/>
    <w:rsid w:val="26B92AA7"/>
    <w:rsid w:val="26F23C5A"/>
    <w:rsid w:val="27251824"/>
    <w:rsid w:val="273F2C97"/>
    <w:rsid w:val="2750534C"/>
    <w:rsid w:val="276D2FA1"/>
    <w:rsid w:val="277838F6"/>
    <w:rsid w:val="279F2C36"/>
    <w:rsid w:val="283C7C55"/>
    <w:rsid w:val="28453812"/>
    <w:rsid w:val="28A65873"/>
    <w:rsid w:val="28A91911"/>
    <w:rsid w:val="28EC1885"/>
    <w:rsid w:val="291F27EC"/>
    <w:rsid w:val="29212C84"/>
    <w:rsid w:val="2933177B"/>
    <w:rsid w:val="29394C50"/>
    <w:rsid w:val="2974095E"/>
    <w:rsid w:val="29927401"/>
    <w:rsid w:val="299608E4"/>
    <w:rsid w:val="299B6946"/>
    <w:rsid w:val="29B80978"/>
    <w:rsid w:val="29C04EC5"/>
    <w:rsid w:val="29DE1E4D"/>
    <w:rsid w:val="2A0A7696"/>
    <w:rsid w:val="2A0D0F0C"/>
    <w:rsid w:val="2A176C00"/>
    <w:rsid w:val="2A6B1D80"/>
    <w:rsid w:val="2ADB6EB7"/>
    <w:rsid w:val="2AFB54C5"/>
    <w:rsid w:val="2B055F8A"/>
    <w:rsid w:val="2B0C03A4"/>
    <w:rsid w:val="2B200651"/>
    <w:rsid w:val="2B3841A3"/>
    <w:rsid w:val="2B6F658C"/>
    <w:rsid w:val="2BA33DC6"/>
    <w:rsid w:val="2BF16B92"/>
    <w:rsid w:val="2C820DC9"/>
    <w:rsid w:val="2D511017"/>
    <w:rsid w:val="2DA67B66"/>
    <w:rsid w:val="2DFD7CDE"/>
    <w:rsid w:val="2E8818C4"/>
    <w:rsid w:val="2E922D73"/>
    <w:rsid w:val="2EBA1864"/>
    <w:rsid w:val="2EC85D5E"/>
    <w:rsid w:val="2ED50D09"/>
    <w:rsid w:val="2EF22E53"/>
    <w:rsid w:val="2F0748E7"/>
    <w:rsid w:val="2F0A6734"/>
    <w:rsid w:val="2F3D79D9"/>
    <w:rsid w:val="2F4219B8"/>
    <w:rsid w:val="2F9C54E2"/>
    <w:rsid w:val="2FC36919"/>
    <w:rsid w:val="2FC935F5"/>
    <w:rsid w:val="3014598E"/>
    <w:rsid w:val="3019494D"/>
    <w:rsid w:val="301B4DB2"/>
    <w:rsid w:val="302F5F5A"/>
    <w:rsid w:val="305C6B22"/>
    <w:rsid w:val="30B27717"/>
    <w:rsid w:val="30DB42DF"/>
    <w:rsid w:val="30E74DA6"/>
    <w:rsid w:val="30EC34E0"/>
    <w:rsid w:val="31172A76"/>
    <w:rsid w:val="31841167"/>
    <w:rsid w:val="31962F66"/>
    <w:rsid w:val="32484C4E"/>
    <w:rsid w:val="32605D06"/>
    <w:rsid w:val="32E90B44"/>
    <w:rsid w:val="33A43C30"/>
    <w:rsid w:val="33CE2C57"/>
    <w:rsid w:val="33DE6B77"/>
    <w:rsid w:val="33EC512B"/>
    <w:rsid w:val="341C101E"/>
    <w:rsid w:val="346F43F1"/>
    <w:rsid w:val="347D281C"/>
    <w:rsid w:val="34FA467B"/>
    <w:rsid w:val="35441A8C"/>
    <w:rsid w:val="35484BCD"/>
    <w:rsid w:val="355A3D41"/>
    <w:rsid w:val="35691819"/>
    <w:rsid w:val="359A6C78"/>
    <w:rsid w:val="35A304A9"/>
    <w:rsid w:val="35D573AE"/>
    <w:rsid w:val="364D7488"/>
    <w:rsid w:val="36741E16"/>
    <w:rsid w:val="36CC7811"/>
    <w:rsid w:val="36D654B6"/>
    <w:rsid w:val="36DD32BF"/>
    <w:rsid w:val="370C7272"/>
    <w:rsid w:val="371E4419"/>
    <w:rsid w:val="372F21F8"/>
    <w:rsid w:val="37355B09"/>
    <w:rsid w:val="37450A23"/>
    <w:rsid w:val="37482467"/>
    <w:rsid w:val="375A10AE"/>
    <w:rsid w:val="375F18CE"/>
    <w:rsid w:val="376D3A14"/>
    <w:rsid w:val="377543D4"/>
    <w:rsid w:val="379E050A"/>
    <w:rsid w:val="379F42F8"/>
    <w:rsid w:val="37A227C0"/>
    <w:rsid w:val="37A563A1"/>
    <w:rsid w:val="37FE1083"/>
    <w:rsid w:val="38112289"/>
    <w:rsid w:val="381439C0"/>
    <w:rsid w:val="382C54C9"/>
    <w:rsid w:val="3842422E"/>
    <w:rsid w:val="384E7A64"/>
    <w:rsid w:val="389567FE"/>
    <w:rsid w:val="389B0595"/>
    <w:rsid w:val="38A47140"/>
    <w:rsid w:val="38F80946"/>
    <w:rsid w:val="39197560"/>
    <w:rsid w:val="39275FEC"/>
    <w:rsid w:val="393153A6"/>
    <w:rsid w:val="3939253C"/>
    <w:rsid w:val="39875A90"/>
    <w:rsid w:val="39A53523"/>
    <w:rsid w:val="39A75360"/>
    <w:rsid w:val="39C661B5"/>
    <w:rsid w:val="3A24180E"/>
    <w:rsid w:val="3A3D44A3"/>
    <w:rsid w:val="3A6570A1"/>
    <w:rsid w:val="3A883352"/>
    <w:rsid w:val="3A98285C"/>
    <w:rsid w:val="3AA7541F"/>
    <w:rsid w:val="3AB16AFD"/>
    <w:rsid w:val="3ABD3CF2"/>
    <w:rsid w:val="3AD23706"/>
    <w:rsid w:val="3AD54D74"/>
    <w:rsid w:val="3ADF1772"/>
    <w:rsid w:val="3AE83617"/>
    <w:rsid w:val="3AFC44E4"/>
    <w:rsid w:val="3B377223"/>
    <w:rsid w:val="3C200787"/>
    <w:rsid w:val="3CE43D58"/>
    <w:rsid w:val="3D056DE5"/>
    <w:rsid w:val="3D150381"/>
    <w:rsid w:val="3D242DC0"/>
    <w:rsid w:val="3D3357D0"/>
    <w:rsid w:val="3D3861CD"/>
    <w:rsid w:val="3D444D9B"/>
    <w:rsid w:val="3D603B0C"/>
    <w:rsid w:val="3D9A53D2"/>
    <w:rsid w:val="3DA82763"/>
    <w:rsid w:val="3EB24A80"/>
    <w:rsid w:val="3EF344A0"/>
    <w:rsid w:val="3F0C5499"/>
    <w:rsid w:val="3F266B61"/>
    <w:rsid w:val="3F271710"/>
    <w:rsid w:val="3F564F2E"/>
    <w:rsid w:val="3F5A618E"/>
    <w:rsid w:val="403C0BE5"/>
    <w:rsid w:val="406538E2"/>
    <w:rsid w:val="40AE2408"/>
    <w:rsid w:val="40D61F9F"/>
    <w:rsid w:val="40E6513A"/>
    <w:rsid w:val="41207F0A"/>
    <w:rsid w:val="41277CAD"/>
    <w:rsid w:val="415E7BFF"/>
    <w:rsid w:val="417254CB"/>
    <w:rsid w:val="418A329E"/>
    <w:rsid w:val="41DE7B28"/>
    <w:rsid w:val="421C406A"/>
    <w:rsid w:val="421C69ED"/>
    <w:rsid w:val="423D3A47"/>
    <w:rsid w:val="423F7E57"/>
    <w:rsid w:val="428B61F9"/>
    <w:rsid w:val="433112AC"/>
    <w:rsid w:val="43313437"/>
    <w:rsid w:val="433238B4"/>
    <w:rsid w:val="434E0C0A"/>
    <w:rsid w:val="438D6152"/>
    <w:rsid w:val="43C54EEF"/>
    <w:rsid w:val="43E02C27"/>
    <w:rsid w:val="443B1E1A"/>
    <w:rsid w:val="44535F71"/>
    <w:rsid w:val="44A17A7E"/>
    <w:rsid w:val="44EE06E7"/>
    <w:rsid w:val="453C2484"/>
    <w:rsid w:val="453D6989"/>
    <w:rsid w:val="453F4987"/>
    <w:rsid w:val="45617CBE"/>
    <w:rsid w:val="456E21D5"/>
    <w:rsid w:val="45BA70B1"/>
    <w:rsid w:val="45EA2CE8"/>
    <w:rsid w:val="45F74EDF"/>
    <w:rsid w:val="4600059B"/>
    <w:rsid w:val="46160E93"/>
    <w:rsid w:val="462D006C"/>
    <w:rsid w:val="464E252C"/>
    <w:rsid w:val="46AB5174"/>
    <w:rsid w:val="46B700F8"/>
    <w:rsid w:val="46BB44BC"/>
    <w:rsid w:val="46D272F4"/>
    <w:rsid w:val="473A4BD7"/>
    <w:rsid w:val="47510996"/>
    <w:rsid w:val="47570AD2"/>
    <w:rsid w:val="47580314"/>
    <w:rsid w:val="47B34831"/>
    <w:rsid w:val="47EB41FA"/>
    <w:rsid w:val="47EF7803"/>
    <w:rsid w:val="4804144A"/>
    <w:rsid w:val="48070487"/>
    <w:rsid w:val="48501411"/>
    <w:rsid w:val="48695334"/>
    <w:rsid w:val="486A7361"/>
    <w:rsid w:val="48890152"/>
    <w:rsid w:val="48C05E0B"/>
    <w:rsid w:val="48C93CA5"/>
    <w:rsid w:val="48F87457"/>
    <w:rsid w:val="490671E3"/>
    <w:rsid w:val="490E1280"/>
    <w:rsid w:val="4922407A"/>
    <w:rsid w:val="497A63F6"/>
    <w:rsid w:val="497B7D9F"/>
    <w:rsid w:val="498E6CD6"/>
    <w:rsid w:val="49BD25AC"/>
    <w:rsid w:val="49C93F25"/>
    <w:rsid w:val="49D14B65"/>
    <w:rsid w:val="4A7B0E59"/>
    <w:rsid w:val="4A803067"/>
    <w:rsid w:val="4AB74840"/>
    <w:rsid w:val="4AD728D0"/>
    <w:rsid w:val="4ADF597A"/>
    <w:rsid w:val="4AE30D8B"/>
    <w:rsid w:val="4B2D7D43"/>
    <w:rsid w:val="4B91508D"/>
    <w:rsid w:val="4B937275"/>
    <w:rsid w:val="4BB90631"/>
    <w:rsid w:val="4C450FB8"/>
    <w:rsid w:val="4C747E14"/>
    <w:rsid w:val="4CA84AAD"/>
    <w:rsid w:val="4CAC0E3F"/>
    <w:rsid w:val="4CEA5082"/>
    <w:rsid w:val="4D2B53D3"/>
    <w:rsid w:val="4D421E62"/>
    <w:rsid w:val="4D807BBE"/>
    <w:rsid w:val="4E01515D"/>
    <w:rsid w:val="4E405991"/>
    <w:rsid w:val="4E644A95"/>
    <w:rsid w:val="4E656BC0"/>
    <w:rsid w:val="4E65774D"/>
    <w:rsid w:val="4F0023CD"/>
    <w:rsid w:val="4F056DE1"/>
    <w:rsid w:val="4F15353E"/>
    <w:rsid w:val="4F19757E"/>
    <w:rsid w:val="4F223D03"/>
    <w:rsid w:val="4F6701AB"/>
    <w:rsid w:val="4F9E5377"/>
    <w:rsid w:val="4FCB101C"/>
    <w:rsid w:val="4FE6405E"/>
    <w:rsid w:val="50540AFB"/>
    <w:rsid w:val="50602A1B"/>
    <w:rsid w:val="50612797"/>
    <w:rsid w:val="50BB53A5"/>
    <w:rsid w:val="50DC73F1"/>
    <w:rsid w:val="50FB1272"/>
    <w:rsid w:val="51174AAA"/>
    <w:rsid w:val="51C54E50"/>
    <w:rsid w:val="51DE290C"/>
    <w:rsid w:val="51E311A7"/>
    <w:rsid w:val="521356D1"/>
    <w:rsid w:val="529D10AF"/>
    <w:rsid w:val="53494392"/>
    <w:rsid w:val="535809C3"/>
    <w:rsid w:val="53E76275"/>
    <w:rsid w:val="54372316"/>
    <w:rsid w:val="547B4505"/>
    <w:rsid w:val="548E6390"/>
    <w:rsid w:val="549E4993"/>
    <w:rsid w:val="54C51393"/>
    <w:rsid w:val="54D9333A"/>
    <w:rsid w:val="54ED6EEB"/>
    <w:rsid w:val="55966BD2"/>
    <w:rsid w:val="56B23CA6"/>
    <w:rsid w:val="570755A7"/>
    <w:rsid w:val="573072C4"/>
    <w:rsid w:val="57471187"/>
    <w:rsid w:val="576F023D"/>
    <w:rsid w:val="577B6EE4"/>
    <w:rsid w:val="57AC5A21"/>
    <w:rsid w:val="57D2146B"/>
    <w:rsid w:val="57EF1F3E"/>
    <w:rsid w:val="581C0CA5"/>
    <w:rsid w:val="5828202C"/>
    <w:rsid w:val="584E2F27"/>
    <w:rsid w:val="5886355F"/>
    <w:rsid w:val="58891F15"/>
    <w:rsid w:val="58913390"/>
    <w:rsid w:val="58A35601"/>
    <w:rsid w:val="58BA7B88"/>
    <w:rsid w:val="591C62AA"/>
    <w:rsid w:val="593C1AF7"/>
    <w:rsid w:val="597E34F4"/>
    <w:rsid w:val="59DD23FD"/>
    <w:rsid w:val="59E24A9F"/>
    <w:rsid w:val="5A737CDB"/>
    <w:rsid w:val="5B761405"/>
    <w:rsid w:val="5BEC19E4"/>
    <w:rsid w:val="5BF8521E"/>
    <w:rsid w:val="5C0A7D4F"/>
    <w:rsid w:val="5C1B1303"/>
    <w:rsid w:val="5C241BA9"/>
    <w:rsid w:val="5C2453F7"/>
    <w:rsid w:val="5C4D09E5"/>
    <w:rsid w:val="5D0852CE"/>
    <w:rsid w:val="5D2928D3"/>
    <w:rsid w:val="5D2F26AA"/>
    <w:rsid w:val="5D502207"/>
    <w:rsid w:val="5DBD180F"/>
    <w:rsid w:val="5E0369A2"/>
    <w:rsid w:val="5E1C522E"/>
    <w:rsid w:val="5E3B5015"/>
    <w:rsid w:val="5E820631"/>
    <w:rsid w:val="5E822C00"/>
    <w:rsid w:val="5ECD71E6"/>
    <w:rsid w:val="5ECF201B"/>
    <w:rsid w:val="5EDA7CAB"/>
    <w:rsid w:val="5EE501EE"/>
    <w:rsid w:val="5F332FFE"/>
    <w:rsid w:val="5F4315E3"/>
    <w:rsid w:val="5FDE769B"/>
    <w:rsid w:val="5FFB11ED"/>
    <w:rsid w:val="60380678"/>
    <w:rsid w:val="605D60B2"/>
    <w:rsid w:val="60604FB9"/>
    <w:rsid w:val="609540A8"/>
    <w:rsid w:val="60B33EB4"/>
    <w:rsid w:val="611A335C"/>
    <w:rsid w:val="61216701"/>
    <w:rsid w:val="612B1527"/>
    <w:rsid w:val="626B5F89"/>
    <w:rsid w:val="627B32D8"/>
    <w:rsid w:val="62971E0C"/>
    <w:rsid w:val="62B90CFD"/>
    <w:rsid w:val="62FF6042"/>
    <w:rsid w:val="631F3899"/>
    <w:rsid w:val="63226337"/>
    <w:rsid w:val="632D650D"/>
    <w:rsid w:val="63863E37"/>
    <w:rsid w:val="63DC4A37"/>
    <w:rsid w:val="643709EB"/>
    <w:rsid w:val="64C753D2"/>
    <w:rsid w:val="64E82635"/>
    <w:rsid w:val="64F168C1"/>
    <w:rsid w:val="64F459D0"/>
    <w:rsid w:val="654655C5"/>
    <w:rsid w:val="6553668F"/>
    <w:rsid w:val="65555035"/>
    <w:rsid w:val="65647826"/>
    <w:rsid w:val="6582338C"/>
    <w:rsid w:val="65B22786"/>
    <w:rsid w:val="65CF7848"/>
    <w:rsid w:val="65E531E0"/>
    <w:rsid w:val="65F6754E"/>
    <w:rsid w:val="661735C0"/>
    <w:rsid w:val="66692167"/>
    <w:rsid w:val="66872C44"/>
    <w:rsid w:val="66A4324F"/>
    <w:rsid w:val="66DD6DB6"/>
    <w:rsid w:val="672D01B9"/>
    <w:rsid w:val="677D58AE"/>
    <w:rsid w:val="67EE62F1"/>
    <w:rsid w:val="67FE0ABC"/>
    <w:rsid w:val="68272B8D"/>
    <w:rsid w:val="682B4CB5"/>
    <w:rsid w:val="684A0973"/>
    <w:rsid w:val="688D6550"/>
    <w:rsid w:val="68A36922"/>
    <w:rsid w:val="68A638C2"/>
    <w:rsid w:val="68C1245B"/>
    <w:rsid w:val="68CF44E4"/>
    <w:rsid w:val="68D474B9"/>
    <w:rsid w:val="68D9247A"/>
    <w:rsid w:val="692837A3"/>
    <w:rsid w:val="69520021"/>
    <w:rsid w:val="696E18C3"/>
    <w:rsid w:val="69774602"/>
    <w:rsid w:val="699A4315"/>
    <w:rsid w:val="699A7243"/>
    <w:rsid w:val="69B50573"/>
    <w:rsid w:val="69BE7D9A"/>
    <w:rsid w:val="6A2D2B79"/>
    <w:rsid w:val="6A3376F7"/>
    <w:rsid w:val="6A4533FD"/>
    <w:rsid w:val="6A477F04"/>
    <w:rsid w:val="6A496835"/>
    <w:rsid w:val="6A8E7740"/>
    <w:rsid w:val="6AD5648B"/>
    <w:rsid w:val="6AE90C42"/>
    <w:rsid w:val="6B122298"/>
    <w:rsid w:val="6B44347E"/>
    <w:rsid w:val="6B4B7148"/>
    <w:rsid w:val="6B7409C3"/>
    <w:rsid w:val="6C026F3C"/>
    <w:rsid w:val="6C1769F6"/>
    <w:rsid w:val="6C19025F"/>
    <w:rsid w:val="6C2C4F32"/>
    <w:rsid w:val="6C396029"/>
    <w:rsid w:val="6C3B64A7"/>
    <w:rsid w:val="6CD83A9C"/>
    <w:rsid w:val="6D220952"/>
    <w:rsid w:val="6D256766"/>
    <w:rsid w:val="6D461855"/>
    <w:rsid w:val="6D6830E8"/>
    <w:rsid w:val="6D7F405A"/>
    <w:rsid w:val="6DB9174A"/>
    <w:rsid w:val="6DC248E6"/>
    <w:rsid w:val="6DC54E3E"/>
    <w:rsid w:val="6E1F0E23"/>
    <w:rsid w:val="6E8A1B32"/>
    <w:rsid w:val="6FA6229E"/>
    <w:rsid w:val="6FB96E19"/>
    <w:rsid w:val="6FCA266F"/>
    <w:rsid w:val="6FF900E7"/>
    <w:rsid w:val="70294286"/>
    <w:rsid w:val="708C7ADE"/>
    <w:rsid w:val="70C96F94"/>
    <w:rsid w:val="70D05D03"/>
    <w:rsid w:val="70F93881"/>
    <w:rsid w:val="711575EE"/>
    <w:rsid w:val="715349F8"/>
    <w:rsid w:val="71945E92"/>
    <w:rsid w:val="71BF1449"/>
    <w:rsid w:val="71DF3747"/>
    <w:rsid w:val="721A1FF2"/>
    <w:rsid w:val="72356C20"/>
    <w:rsid w:val="723E4008"/>
    <w:rsid w:val="725929D4"/>
    <w:rsid w:val="72A4317D"/>
    <w:rsid w:val="72AC1216"/>
    <w:rsid w:val="72B00049"/>
    <w:rsid w:val="72B70F99"/>
    <w:rsid w:val="73192710"/>
    <w:rsid w:val="732D44FD"/>
    <w:rsid w:val="73981574"/>
    <w:rsid w:val="73A03AE9"/>
    <w:rsid w:val="73B92936"/>
    <w:rsid w:val="73FB49FD"/>
    <w:rsid w:val="74376D48"/>
    <w:rsid w:val="74446098"/>
    <w:rsid w:val="746B414F"/>
    <w:rsid w:val="7472539D"/>
    <w:rsid w:val="747678BB"/>
    <w:rsid w:val="749036DA"/>
    <w:rsid w:val="74A13F3D"/>
    <w:rsid w:val="74DC45A8"/>
    <w:rsid w:val="750227FB"/>
    <w:rsid w:val="75693A34"/>
    <w:rsid w:val="759C3169"/>
    <w:rsid w:val="75B770CD"/>
    <w:rsid w:val="75CD34AB"/>
    <w:rsid w:val="75CF7ADF"/>
    <w:rsid w:val="764B4F25"/>
    <w:rsid w:val="76686C67"/>
    <w:rsid w:val="766C48DD"/>
    <w:rsid w:val="76CE603E"/>
    <w:rsid w:val="77162A8D"/>
    <w:rsid w:val="774025C7"/>
    <w:rsid w:val="77894212"/>
    <w:rsid w:val="7800271B"/>
    <w:rsid w:val="782E08A0"/>
    <w:rsid w:val="78440AB3"/>
    <w:rsid w:val="785B79C8"/>
    <w:rsid w:val="78751BD5"/>
    <w:rsid w:val="787A7054"/>
    <w:rsid w:val="788F0084"/>
    <w:rsid w:val="78A73067"/>
    <w:rsid w:val="78A9768A"/>
    <w:rsid w:val="78AA4077"/>
    <w:rsid w:val="78CA0ADB"/>
    <w:rsid w:val="78D85865"/>
    <w:rsid w:val="792C66E3"/>
    <w:rsid w:val="79947274"/>
    <w:rsid w:val="79FE73E8"/>
    <w:rsid w:val="7A237A12"/>
    <w:rsid w:val="7A6054E2"/>
    <w:rsid w:val="7A8B7D4E"/>
    <w:rsid w:val="7A98230D"/>
    <w:rsid w:val="7B4269B8"/>
    <w:rsid w:val="7B60499C"/>
    <w:rsid w:val="7B6276D7"/>
    <w:rsid w:val="7BBF0CBF"/>
    <w:rsid w:val="7BCD0EC9"/>
    <w:rsid w:val="7C0C430A"/>
    <w:rsid w:val="7C361D53"/>
    <w:rsid w:val="7C515A2B"/>
    <w:rsid w:val="7CBF1AA2"/>
    <w:rsid w:val="7CF92CB6"/>
    <w:rsid w:val="7D841C93"/>
    <w:rsid w:val="7DA92046"/>
    <w:rsid w:val="7DDF015B"/>
    <w:rsid w:val="7DEE0A06"/>
    <w:rsid w:val="7E745C2A"/>
    <w:rsid w:val="7EA95F25"/>
    <w:rsid w:val="7EBF6D37"/>
    <w:rsid w:val="7ED31DC1"/>
    <w:rsid w:val="7EF47C86"/>
    <w:rsid w:val="7F3B5B00"/>
    <w:rsid w:val="7F3C785D"/>
    <w:rsid w:val="7F510FB4"/>
    <w:rsid w:val="7FCB0BE9"/>
    <w:rsid w:val="7FE147D1"/>
    <w:rsid w:val="7FEB6C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4"/>
    <w:qFormat/>
    <w:uiPriority w:val="99"/>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6">
    <w:name w:val="heading 2"/>
    <w:basedOn w:val="1"/>
    <w:next w:val="1"/>
    <w:link w:val="65"/>
    <w:qFormat/>
    <w:uiPriority w:val="99"/>
    <w:pPr>
      <w:keepNext/>
      <w:keepLines/>
      <w:adjustRightInd w:val="0"/>
      <w:spacing w:before="260" w:after="260" w:line="416" w:lineRule="atLeast"/>
      <w:textAlignment w:val="baseline"/>
      <w:outlineLvl w:val="1"/>
    </w:pPr>
    <w:rPr>
      <w:rFonts w:ascii="Arial" w:hAnsi="Arial" w:eastAsia="黑体"/>
      <w:b/>
      <w:bCs/>
      <w:kern w:val="0"/>
      <w:sz w:val="32"/>
      <w:szCs w:val="32"/>
    </w:rPr>
  </w:style>
  <w:style w:type="paragraph" w:styleId="7">
    <w:name w:val="heading 3"/>
    <w:basedOn w:val="1"/>
    <w:next w:val="8"/>
    <w:link w:val="66"/>
    <w:qFormat/>
    <w:uiPriority w:val="99"/>
    <w:pPr>
      <w:keepNext/>
      <w:keepLines/>
      <w:adjustRightInd w:val="0"/>
      <w:spacing w:before="260" w:after="260" w:line="416" w:lineRule="atLeast"/>
      <w:textAlignment w:val="baseline"/>
      <w:outlineLvl w:val="2"/>
    </w:pPr>
    <w:rPr>
      <w:b/>
      <w:bCs/>
      <w:kern w:val="0"/>
      <w:sz w:val="32"/>
      <w:szCs w:val="32"/>
    </w:rPr>
  </w:style>
  <w:style w:type="paragraph" w:styleId="9">
    <w:name w:val="heading 4"/>
    <w:basedOn w:val="1"/>
    <w:next w:val="1"/>
    <w:link w:val="67"/>
    <w:qFormat/>
    <w:uiPriority w:val="99"/>
    <w:pPr>
      <w:keepNext/>
      <w:keepLines/>
      <w:adjustRightInd w:val="0"/>
      <w:spacing w:before="280" w:after="290" w:line="376" w:lineRule="atLeast"/>
      <w:textAlignment w:val="baseline"/>
      <w:outlineLvl w:val="3"/>
    </w:pPr>
    <w:rPr>
      <w:rFonts w:ascii="Arial" w:hAnsi="Arial" w:eastAsia="黑体"/>
      <w:b/>
      <w:bCs/>
      <w:sz w:val="28"/>
      <w:szCs w:val="28"/>
    </w:rPr>
  </w:style>
  <w:style w:type="paragraph" w:styleId="10">
    <w:name w:val="heading 5"/>
    <w:basedOn w:val="1"/>
    <w:next w:val="1"/>
    <w:link w:val="68"/>
    <w:qFormat/>
    <w:uiPriority w:val="99"/>
    <w:pPr>
      <w:keepNext/>
      <w:keepLines/>
      <w:adjustRightInd w:val="0"/>
      <w:spacing w:before="280" w:after="290" w:line="376" w:lineRule="atLeast"/>
      <w:textAlignment w:val="baseline"/>
      <w:outlineLvl w:val="4"/>
    </w:pPr>
    <w:rPr>
      <w:b/>
      <w:bCs/>
      <w:kern w:val="0"/>
      <w:sz w:val="28"/>
      <w:szCs w:val="28"/>
    </w:rPr>
  </w:style>
  <w:style w:type="paragraph" w:styleId="11">
    <w:name w:val="heading 6"/>
    <w:basedOn w:val="1"/>
    <w:next w:val="1"/>
    <w:link w:val="69"/>
    <w:qFormat/>
    <w:uiPriority w:val="99"/>
    <w:pPr>
      <w:keepNext/>
      <w:keepLines/>
      <w:adjustRightInd w:val="0"/>
      <w:spacing w:before="240" w:after="64" w:line="320" w:lineRule="atLeast"/>
      <w:textAlignment w:val="baseline"/>
      <w:outlineLvl w:val="5"/>
    </w:pPr>
    <w:rPr>
      <w:rFonts w:ascii="Cambria" w:hAnsi="Cambria"/>
      <w:b/>
      <w:bCs/>
      <w:kern w:val="0"/>
      <w:sz w:val="24"/>
      <w:szCs w:val="24"/>
    </w:rPr>
  </w:style>
  <w:style w:type="paragraph" w:styleId="12">
    <w:name w:val="heading 7"/>
    <w:basedOn w:val="1"/>
    <w:next w:val="1"/>
    <w:link w:val="70"/>
    <w:qFormat/>
    <w:uiPriority w:val="99"/>
    <w:pPr>
      <w:keepNext/>
      <w:keepLines/>
      <w:adjustRightInd w:val="0"/>
      <w:spacing w:before="240" w:after="64" w:line="320" w:lineRule="atLeast"/>
      <w:textAlignment w:val="baseline"/>
      <w:outlineLvl w:val="6"/>
    </w:pPr>
    <w:rPr>
      <w:b/>
      <w:bCs/>
      <w:kern w:val="0"/>
      <w:sz w:val="24"/>
      <w:szCs w:val="24"/>
    </w:rPr>
  </w:style>
  <w:style w:type="paragraph" w:styleId="13">
    <w:name w:val="heading 8"/>
    <w:basedOn w:val="1"/>
    <w:next w:val="1"/>
    <w:link w:val="71"/>
    <w:qFormat/>
    <w:uiPriority w:val="99"/>
    <w:pPr>
      <w:keepNext/>
      <w:keepLines/>
      <w:adjustRightInd w:val="0"/>
      <w:spacing w:before="240" w:after="64" w:line="320" w:lineRule="atLeast"/>
      <w:textAlignment w:val="baseline"/>
      <w:outlineLvl w:val="7"/>
    </w:pPr>
    <w:rPr>
      <w:rFonts w:ascii="Cambria" w:hAnsi="Cambria"/>
      <w:kern w:val="0"/>
      <w:sz w:val="24"/>
      <w:szCs w:val="24"/>
    </w:rPr>
  </w:style>
  <w:style w:type="paragraph" w:styleId="14">
    <w:name w:val="heading 9"/>
    <w:basedOn w:val="1"/>
    <w:next w:val="1"/>
    <w:link w:val="72"/>
    <w:qFormat/>
    <w:uiPriority w:val="99"/>
    <w:pPr>
      <w:keepNext/>
      <w:keepLines/>
      <w:adjustRightInd w:val="0"/>
      <w:spacing w:before="240" w:after="64" w:line="320" w:lineRule="atLeast"/>
      <w:textAlignment w:val="baseline"/>
      <w:outlineLvl w:val="8"/>
    </w:pPr>
    <w:rPr>
      <w:rFonts w:ascii="Cambria" w:hAnsi="Cambria"/>
      <w:kern w:val="0"/>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89"/>
    <w:qFormat/>
    <w:locked/>
    <w:uiPriority w:val="99"/>
    <w:pPr>
      <w:ind w:firstLine="420" w:firstLineChars="200"/>
    </w:pPr>
    <w:rPr>
      <w:sz w:val="21"/>
      <w:szCs w:val="21"/>
    </w:rPr>
  </w:style>
  <w:style w:type="paragraph" w:styleId="3">
    <w:name w:val="Body Text Indent"/>
    <w:basedOn w:val="1"/>
    <w:next w:val="4"/>
    <w:link w:val="76"/>
    <w:qFormat/>
    <w:uiPriority w:val="99"/>
    <w:pPr>
      <w:spacing w:after="156"/>
      <w:ind w:firstLine="480"/>
    </w:pPr>
    <w:rPr>
      <w:sz w:val="24"/>
      <w:szCs w:val="24"/>
    </w:rPr>
  </w:style>
  <w:style w:type="paragraph" w:styleId="4">
    <w:name w:val="envelope return"/>
    <w:basedOn w:val="1"/>
    <w:qFormat/>
    <w:locked/>
    <w:uiPriority w:val="99"/>
    <w:pPr>
      <w:snapToGrid w:val="0"/>
    </w:pPr>
    <w:rPr>
      <w:rFonts w:ascii="Arial" w:hAnsi="Arial" w:cs="Arial"/>
    </w:rPr>
  </w:style>
  <w:style w:type="paragraph" w:styleId="8">
    <w:name w:val="Normal Indent"/>
    <w:basedOn w:val="1"/>
    <w:link w:val="73"/>
    <w:qFormat/>
    <w:uiPriority w:val="99"/>
    <w:pPr>
      <w:ind w:firstLine="420"/>
    </w:pPr>
  </w:style>
  <w:style w:type="paragraph" w:styleId="15">
    <w:name w:val="List 3"/>
    <w:basedOn w:val="1"/>
    <w:qFormat/>
    <w:uiPriority w:val="99"/>
    <w:pPr>
      <w:ind w:left="100" w:leftChars="400" w:hanging="200" w:hangingChars="200"/>
    </w:pPr>
  </w:style>
  <w:style w:type="paragraph" w:styleId="16">
    <w:name w:val="toc 7"/>
    <w:basedOn w:val="1"/>
    <w:next w:val="1"/>
    <w:semiHidden/>
    <w:qFormat/>
    <w:uiPriority w:val="99"/>
    <w:pPr>
      <w:ind w:left="1260"/>
      <w:jc w:val="left"/>
    </w:pPr>
    <w:rPr>
      <w:sz w:val="18"/>
      <w:szCs w:val="18"/>
    </w:rPr>
  </w:style>
  <w:style w:type="paragraph" w:styleId="17">
    <w:name w:val="Document Map"/>
    <w:basedOn w:val="1"/>
    <w:link w:val="74"/>
    <w:semiHidden/>
    <w:qFormat/>
    <w:uiPriority w:val="99"/>
    <w:pPr>
      <w:shd w:val="clear" w:color="auto" w:fill="000080"/>
    </w:pPr>
    <w:rPr>
      <w:kern w:val="0"/>
      <w:sz w:val="2"/>
      <w:szCs w:val="2"/>
    </w:rPr>
  </w:style>
  <w:style w:type="paragraph" w:styleId="18">
    <w:name w:val="annotation text"/>
    <w:basedOn w:val="1"/>
    <w:link w:val="75"/>
    <w:semiHidden/>
    <w:qFormat/>
    <w:uiPriority w:val="99"/>
    <w:pPr>
      <w:jc w:val="left"/>
    </w:pPr>
  </w:style>
  <w:style w:type="paragraph" w:styleId="19">
    <w:name w:val="Body Text"/>
    <w:basedOn w:val="1"/>
    <w:next w:val="20"/>
    <w:link w:val="63"/>
    <w:qFormat/>
    <w:uiPriority w:val="99"/>
    <w:rPr>
      <w:kern w:val="0"/>
    </w:rPr>
  </w:style>
  <w:style w:type="paragraph" w:customStyle="1" w:styleId="20">
    <w:name w:val="style4"/>
    <w:basedOn w:val="1"/>
    <w:next w:val="21"/>
    <w:qFormat/>
    <w:uiPriority w:val="99"/>
    <w:pPr>
      <w:widowControl/>
      <w:spacing w:before="280" w:after="280"/>
    </w:pPr>
    <w:rPr>
      <w:rFonts w:ascii="宋体"/>
      <w:sz w:val="18"/>
    </w:rPr>
  </w:style>
  <w:style w:type="paragraph" w:customStyle="1" w:styleId="21">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22">
    <w:name w:val="List 2"/>
    <w:basedOn w:val="1"/>
    <w:qFormat/>
    <w:uiPriority w:val="99"/>
    <w:pPr>
      <w:ind w:left="100" w:leftChars="200" w:hanging="200" w:hangingChars="200"/>
    </w:pPr>
  </w:style>
  <w:style w:type="paragraph" w:styleId="23">
    <w:name w:val="List Continue"/>
    <w:basedOn w:val="1"/>
    <w:qFormat/>
    <w:uiPriority w:val="99"/>
    <w:pPr>
      <w:spacing w:after="120"/>
      <w:ind w:left="420" w:leftChars="200"/>
    </w:pPr>
  </w:style>
  <w:style w:type="paragraph" w:styleId="24">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5">
    <w:name w:val="toc 5"/>
    <w:basedOn w:val="1"/>
    <w:next w:val="1"/>
    <w:semiHidden/>
    <w:qFormat/>
    <w:uiPriority w:val="99"/>
    <w:pPr>
      <w:ind w:left="840"/>
      <w:jc w:val="left"/>
    </w:pPr>
    <w:rPr>
      <w:sz w:val="18"/>
      <w:szCs w:val="18"/>
    </w:rPr>
  </w:style>
  <w:style w:type="paragraph" w:styleId="26">
    <w:name w:val="toc 3"/>
    <w:basedOn w:val="1"/>
    <w:next w:val="1"/>
    <w:semiHidden/>
    <w:qFormat/>
    <w:uiPriority w:val="99"/>
    <w:pPr>
      <w:ind w:left="420"/>
      <w:jc w:val="left"/>
    </w:pPr>
    <w:rPr>
      <w:i/>
      <w:iCs/>
      <w:sz w:val="20"/>
      <w:szCs w:val="20"/>
    </w:rPr>
  </w:style>
  <w:style w:type="paragraph" w:styleId="27">
    <w:name w:val="Plain Text"/>
    <w:basedOn w:val="1"/>
    <w:link w:val="77"/>
    <w:qFormat/>
    <w:uiPriority w:val="99"/>
    <w:rPr>
      <w:rFonts w:ascii="宋体" w:hAnsi="Courier New"/>
      <w:kern w:val="0"/>
    </w:rPr>
  </w:style>
  <w:style w:type="paragraph" w:styleId="28">
    <w:name w:val="toc 8"/>
    <w:basedOn w:val="1"/>
    <w:next w:val="1"/>
    <w:semiHidden/>
    <w:qFormat/>
    <w:uiPriority w:val="99"/>
    <w:pPr>
      <w:ind w:left="1470"/>
      <w:jc w:val="left"/>
    </w:pPr>
    <w:rPr>
      <w:sz w:val="18"/>
      <w:szCs w:val="18"/>
    </w:rPr>
  </w:style>
  <w:style w:type="paragraph" w:styleId="29">
    <w:name w:val="Date"/>
    <w:basedOn w:val="1"/>
    <w:next w:val="1"/>
    <w:link w:val="78"/>
    <w:qFormat/>
    <w:uiPriority w:val="99"/>
    <w:pPr>
      <w:widowControl/>
      <w:ind w:left="100"/>
      <w:jc w:val="left"/>
    </w:pPr>
    <w:rPr>
      <w:kern w:val="0"/>
    </w:rPr>
  </w:style>
  <w:style w:type="paragraph" w:styleId="30">
    <w:name w:val="Body Text Indent 2"/>
    <w:basedOn w:val="1"/>
    <w:link w:val="79"/>
    <w:qFormat/>
    <w:uiPriority w:val="99"/>
    <w:pPr>
      <w:ind w:left="1436" w:leftChars="684"/>
    </w:pPr>
    <w:rPr>
      <w:kern w:val="0"/>
    </w:rPr>
  </w:style>
  <w:style w:type="paragraph" w:styleId="31">
    <w:name w:val="List Continue 5"/>
    <w:basedOn w:val="1"/>
    <w:qFormat/>
    <w:uiPriority w:val="99"/>
    <w:pPr>
      <w:spacing w:after="120"/>
      <w:ind w:left="2100" w:leftChars="1000"/>
    </w:pPr>
  </w:style>
  <w:style w:type="paragraph" w:styleId="32">
    <w:name w:val="Balloon Text"/>
    <w:basedOn w:val="1"/>
    <w:link w:val="80"/>
    <w:semiHidden/>
    <w:qFormat/>
    <w:uiPriority w:val="99"/>
    <w:rPr>
      <w:sz w:val="18"/>
      <w:szCs w:val="18"/>
    </w:rPr>
  </w:style>
  <w:style w:type="paragraph" w:styleId="33">
    <w:name w:val="footer"/>
    <w:basedOn w:val="1"/>
    <w:link w:val="81"/>
    <w:qFormat/>
    <w:uiPriority w:val="99"/>
    <w:pPr>
      <w:tabs>
        <w:tab w:val="center" w:pos="4153"/>
        <w:tab w:val="right" w:pos="8306"/>
      </w:tabs>
      <w:snapToGrid w:val="0"/>
      <w:jc w:val="left"/>
    </w:pPr>
    <w:rPr>
      <w:sz w:val="18"/>
      <w:szCs w:val="18"/>
    </w:rPr>
  </w:style>
  <w:style w:type="paragraph" w:styleId="34">
    <w:name w:val="header"/>
    <w:basedOn w:val="1"/>
    <w:link w:val="82"/>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6">
    <w:name w:val="List Continue 4"/>
    <w:basedOn w:val="1"/>
    <w:qFormat/>
    <w:uiPriority w:val="99"/>
    <w:pPr>
      <w:spacing w:after="120"/>
      <w:ind w:left="1680" w:leftChars="800"/>
    </w:pPr>
  </w:style>
  <w:style w:type="paragraph" w:styleId="37">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8">
    <w:name w:val="List"/>
    <w:basedOn w:val="1"/>
    <w:qFormat/>
    <w:uiPriority w:val="99"/>
    <w:pPr>
      <w:ind w:left="200" w:hanging="200" w:hangingChars="200"/>
    </w:pPr>
  </w:style>
  <w:style w:type="paragraph" w:styleId="39">
    <w:name w:val="footnote text"/>
    <w:basedOn w:val="1"/>
    <w:link w:val="83"/>
    <w:semiHidden/>
    <w:qFormat/>
    <w:uiPriority w:val="99"/>
    <w:pPr>
      <w:snapToGrid w:val="0"/>
      <w:jc w:val="left"/>
    </w:pPr>
    <w:rPr>
      <w:kern w:val="0"/>
      <w:sz w:val="18"/>
      <w:szCs w:val="18"/>
    </w:rPr>
  </w:style>
  <w:style w:type="paragraph" w:styleId="40">
    <w:name w:val="toc 6"/>
    <w:basedOn w:val="1"/>
    <w:next w:val="1"/>
    <w:semiHidden/>
    <w:qFormat/>
    <w:uiPriority w:val="99"/>
    <w:pPr>
      <w:ind w:left="1050"/>
      <w:jc w:val="left"/>
    </w:pPr>
    <w:rPr>
      <w:sz w:val="18"/>
      <w:szCs w:val="18"/>
    </w:rPr>
  </w:style>
  <w:style w:type="paragraph" w:styleId="41">
    <w:name w:val="List 5"/>
    <w:basedOn w:val="1"/>
    <w:qFormat/>
    <w:uiPriority w:val="99"/>
    <w:pPr>
      <w:ind w:left="100" w:leftChars="800" w:hanging="200" w:hangingChars="200"/>
    </w:pPr>
  </w:style>
  <w:style w:type="paragraph" w:styleId="42">
    <w:name w:val="Body Text Indent 3"/>
    <w:basedOn w:val="1"/>
    <w:link w:val="84"/>
    <w:qFormat/>
    <w:uiPriority w:val="99"/>
    <w:pPr>
      <w:spacing w:after="120"/>
      <w:ind w:left="420" w:leftChars="200"/>
    </w:pPr>
    <w:rPr>
      <w:kern w:val="0"/>
      <w:sz w:val="16"/>
      <w:szCs w:val="16"/>
    </w:rPr>
  </w:style>
  <w:style w:type="paragraph" w:styleId="43">
    <w:name w:val="toc 2"/>
    <w:basedOn w:val="1"/>
    <w:next w:val="1"/>
    <w:semiHidden/>
    <w:qFormat/>
    <w:uiPriority w:val="99"/>
    <w:pPr>
      <w:ind w:left="210"/>
      <w:jc w:val="left"/>
    </w:pPr>
    <w:rPr>
      <w:smallCaps/>
      <w:sz w:val="20"/>
      <w:szCs w:val="20"/>
    </w:rPr>
  </w:style>
  <w:style w:type="paragraph" w:styleId="44">
    <w:name w:val="toc 9"/>
    <w:basedOn w:val="1"/>
    <w:next w:val="1"/>
    <w:semiHidden/>
    <w:qFormat/>
    <w:uiPriority w:val="99"/>
    <w:pPr>
      <w:ind w:left="1680"/>
      <w:jc w:val="left"/>
    </w:pPr>
    <w:rPr>
      <w:sz w:val="18"/>
      <w:szCs w:val="18"/>
    </w:rPr>
  </w:style>
  <w:style w:type="paragraph" w:styleId="45">
    <w:name w:val="Body Text 2"/>
    <w:basedOn w:val="1"/>
    <w:link w:val="85"/>
    <w:qFormat/>
    <w:uiPriority w:val="99"/>
    <w:rPr>
      <w:kern w:val="0"/>
    </w:rPr>
  </w:style>
  <w:style w:type="paragraph" w:styleId="46">
    <w:name w:val="List 4"/>
    <w:basedOn w:val="1"/>
    <w:qFormat/>
    <w:uiPriority w:val="99"/>
    <w:pPr>
      <w:ind w:left="100" w:leftChars="600" w:hanging="200" w:hangingChars="200"/>
    </w:pPr>
  </w:style>
  <w:style w:type="paragraph" w:styleId="47">
    <w:name w:val="List Continue 2"/>
    <w:basedOn w:val="1"/>
    <w:qFormat/>
    <w:uiPriority w:val="99"/>
    <w:pPr>
      <w:spacing w:after="120"/>
      <w:ind w:left="840" w:leftChars="400"/>
    </w:pPr>
  </w:style>
  <w:style w:type="paragraph" w:styleId="48">
    <w:name w:val="HTML Preformatted"/>
    <w:basedOn w:val="1"/>
    <w:link w:val="86"/>
    <w:qFormat/>
    <w:uiPriority w:val="99"/>
    <w:rPr>
      <w:rFonts w:ascii="Courier New" w:hAnsi="Courier New"/>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0">
    <w:name w:val="List Continue 3"/>
    <w:basedOn w:val="1"/>
    <w:qFormat/>
    <w:uiPriority w:val="99"/>
    <w:pPr>
      <w:spacing w:after="120"/>
      <w:ind w:left="1260" w:leftChars="600"/>
    </w:pPr>
  </w:style>
  <w:style w:type="paragraph" w:styleId="51">
    <w:name w:val="annotation subject"/>
    <w:basedOn w:val="18"/>
    <w:next w:val="18"/>
    <w:link w:val="87"/>
    <w:semiHidden/>
    <w:qFormat/>
    <w:uiPriority w:val="99"/>
    <w:rPr>
      <w:b/>
      <w:bCs/>
    </w:rPr>
  </w:style>
  <w:style w:type="paragraph" w:styleId="52">
    <w:name w:val="Body Text First Indent"/>
    <w:basedOn w:val="19"/>
    <w:link w:val="88"/>
    <w:qFormat/>
    <w:uiPriority w:val="99"/>
    <w:pPr>
      <w:spacing w:line="360" w:lineRule="auto"/>
      <w:ind w:firstLine="482"/>
    </w:pPr>
  </w:style>
  <w:style w:type="table" w:styleId="54">
    <w:name w:val="Table Grid"/>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locked/>
    <w:uiPriority w:val="22"/>
    <w:rPr>
      <w:b/>
      <w:bCs/>
    </w:rPr>
  </w:style>
  <w:style w:type="character" w:styleId="57">
    <w:name w:val="page number"/>
    <w:qFormat/>
    <w:uiPriority w:val="99"/>
  </w:style>
  <w:style w:type="character" w:styleId="58">
    <w:name w:val="FollowedHyperlink"/>
    <w:qFormat/>
    <w:locked/>
    <w:uiPriority w:val="99"/>
    <w:rPr>
      <w:color w:val="auto"/>
      <w:u w:val="none"/>
    </w:rPr>
  </w:style>
  <w:style w:type="character" w:styleId="59">
    <w:name w:val="Hyperlink"/>
    <w:qFormat/>
    <w:uiPriority w:val="99"/>
    <w:rPr>
      <w:color w:val="auto"/>
      <w:u w:val="none"/>
    </w:rPr>
  </w:style>
  <w:style w:type="character" w:styleId="60">
    <w:name w:val="annotation reference"/>
    <w:semiHidden/>
    <w:qFormat/>
    <w:uiPriority w:val="99"/>
    <w:rPr>
      <w:sz w:val="21"/>
      <w:szCs w:val="21"/>
    </w:rPr>
  </w:style>
  <w:style w:type="character" w:styleId="61">
    <w:name w:val="footnote reference"/>
    <w:semiHidden/>
    <w:qFormat/>
    <w:uiPriority w:val="99"/>
    <w:rPr>
      <w:vertAlign w:val="superscript"/>
    </w:rPr>
  </w:style>
  <w:style w:type="paragraph" w:customStyle="1" w:styleId="62">
    <w:name w:val=" Char"/>
    <w:basedOn w:val="1"/>
    <w:qFormat/>
    <w:uiPriority w:val="0"/>
    <w:pPr>
      <w:widowControl/>
      <w:spacing w:after="160" w:afterLines="0" w:line="240" w:lineRule="exact"/>
      <w:jc w:val="left"/>
    </w:pPr>
    <w:rPr>
      <w:rFonts w:ascii="Verdana" w:hAnsi="Verdana" w:eastAsia="宋体"/>
      <w:kern w:val="0"/>
      <w:sz w:val="21"/>
      <w:lang w:eastAsia="en-US"/>
    </w:rPr>
  </w:style>
  <w:style w:type="character" w:customStyle="1" w:styleId="63">
    <w:name w:val="正文文本 Char"/>
    <w:link w:val="19"/>
    <w:semiHidden/>
    <w:qFormat/>
    <w:locked/>
    <w:uiPriority w:val="99"/>
    <w:rPr>
      <w:rFonts w:ascii="Times New Roman" w:hAnsi="Times New Roman" w:cs="Times New Roman"/>
      <w:sz w:val="21"/>
      <w:szCs w:val="21"/>
    </w:rPr>
  </w:style>
  <w:style w:type="character" w:customStyle="1" w:styleId="64">
    <w:name w:val="标题 1 Char"/>
    <w:link w:val="5"/>
    <w:qFormat/>
    <w:locked/>
    <w:uiPriority w:val="99"/>
    <w:rPr>
      <w:b/>
      <w:bCs/>
      <w:kern w:val="44"/>
      <w:sz w:val="44"/>
      <w:szCs w:val="44"/>
    </w:rPr>
  </w:style>
  <w:style w:type="character" w:customStyle="1" w:styleId="65">
    <w:name w:val="标题 2 Char"/>
    <w:link w:val="6"/>
    <w:qFormat/>
    <w:locked/>
    <w:uiPriority w:val="99"/>
    <w:rPr>
      <w:rFonts w:ascii="Arial" w:hAnsi="Arial" w:eastAsia="黑体" w:cs="Arial"/>
      <w:b/>
      <w:bCs/>
      <w:sz w:val="32"/>
      <w:szCs w:val="32"/>
    </w:rPr>
  </w:style>
  <w:style w:type="character" w:customStyle="1" w:styleId="66">
    <w:name w:val="标题 3 Char"/>
    <w:link w:val="7"/>
    <w:semiHidden/>
    <w:qFormat/>
    <w:locked/>
    <w:uiPriority w:val="99"/>
    <w:rPr>
      <w:rFonts w:ascii="Times New Roman" w:hAnsi="Times New Roman" w:cs="Times New Roman"/>
      <w:b/>
      <w:bCs/>
      <w:sz w:val="32"/>
      <w:szCs w:val="32"/>
    </w:rPr>
  </w:style>
  <w:style w:type="character" w:customStyle="1" w:styleId="67">
    <w:name w:val="标题 4 Char"/>
    <w:link w:val="9"/>
    <w:qFormat/>
    <w:locked/>
    <w:uiPriority w:val="99"/>
    <w:rPr>
      <w:rFonts w:ascii="Arial" w:hAnsi="Arial" w:eastAsia="黑体" w:cs="Arial"/>
      <w:b/>
      <w:bCs/>
      <w:kern w:val="2"/>
      <w:sz w:val="28"/>
      <w:szCs w:val="28"/>
      <w:lang w:val="en-US" w:eastAsia="zh-CN"/>
    </w:rPr>
  </w:style>
  <w:style w:type="character" w:customStyle="1" w:styleId="68">
    <w:name w:val="标题 5 Char"/>
    <w:link w:val="10"/>
    <w:semiHidden/>
    <w:qFormat/>
    <w:locked/>
    <w:uiPriority w:val="99"/>
    <w:rPr>
      <w:rFonts w:ascii="Times New Roman" w:hAnsi="Times New Roman" w:cs="Times New Roman"/>
      <w:b/>
      <w:bCs/>
      <w:sz w:val="28"/>
      <w:szCs w:val="28"/>
    </w:rPr>
  </w:style>
  <w:style w:type="character" w:customStyle="1" w:styleId="69">
    <w:name w:val="标题 6 Char"/>
    <w:link w:val="11"/>
    <w:semiHidden/>
    <w:qFormat/>
    <w:locked/>
    <w:uiPriority w:val="99"/>
    <w:rPr>
      <w:rFonts w:ascii="Cambria" w:hAnsi="Cambria" w:eastAsia="宋体" w:cs="Cambria"/>
      <w:b/>
      <w:bCs/>
      <w:sz w:val="24"/>
      <w:szCs w:val="24"/>
    </w:rPr>
  </w:style>
  <w:style w:type="character" w:customStyle="1" w:styleId="70">
    <w:name w:val="标题 7 Char"/>
    <w:link w:val="12"/>
    <w:semiHidden/>
    <w:qFormat/>
    <w:locked/>
    <w:uiPriority w:val="99"/>
    <w:rPr>
      <w:rFonts w:ascii="Times New Roman" w:hAnsi="Times New Roman" w:cs="Times New Roman"/>
      <w:b/>
      <w:bCs/>
      <w:sz w:val="24"/>
      <w:szCs w:val="24"/>
    </w:rPr>
  </w:style>
  <w:style w:type="character" w:customStyle="1" w:styleId="71">
    <w:name w:val="标题 8 Char"/>
    <w:link w:val="13"/>
    <w:semiHidden/>
    <w:qFormat/>
    <w:locked/>
    <w:uiPriority w:val="99"/>
    <w:rPr>
      <w:rFonts w:ascii="Cambria" w:hAnsi="Cambria" w:eastAsia="宋体" w:cs="Cambria"/>
      <w:sz w:val="24"/>
      <w:szCs w:val="24"/>
    </w:rPr>
  </w:style>
  <w:style w:type="character" w:customStyle="1" w:styleId="72">
    <w:name w:val="标题 9 Char"/>
    <w:link w:val="14"/>
    <w:semiHidden/>
    <w:qFormat/>
    <w:locked/>
    <w:uiPriority w:val="99"/>
    <w:rPr>
      <w:rFonts w:ascii="Cambria" w:hAnsi="Cambria" w:eastAsia="宋体" w:cs="Cambria"/>
      <w:sz w:val="21"/>
      <w:szCs w:val="21"/>
    </w:rPr>
  </w:style>
  <w:style w:type="character" w:customStyle="1" w:styleId="73">
    <w:name w:val="正文缩进 Char"/>
    <w:link w:val="8"/>
    <w:qFormat/>
    <w:locked/>
    <w:uiPriority w:val="99"/>
    <w:rPr>
      <w:kern w:val="2"/>
      <w:sz w:val="21"/>
      <w:szCs w:val="21"/>
    </w:rPr>
  </w:style>
  <w:style w:type="character" w:customStyle="1" w:styleId="74">
    <w:name w:val="文档结构图 Char"/>
    <w:link w:val="17"/>
    <w:semiHidden/>
    <w:qFormat/>
    <w:locked/>
    <w:uiPriority w:val="99"/>
    <w:rPr>
      <w:rFonts w:ascii="Times New Roman" w:hAnsi="Times New Roman" w:cs="Times New Roman"/>
      <w:sz w:val="2"/>
      <w:szCs w:val="2"/>
    </w:rPr>
  </w:style>
  <w:style w:type="character" w:customStyle="1" w:styleId="75">
    <w:name w:val="批注文字 Char"/>
    <w:link w:val="18"/>
    <w:qFormat/>
    <w:locked/>
    <w:uiPriority w:val="99"/>
    <w:rPr>
      <w:kern w:val="2"/>
      <w:sz w:val="21"/>
      <w:szCs w:val="21"/>
    </w:rPr>
  </w:style>
  <w:style w:type="character" w:customStyle="1" w:styleId="76">
    <w:name w:val="正文文本缩进 Char"/>
    <w:link w:val="3"/>
    <w:qFormat/>
    <w:locked/>
    <w:uiPriority w:val="99"/>
    <w:rPr>
      <w:kern w:val="2"/>
      <w:sz w:val="24"/>
      <w:szCs w:val="24"/>
    </w:rPr>
  </w:style>
  <w:style w:type="character" w:customStyle="1" w:styleId="77">
    <w:name w:val="纯文本 Char"/>
    <w:link w:val="27"/>
    <w:semiHidden/>
    <w:qFormat/>
    <w:locked/>
    <w:uiPriority w:val="99"/>
    <w:rPr>
      <w:rFonts w:ascii="宋体" w:hAnsi="Courier New" w:cs="宋体"/>
      <w:sz w:val="21"/>
      <w:szCs w:val="21"/>
    </w:rPr>
  </w:style>
  <w:style w:type="character" w:customStyle="1" w:styleId="78">
    <w:name w:val="日期 Char"/>
    <w:link w:val="29"/>
    <w:semiHidden/>
    <w:qFormat/>
    <w:locked/>
    <w:uiPriority w:val="99"/>
    <w:rPr>
      <w:rFonts w:ascii="Times New Roman" w:hAnsi="Times New Roman" w:cs="Times New Roman"/>
      <w:sz w:val="21"/>
      <w:szCs w:val="21"/>
    </w:rPr>
  </w:style>
  <w:style w:type="character" w:customStyle="1" w:styleId="79">
    <w:name w:val="正文文本缩进 2 Char"/>
    <w:link w:val="30"/>
    <w:semiHidden/>
    <w:qFormat/>
    <w:locked/>
    <w:uiPriority w:val="99"/>
    <w:rPr>
      <w:rFonts w:ascii="Times New Roman" w:hAnsi="Times New Roman" w:cs="Times New Roman"/>
      <w:sz w:val="21"/>
      <w:szCs w:val="21"/>
    </w:rPr>
  </w:style>
  <w:style w:type="character" w:customStyle="1" w:styleId="80">
    <w:name w:val="批注框文本 Char"/>
    <w:link w:val="32"/>
    <w:qFormat/>
    <w:locked/>
    <w:uiPriority w:val="99"/>
    <w:rPr>
      <w:rFonts w:eastAsia="宋体"/>
      <w:kern w:val="2"/>
      <w:sz w:val="18"/>
      <w:szCs w:val="18"/>
      <w:lang w:val="en-US" w:eastAsia="zh-CN"/>
    </w:rPr>
  </w:style>
  <w:style w:type="character" w:customStyle="1" w:styleId="81">
    <w:name w:val="页脚 Char"/>
    <w:link w:val="33"/>
    <w:qFormat/>
    <w:locked/>
    <w:uiPriority w:val="99"/>
    <w:rPr>
      <w:kern w:val="2"/>
      <w:sz w:val="18"/>
      <w:szCs w:val="18"/>
    </w:rPr>
  </w:style>
  <w:style w:type="character" w:customStyle="1" w:styleId="82">
    <w:name w:val="页眉 Char"/>
    <w:link w:val="34"/>
    <w:semiHidden/>
    <w:qFormat/>
    <w:locked/>
    <w:uiPriority w:val="99"/>
    <w:rPr>
      <w:rFonts w:ascii="Times New Roman" w:hAnsi="Times New Roman" w:cs="Times New Roman"/>
      <w:sz w:val="18"/>
      <w:szCs w:val="18"/>
    </w:rPr>
  </w:style>
  <w:style w:type="character" w:customStyle="1" w:styleId="83">
    <w:name w:val="脚注文本 Char"/>
    <w:link w:val="39"/>
    <w:semiHidden/>
    <w:qFormat/>
    <w:locked/>
    <w:uiPriority w:val="99"/>
    <w:rPr>
      <w:rFonts w:ascii="Times New Roman" w:hAnsi="Times New Roman" w:cs="Times New Roman"/>
      <w:sz w:val="18"/>
      <w:szCs w:val="18"/>
    </w:rPr>
  </w:style>
  <w:style w:type="character" w:customStyle="1" w:styleId="84">
    <w:name w:val="正文文本缩进 3 Char"/>
    <w:link w:val="42"/>
    <w:semiHidden/>
    <w:qFormat/>
    <w:locked/>
    <w:uiPriority w:val="99"/>
    <w:rPr>
      <w:rFonts w:ascii="Times New Roman" w:hAnsi="Times New Roman" w:cs="Times New Roman"/>
      <w:sz w:val="16"/>
      <w:szCs w:val="16"/>
    </w:rPr>
  </w:style>
  <w:style w:type="character" w:customStyle="1" w:styleId="85">
    <w:name w:val="正文文本 2 Char"/>
    <w:link w:val="45"/>
    <w:semiHidden/>
    <w:qFormat/>
    <w:locked/>
    <w:uiPriority w:val="99"/>
    <w:rPr>
      <w:rFonts w:ascii="Times New Roman" w:hAnsi="Times New Roman" w:cs="Times New Roman"/>
      <w:sz w:val="21"/>
      <w:szCs w:val="21"/>
    </w:rPr>
  </w:style>
  <w:style w:type="character" w:customStyle="1" w:styleId="86">
    <w:name w:val="HTML 预设格式 Char"/>
    <w:link w:val="48"/>
    <w:qFormat/>
    <w:locked/>
    <w:uiPriority w:val="99"/>
    <w:rPr>
      <w:rFonts w:ascii="Courier New" w:hAnsi="Courier New" w:cs="Courier New"/>
      <w:kern w:val="2"/>
    </w:rPr>
  </w:style>
  <w:style w:type="character" w:customStyle="1" w:styleId="87">
    <w:name w:val="批注主题 Char"/>
    <w:link w:val="51"/>
    <w:semiHidden/>
    <w:qFormat/>
    <w:locked/>
    <w:uiPriority w:val="99"/>
    <w:rPr>
      <w:rFonts w:ascii="Times New Roman" w:hAnsi="Times New Roman" w:cs="Times New Roman"/>
      <w:b/>
      <w:bCs/>
      <w:kern w:val="2"/>
      <w:sz w:val="21"/>
      <w:szCs w:val="21"/>
    </w:rPr>
  </w:style>
  <w:style w:type="character" w:customStyle="1" w:styleId="88">
    <w:name w:val="正文首行缩进 Char"/>
    <w:link w:val="52"/>
    <w:semiHidden/>
    <w:qFormat/>
    <w:locked/>
    <w:uiPriority w:val="99"/>
    <w:rPr>
      <w:rFonts w:ascii="Times New Roman" w:hAnsi="Times New Roman" w:cs="Times New Roman"/>
      <w:sz w:val="21"/>
      <w:szCs w:val="21"/>
    </w:rPr>
  </w:style>
  <w:style w:type="character" w:customStyle="1" w:styleId="89">
    <w:name w:val="正文首行缩进 2 Char"/>
    <w:link w:val="2"/>
    <w:qFormat/>
    <w:locked/>
    <w:uiPriority w:val="99"/>
    <w:rPr>
      <w:rFonts w:ascii="Times New Roman" w:hAnsi="Times New Roman" w:cs="Times New Roman"/>
      <w:kern w:val="2"/>
      <w:sz w:val="21"/>
      <w:szCs w:val="21"/>
    </w:rPr>
  </w:style>
  <w:style w:type="paragraph" w:customStyle="1" w:styleId="90">
    <w:name w:val="无间隔1"/>
    <w:qFormat/>
    <w:uiPriority w:val="0"/>
    <w:rPr>
      <w:rFonts w:ascii="Times New Roman" w:hAnsi="Times New Roman" w:eastAsia="宋体" w:cs="Times New Roman"/>
      <w:sz w:val="22"/>
      <w:szCs w:val="22"/>
      <w:lang w:val="en-US" w:eastAsia="en-US" w:bidi="en-US"/>
    </w:rPr>
  </w:style>
  <w:style w:type="paragraph" w:customStyle="1" w:styleId="91">
    <w:name w:val="一级条标题"/>
    <w:basedOn w:val="92"/>
    <w:next w:val="9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2">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3">
    <w:name w:val="段"/>
    <w:basedOn w:val="1"/>
    <w:next w:val="1"/>
    <w:qFormat/>
    <w:uiPriority w:val="0"/>
    <w:pPr>
      <w:widowControl/>
      <w:autoSpaceDE w:val="0"/>
      <w:autoSpaceDN w:val="0"/>
      <w:ind w:firstLine="200" w:firstLineChars="200"/>
    </w:pPr>
    <w:rPr>
      <w:rFonts w:hint="eastAsia" w:ascii="宋体"/>
      <w:kern w:val="0"/>
    </w:rPr>
  </w:style>
  <w:style w:type="character" w:customStyle="1" w:styleId="94">
    <w:name w:val="font31"/>
    <w:qFormat/>
    <w:uiPriority w:val="99"/>
    <w:rPr>
      <w:rFonts w:ascii="仿宋" w:hAnsi="仿宋" w:eastAsia="仿宋" w:cs="仿宋"/>
      <w:color w:val="000000"/>
      <w:sz w:val="20"/>
      <w:szCs w:val="20"/>
      <w:u w:val="none"/>
    </w:rPr>
  </w:style>
  <w:style w:type="character" w:customStyle="1" w:styleId="95">
    <w:name w:val="font51"/>
    <w:qFormat/>
    <w:uiPriority w:val="99"/>
    <w:rPr>
      <w:rFonts w:ascii="宋体" w:hAnsi="宋体" w:eastAsia="宋体" w:cs="宋体"/>
      <w:color w:val="000000"/>
      <w:sz w:val="24"/>
      <w:szCs w:val="24"/>
      <w:u w:val="none"/>
    </w:rPr>
  </w:style>
  <w:style w:type="character" w:customStyle="1" w:styleId="96">
    <w:name w:val="font101"/>
    <w:qFormat/>
    <w:uiPriority w:val="99"/>
    <w:rPr>
      <w:rFonts w:ascii="仿宋" w:hAnsi="仿宋" w:eastAsia="仿宋" w:cs="仿宋"/>
      <w:color w:val="000000"/>
      <w:sz w:val="20"/>
      <w:szCs w:val="20"/>
      <w:u w:val="none"/>
    </w:rPr>
  </w:style>
  <w:style w:type="character" w:customStyle="1" w:styleId="97">
    <w:name w:val="font111"/>
    <w:qFormat/>
    <w:uiPriority w:val="99"/>
    <w:rPr>
      <w:rFonts w:ascii="宋体" w:hAnsi="宋体" w:eastAsia="宋体" w:cs="宋体"/>
      <w:color w:val="000000"/>
      <w:sz w:val="20"/>
      <w:szCs w:val="20"/>
      <w:u w:val="none"/>
    </w:rPr>
  </w:style>
  <w:style w:type="character" w:customStyle="1" w:styleId="98">
    <w:name w:val="font81"/>
    <w:qFormat/>
    <w:uiPriority w:val="99"/>
    <w:rPr>
      <w:rFonts w:ascii="Arial" w:hAnsi="Arial" w:cs="Arial"/>
      <w:color w:val="000000"/>
      <w:sz w:val="20"/>
      <w:szCs w:val="20"/>
      <w:u w:val="none"/>
    </w:rPr>
  </w:style>
  <w:style w:type="character" w:customStyle="1" w:styleId="99">
    <w:name w:val="style1"/>
    <w:qFormat/>
    <w:uiPriority w:val="99"/>
  </w:style>
  <w:style w:type="character" w:customStyle="1" w:styleId="100">
    <w:name w:val="font71"/>
    <w:qFormat/>
    <w:uiPriority w:val="99"/>
    <w:rPr>
      <w:rFonts w:ascii="Wingdings 2" w:hAnsi="Wingdings 2" w:cs="Wingdings 2"/>
      <w:color w:val="000000"/>
      <w:sz w:val="20"/>
      <w:szCs w:val="20"/>
      <w:u w:val="none"/>
    </w:rPr>
  </w:style>
  <w:style w:type="character" w:customStyle="1" w:styleId="101">
    <w:name w:val="font91"/>
    <w:qFormat/>
    <w:uiPriority w:val="99"/>
    <w:rPr>
      <w:rFonts w:ascii="宋体" w:hAnsi="宋体" w:eastAsia="宋体" w:cs="宋体"/>
      <w:color w:val="000000"/>
      <w:sz w:val="20"/>
      <w:szCs w:val="20"/>
      <w:u w:val="none"/>
    </w:rPr>
  </w:style>
  <w:style w:type="character" w:customStyle="1" w:styleId="102">
    <w:name w:val="font01"/>
    <w:qFormat/>
    <w:uiPriority w:val="99"/>
    <w:rPr>
      <w:rFonts w:ascii="宋体" w:hAnsi="宋体" w:eastAsia="宋体" w:cs="宋体"/>
      <w:color w:val="FF0000"/>
      <w:sz w:val="24"/>
      <w:szCs w:val="24"/>
      <w:u w:val="none"/>
    </w:rPr>
  </w:style>
  <w:style w:type="character" w:customStyle="1" w:styleId="103">
    <w:name w:val="标题 1 Char Char"/>
    <w:qFormat/>
    <w:uiPriority w:val="99"/>
    <w:rPr>
      <w:rFonts w:ascii="宋体" w:hAnsi="宋体" w:eastAsia="宋体" w:cs="宋体"/>
      <w:b/>
      <w:bCs/>
      <w:spacing w:val="-2"/>
      <w:sz w:val="24"/>
      <w:szCs w:val="24"/>
      <w:lang w:val="en-US" w:eastAsia="zh-CN"/>
    </w:rPr>
  </w:style>
  <w:style w:type="character" w:customStyle="1" w:styleId="104">
    <w:name w:val="纯文本 Char_0_0"/>
    <w:link w:val="105"/>
    <w:qFormat/>
    <w:locked/>
    <w:uiPriority w:val="99"/>
    <w:rPr>
      <w:rFonts w:ascii="宋体" w:hAnsi="Courier New" w:cs="宋体"/>
      <w:kern w:val="2"/>
      <w:sz w:val="21"/>
      <w:szCs w:val="21"/>
    </w:rPr>
  </w:style>
  <w:style w:type="paragraph" w:customStyle="1" w:styleId="105">
    <w:name w:val="纯文本_0_0"/>
    <w:basedOn w:val="106"/>
    <w:link w:val="104"/>
    <w:qFormat/>
    <w:uiPriority w:val="99"/>
    <w:rPr>
      <w:rFonts w:ascii="宋体" w:hAnsi="Courier New" w:cs="Times New Roman"/>
    </w:rPr>
  </w:style>
  <w:style w:type="paragraph" w:customStyle="1" w:styleId="106">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107">
    <w:name w:val="Style Heading 3 + Char"/>
    <w:link w:val="108"/>
    <w:qFormat/>
    <w:locked/>
    <w:uiPriority w:val="99"/>
    <w:rPr>
      <w:rFonts w:eastAsia="宋体"/>
      <w:b/>
      <w:bCs/>
      <w:kern w:val="2"/>
      <w:sz w:val="28"/>
      <w:szCs w:val="28"/>
      <w:lang w:val="en-US" w:eastAsia="zh-CN"/>
    </w:rPr>
  </w:style>
  <w:style w:type="paragraph" w:customStyle="1" w:styleId="108">
    <w:name w:val="Style Heading 3 +"/>
    <w:basedOn w:val="7"/>
    <w:link w:val="107"/>
    <w:qFormat/>
    <w:uiPriority w:val="99"/>
    <w:pPr>
      <w:adjustRightInd/>
      <w:spacing w:before="120" w:after="120" w:line="120" w:lineRule="atLeast"/>
      <w:textAlignment w:val="auto"/>
    </w:pPr>
    <w:rPr>
      <w:kern w:val="2"/>
      <w:sz w:val="28"/>
      <w:szCs w:val="28"/>
      <w:lang w:val="en-US" w:eastAsia="zh-CN"/>
    </w:rPr>
  </w:style>
  <w:style w:type="character" w:customStyle="1" w:styleId="109">
    <w:name w:val="font11"/>
    <w:qFormat/>
    <w:uiPriority w:val="99"/>
    <w:rPr>
      <w:rFonts w:ascii="宋体" w:hAnsi="宋体" w:eastAsia="宋体" w:cs="宋体"/>
      <w:color w:val="000000"/>
      <w:sz w:val="24"/>
      <w:szCs w:val="24"/>
      <w:u w:val="none"/>
    </w:rPr>
  </w:style>
  <w:style w:type="character" w:customStyle="1" w:styleId="110">
    <w:name w:val="font21"/>
    <w:qFormat/>
    <w:uiPriority w:val="99"/>
    <w:rPr>
      <w:rFonts w:ascii="楷体_GB2312" w:eastAsia="楷体_GB2312" w:cs="楷体_GB2312"/>
      <w:color w:val="000000"/>
      <w:sz w:val="24"/>
      <w:szCs w:val="24"/>
      <w:u w:val="none"/>
    </w:rPr>
  </w:style>
  <w:style w:type="character" w:customStyle="1" w:styleId="111">
    <w:name w:val="font41"/>
    <w:qFormat/>
    <w:uiPriority w:val="99"/>
    <w:rPr>
      <w:rFonts w:ascii="仿宋" w:hAnsi="仿宋" w:eastAsia="仿宋" w:cs="仿宋"/>
      <w:color w:val="000000"/>
      <w:sz w:val="20"/>
      <w:szCs w:val="20"/>
      <w:u w:val="none"/>
    </w:rPr>
  </w:style>
  <w:style w:type="paragraph" w:customStyle="1" w:styleId="112">
    <w:name w:val="Char Char Char1 Char"/>
    <w:basedOn w:val="1"/>
    <w:qFormat/>
    <w:uiPriority w:val="99"/>
  </w:style>
  <w:style w:type="paragraph" w:customStyle="1" w:styleId="113">
    <w:name w:val="标题 41"/>
    <w:qFormat/>
    <w:uiPriority w:val="0"/>
    <w:pPr>
      <w:widowControl w:val="0"/>
      <w:jc w:val="both"/>
    </w:pPr>
    <w:rPr>
      <w:rFonts w:ascii="Times New Roman" w:hAnsi="Arial Unicode MS" w:eastAsia="Arial Unicode MS" w:cs="Arial Unicode MS"/>
      <w:color w:val="000000"/>
      <w:u w:val="none" w:color="000000"/>
      <w:lang w:val="en-US" w:eastAsia="zh-CN" w:bidi="ar-SA"/>
    </w:rPr>
  </w:style>
  <w:style w:type="paragraph" w:customStyle="1" w:styleId="114">
    <w:name w:val="纯文本2"/>
    <w:basedOn w:val="1"/>
    <w:qFormat/>
    <w:uiPriority w:val="99"/>
    <w:rPr>
      <w:rFonts w:ascii="宋体" w:hAnsi="Courier New" w:cs="宋体"/>
      <w:sz w:val="28"/>
      <w:szCs w:val="28"/>
    </w:rPr>
  </w:style>
  <w:style w:type="paragraph" w:customStyle="1" w:styleId="115">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paragraph" w:customStyle="1" w:styleId="116">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7">
    <w:name w:val="正文缩进2格"/>
    <w:basedOn w:val="1"/>
    <w:qFormat/>
    <w:uiPriority w:val="99"/>
    <w:pPr>
      <w:spacing w:line="600" w:lineRule="exact"/>
      <w:ind w:firstLine="639" w:firstLineChars="206"/>
    </w:pPr>
    <w:rPr>
      <w:rFonts w:ascii="仿宋_GB2312" w:hAnsi="宋体" w:eastAsia="仿宋_GB2312" w:cs="仿宋_GB2312"/>
      <w:sz w:val="31"/>
      <w:szCs w:val="31"/>
    </w:rPr>
  </w:style>
  <w:style w:type="paragraph" w:customStyle="1" w:styleId="118">
    <w:name w:val="1"/>
    <w:basedOn w:val="1"/>
    <w:next w:val="27"/>
    <w:qFormat/>
    <w:uiPriority w:val="99"/>
    <w:rPr>
      <w:rFonts w:ascii="宋体" w:hAnsi="Courier New" w:cs="宋体"/>
    </w:rPr>
  </w:style>
  <w:style w:type="paragraph" w:customStyle="1" w:styleId="119">
    <w:name w:val="Normal_12_0"/>
    <w:qFormat/>
    <w:uiPriority w:val="99"/>
    <w:rPr>
      <w:rFonts w:ascii="黑体" w:hAnsi="黑体" w:eastAsia="黑体" w:cs="黑体"/>
      <w:b/>
      <w:bCs/>
      <w:sz w:val="32"/>
      <w:szCs w:val="32"/>
      <w:lang w:val="en-US" w:eastAsia="zh-CN" w:bidi="ar-SA"/>
    </w:rPr>
  </w:style>
  <w:style w:type="paragraph" w:customStyle="1" w:styleId="120">
    <w:name w:val="p0"/>
    <w:basedOn w:val="1"/>
    <w:qFormat/>
    <w:uiPriority w:val="99"/>
    <w:pPr>
      <w:widowControl/>
    </w:pPr>
    <w:rPr>
      <w:kern w:val="0"/>
    </w:rPr>
  </w:style>
  <w:style w:type="paragraph" w:customStyle="1" w:styleId="121">
    <w:name w:val="列出段落1"/>
    <w:basedOn w:val="1"/>
    <w:qFormat/>
    <w:uiPriority w:val="99"/>
    <w:pPr>
      <w:ind w:firstLine="420" w:firstLineChars="200"/>
    </w:pPr>
  </w:style>
  <w:style w:type="paragraph" w:customStyle="1" w:styleId="122">
    <w:name w:val="样式 标题 1 + 宋体 段前: 0 磅 段后: 0 磅 行距: 单倍行距"/>
    <w:basedOn w:val="5"/>
    <w:next w:val="1"/>
    <w:qFormat/>
    <w:uiPriority w:val="99"/>
    <w:pPr>
      <w:spacing w:beforeLines="100" w:afterLines="100"/>
    </w:pPr>
    <w:rPr>
      <w:rFonts w:ascii="仿宋_GB2312" w:hAnsi="宋体" w:cs="仿宋_GB2312"/>
    </w:rPr>
  </w:style>
  <w:style w:type="paragraph" w:customStyle="1" w:styleId="123">
    <w:name w:val="图文"/>
    <w:basedOn w:val="1"/>
    <w:qFormat/>
    <w:uiPriority w:val="99"/>
    <w:pPr>
      <w:adjustRightInd w:val="0"/>
      <w:snapToGrid w:val="0"/>
      <w:spacing w:after="50" w:line="360" w:lineRule="auto"/>
    </w:pPr>
    <w:rPr>
      <w:sz w:val="24"/>
      <w:szCs w:val="24"/>
    </w:rPr>
  </w:style>
  <w:style w:type="paragraph" w:customStyle="1" w:styleId="124">
    <w:name w:val="列出段落11"/>
    <w:basedOn w:val="1"/>
    <w:qFormat/>
    <w:uiPriority w:val="99"/>
    <w:pPr>
      <w:ind w:firstLine="200" w:firstLineChars="200"/>
    </w:pPr>
    <w:rPr>
      <w:rFonts w:ascii="Calibri" w:hAnsi="Calibri" w:cs="Calibri"/>
    </w:rPr>
  </w:style>
  <w:style w:type="paragraph" w:styleId="125">
    <w:name w:val="List Paragraph"/>
    <w:basedOn w:val="1"/>
    <w:qFormat/>
    <w:uiPriority w:val="99"/>
    <w:pPr>
      <w:ind w:firstLine="420" w:firstLineChars="200"/>
    </w:pPr>
  </w:style>
  <w:style w:type="paragraph" w:customStyle="1" w:styleId="126">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7">
    <w:name w:val="默认段落字体 Para Char Char Char Char"/>
    <w:basedOn w:val="1"/>
    <w:qFormat/>
    <w:uiPriority w:val="99"/>
  </w:style>
  <w:style w:type="paragraph" w:customStyle="1" w:styleId="128">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9">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30">
    <w:name w:val="简单回函地址"/>
    <w:basedOn w:val="1"/>
    <w:qFormat/>
    <w:uiPriority w:val="99"/>
  </w:style>
  <w:style w:type="paragraph" w:customStyle="1" w:styleId="131">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32">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33">
    <w:name w:val="样式 标题 2 + 黑色 行距: 1.5 倍行距"/>
    <w:basedOn w:val="6"/>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customStyle="1" w:styleId="134">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paragraph" w:customStyle="1" w:styleId="135">
    <w:name w:val="正文_0"/>
    <w:qFormat/>
    <w:uiPriority w:val="99"/>
    <w:rPr>
      <w:rFonts w:ascii="Times New Roman" w:hAnsi="Times New Roman" w:eastAsia="宋体" w:cs="Times New Roman"/>
      <w:sz w:val="21"/>
      <w:szCs w:val="21"/>
      <w:lang w:val="en-US" w:eastAsia="zh-CN" w:bidi="ar-SA"/>
    </w:rPr>
  </w:style>
  <w:style w:type="paragraph" w:customStyle="1" w:styleId="136">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7">
    <w:name w:val="ZX-正文"/>
    <w:qFormat/>
    <w:uiPriority w:val="0"/>
    <w:pPr>
      <w:spacing w:beforeLines="50"/>
      <w:ind w:firstLine="480" w:firstLineChars="200"/>
    </w:pPr>
    <w:rPr>
      <w:rFonts w:ascii="Trebuchet MS" w:hAnsi="FuturaA Bk BT" w:eastAsia="宋体" w:cs="Times New Roman"/>
      <w:kern w:val="2"/>
      <w:sz w:val="24"/>
      <w:lang w:val="en-US" w:eastAsia="zh-CN" w:bidi="ar-SA"/>
    </w:rPr>
  </w:style>
  <w:style w:type="paragraph" w:customStyle="1" w:styleId="138">
    <w:name w:val="Body"/>
    <w:qFormat/>
    <w:uiPriority w:val="0"/>
    <w:rPr>
      <w:rFonts w:hint="eastAsia" w:ascii="Arial Unicode MS" w:hAnsi="Arial Unicode MS" w:eastAsia="Helvetica" w:cs="Arial Unicode MS"/>
      <w:color w:val="000000"/>
      <w:sz w:val="22"/>
      <w:szCs w:val="22"/>
      <w:lang w:val="en-US" w:eastAsia="zh-CN" w:bidi="ar-SA"/>
    </w:rPr>
  </w:style>
  <w:style w:type="paragraph" w:customStyle="1" w:styleId="139">
    <w:name w:val="Body text|1"/>
    <w:basedOn w:val="1"/>
    <w:qFormat/>
    <w:uiPriority w:val="0"/>
    <w:pPr>
      <w:widowControl w:val="0"/>
      <w:shd w:val="clear" w:color="auto" w:fill="auto"/>
      <w:spacing w:line="434" w:lineRule="auto"/>
      <w:ind w:firstLine="400"/>
    </w:pPr>
    <w:rPr>
      <w:rFonts w:ascii="宋体" w:hAnsi="宋体" w:eastAsia="宋体" w:cs="宋体"/>
      <w:sz w:val="20"/>
      <w:szCs w:val="20"/>
      <w:u w:val="none"/>
      <w:shd w:val="clear" w:color="auto" w:fill="auto"/>
      <w:lang w:val="zh-TW" w:eastAsia="zh-TW" w:bidi="zh-TW"/>
    </w:rPr>
  </w:style>
  <w:style w:type="paragraph" w:customStyle="1" w:styleId="140">
    <w:name w:val="_Style 17"/>
    <w:basedOn w:val="1"/>
    <w:next w:val="125"/>
    <w:qFormat/>
    <w:uiPriority w:val="99"/>
    <w:pPr>
      <w:spacing w:line="240" w:lineRule="auto"/>
      <w:ind w:firstLine="420" w:firstLineChars="200"/>
    </w:pPr>
    <w:rPr>
      <w:rFonts w:ascii="Calibri" w:hAnsi="Calibri" w:eastAsia="宋体" w:cs="Times New Roman"/>
      <w:sz w:val="21"/>
    </w:rPr>
  </w:style>
  <w:style w:type="paragraph" w:customStyle="1" w:styleId="1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2">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19631</Words>
  <Characters>20087</Characters>
  <Lines>207</Lines>
  <Paragraphs>58</Paragraphs>
  <TotalTime>5</TotalTime>
  <ScaleCrop>false</ScaleCrop>
  <LinksUpToDate>false</LinksUpToDate>
  <CharactersWithSpaces>21102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2021-04-13T03:26:00Z</dcterms:created>
  <dc:creator>ql</dc:creator>
  <cp:lastModifiedBy>Da脸菇凉</cp:lastModifiedBy>
  <cp:lastPrinted>2022-09-29T07:30:00Z</cp:lastPrinted>
  <dcterms:modified xsi:type="dcterms:W3CDTF">2022-12-09T07:26:39Z</dcterms:modified>
  <dc:title>崇川区闸管所2020年闸（站）液压式启闭机维修保养项目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B9A2C430350549688177600270178B96</vt:lpwstr>
  </property>
</Properties>
</file>