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8"/>
        <w:overflowPunct w:val="0"/>
        <w:adjustRightInd/>
        <w:textAlignment w:val="auto"/>
        <w:rPr>
          <w:rFonts w:asciiTheme="minorEastAsia" w:hAnsiTheme="minorEastAsia" w:eastAsiaTheme="minorEastAsia"/>
        </w:rPr>
      </w:pPr>
    </w:p>
    <w:p>
      <w:pPr>
        <w:overflowPunct w:val="0"/>
        <w:rPr>
          <w:rFonts w:asciiTheme="minorEastAsia" w:hAnsiTheme="minorEastAsia" w:eastAsiaTheme="minorEastAsia"/>
        </w:rPr>
      </w:pPr>
    </w:p>
    <w:p>
      <w:pPr>
        <w:widowControl/>
        <w:jc w:val="center"/>
        <w:rPr>
          <w:rFonts w:asciiTheme="minorEastAsia" w:hAnsiTheme="minorEastAsia" w:eastAsiaTheme="minorEastAsia"/>
          <w:w w:val="80"/>
          <w:sz w:val="44"/>
          <w:szCs w:val="44"/>
        </w:rPr>
      </w:pPr>
    </w:p>
    <w:p>
      <w:pPr>
        <w:widowControl/>
        <w:jc w:val="center"/>
        <w:rPr>
          <w:rFonts w:hint="eastAsia" w:asciiTheme="minorEastAsia" w:hAnsiTheme="minorEastAsia" w:eastAsiaTheme="minorEastAsia"/>
          <w:w w:val="80"/>
          <w:sz w:val="44"/>
          <w:szCs w:val="44"/>
          <w:lang w:eastAsia="zh-CN"/>
        </w:rPr>
      </w:pPr>
      <w:r>
        <w:rPr>
          <w:rFonts w:hint="eastAsia" w:asciiTheme="minorEastAsia" w:hAnsiTheme="minorEastAsia" w:eastAsiaTheme="minorEastAsia"/>
          <w:w w:val="80"/>
          <w:sz w:val="44"/>
          <w:szCs w:val="44"/>
          <w:lang w:eastAsia="zh-CN"/>
        </w:rPr>
        <w:t>南通市保安服务有限公司 2023-2025 年度特勤服供应商库采购项目</w:t>
      </w:r>
    </w:p>
    <w:p>
      <w:pPr>
        <w:widowControl/>
        <w:jc w:val="center"/>
        <w:rPr>
          <w:rFonts w:asciiTheme="minorEastAsia" w:hAnsiTheme="minorEastAsia" w:eastAsiaTheme="minorEastAsia"/>
          <w:w w:val="80"/>
          <w:sz w:val="44"/>
          <w:szCs w:val="44"/>
        </w:rPr>
      </w:pPr>
    </w:p>
    <w:p>
      <w:pPr>
        <w:widowControl/>
        <w:jc w:val="center"/>
        <w:rPr>
          <w:rFonts w:asciiTheme="minorEastAsia" w:hAnsiTheme="minorEastAsia" w:eastAsiaTheme="minorEastAsia"/>
        </w:rPr>
      </w:pPr>
    </w:p>
    <w:p>
      <w:pPr>
        <w:tabs>
          <w:tab w:val="left" w:pos="6300"/>
        </w:tabs>
        <w:snapToGrid w:val="0"/>
        <w:spacing w:line="300" w:lineRule="auto"/>
        <w:jc w:val="center"/>
        <w:rPr>
          <w:rFonts w:asciiTheme="minorEastAsia" w:hAnsiTheme="minorEastAsia" w:eastAsiaTheme="minorEastAsia"/>
          <w:w w:val="80"/>
          <w:sz w:val="84"/>
        </w:rPr>
      </w:pPr>
    </w:p>
    <w:p>
      <w:pPr>
        <w:tabs>
          <w:tab w:val="left" w:pos="1050"/>
          <w:tab w:val="right" w:leader="dot" w:pos="9402"/>
        </w:tabs>
        <w:spacing w:line="1600" w:lineRule="exact"/>
        <w:jc w:val="center"/>
        <w:rPr>
          <w:rFonts w:asciiTheme="minorEastAsia" w:hAnsiTheme="minorEastAsia" w:eastAsiaTheme="minorEastAsia"/>
          <w:b/>
          <w:sz w:val="44"/>
          <w:szCs w:val="44"/>
        </w:rPr>
      </w:pPr>
      <w:r>
        <w:rPr>
          <w:rFonts w:hint="eastAsia" w:asciiTheme="minorEastAsia" w:hAnsiTheme="minorEastAsia" w:eastAsiaTheme="minorEastAsia"/>
          <w:b/>
          <w:w w:val="80"/>
          <w:sz w:val="72"/>
          <w:szCs w:val="72"/>
        </w:rPr>
        <w:t>公开招标文件</w:t>
      </w:r>
    </w:p>
    <w:p>
      <w:pPr>
        <w:tabs>
          <w:tab w:val="left" w:pos="1050"/>
          <w:tab w:val="right" w:leader="dot" w:pos="9402"/>
        </w:tabs>
        <w:spacing w:line="520" w:lineRule="exact"/>
        <w:jc w:val="center"/>
        <w:rPr>
          <w:rFonts w:asciiTheme="minorEastAsia" w:hAnsiTheme="minorEastAsia" w:eastAsiaTheme="minorEastAsia"/>
          <w:w w:val="80"/>
          <w:sz w:val="32"/>
          <w:szCs w:val="32"/>
        </w:rPr>
      </w:pPr>
      <w:r>
        <w:rPr>
          <w:rFonts w:hint="eastAsia" w:asciiTheme="minorEastAsia" w:hAnsiTheme="minorEastAsia" w:eastAsiaTheme="minorEastAsia"/>
          <w:w w:val="80"/>
          <w:sz w:val="32"/>
          <w:szCs w:val="32"/>
        </w:rPr>
        <w:t>（资格后审）</w:t>
      </w:r>
    </w:p>
    <w:p>
      <w:pPr>
        <w:snapToGrid w:val="0"/>
        <w:spacing w:line="520" w:lineRule="exact"/>
        <w:jc w:val="center"/>
        <w:rPr>
          <w:rFonts w:asciiTheme="minorEastAsia" w:hAnsiTheme="minorEastAsia" w:eastAsiaTheme="minorEastAsia"/>
          <w:b/>
          <w:sz w:val="28"/>
          <w:szCs w:val="28"/>
        </w:rPr>
      </w:pPr>
    </w:p>
    <w:p>
      <w:pPr>
        <w:snapToGrid w:val="0"/>
        <w:spacing w:line="520" w:lineRule="exact"/>
        <w:rPr>
          <w:rFonts w:asciiTheme="minorEastAsia" w:hAnsiTheme="minorEastAsia" w:eastAsiaTheme="minorEastAsia"/>
          <w:b/>
          <w:sz w:val="28"/>
          <w:szCs w:val="28"/>
        </w:rPr>
      </w:pPr>
    </w:p>
    <w:p>
      <w:pPr>
        <w:snapToGrid w:val="0"/>
        <w:spacing w:line="520" w:lineRule="exact"/>
        <w:rPr>
          <w:rFonts w:asciiTheme="minorEastAsia" w:hAnsiTheme="minorEastAsia" w:eastAsiaTheme="minorEastAsia"/>
          <w:b/>
          <w:sz w:val="28"/>
          <w:szCs w:val="28"/>
        </w:rPr>
      </w:pPr>
    </w:p>
    <w:p>
      <w:pPr>
        <w:widowControl/>
        <w:spacing w:line="520" w:lineRule="exact"/>
        <w:jc w:val="left"/>
        <w:rPr>
          <w:rFonts w:asciiTheme="minorEastAsia" w:hAnsiTheme="minorEastAsia" w:eastAsiaTheme="minorEastAsia"/>
          <w:b/>
          <w:sz w:val="28"/>
          <w:szCs w:val="28"/>
        </w:rPr>
      </w:pPr>
    </w:p>
    <w:p>
      <w:pPr>
        <w:pStyle w:val="24"/>
        <w:rPr>
          <w:rFonts w:asciiTheme="minorEastAsia" w:hAnsiTheme="minorEastAsia" w:eastAsiaTheme="minorEastAsia"/>
        </w:rPr>
      </w:pPr>
    </w:p>
    <w:p>
      <w:pPr>
        <w:pStyle w:val="24"/>
        <w:rPr>
          <w:rFonts w:asciiTheme="minorEastAsia" w:hAnsiTheme="minorEastAsia" w:eastAsiaTheme="minorEastAsia"/>
        </w:rPr>
      </w:pPr>
    </w:p>
    <w:p>
      <w:pPr>
        <w:pStyle w:val="24"/>
        <w:rPr>
          <w:rFonts w:asciiTheme="minorEastAsia" w:hAnsiTheme="minorEastAsia" w:eastAsiaTheme="minorEastAsia"/>
        </w:rPr>
      </w:pPr>
    </w:p>
    <w:p>
      <w:pPr>
        <w:widowControl/>
        <w:spacing w:line="520" w:lineRule="exact"/>
        <w:jc w:val="left"/>
        <w:rPr>
          <w:rFonts w:asciiTheme="minorEastAsia" w:hAnsiTheme="minorEastAsia" w:eastAsiaTheme="minorEastAsia"/>
          <w:sz w:val="28"/>
          <w:szCs w:val="28"/>
        </w:rPr>
      </w:pPr>
    </w:p>
    <w:p>
      <w:pPr>
        <w:pStyle w:val="24"/>
        <w:rPr>
          <w:rFonts w:asciiTheme="minorEastAsia" w:hAnsiTheme="minorEastAsia" w:eastAsiaTheme="minorEastAsia"/>
          <w:szCs w:val="28"/>
        </w:rPr>
      </w:pPr>
    </w:p>
    <w:p>
      <w:pPr>
        <w:pStyle w:val="24"/>
        <w:rPr>
          <w:rFonts w:asciiTheme="minorEastAsia" w:hAnsiTheme="minorEastAsia" w:eastAsiaTheme="minorEastAsia"/>
          <w:szCs w:val="28"/>
        </w:rPr>
      </w:pPr>
    </w:p>
    <w:p>
      <w:pPr>
        <w:pStyle w:val="24"/>
        <w:rPr>
          <w:rFonts w:asciiTheme="minorEastAsia" w:hAnsiTheme="minorEastAsia" w:eastAsiaTheme="minorEastAsia"/>
          <w:szCs w:val="28"/>
        </w:rPr>
      </w:pPr>
    </w:p>
    <w:p>
      <w:pPr>
        <w:widowControl/>
        <w:spacing w:line="520" w:lineRule="exact"/>
        <w:jc w:val="left"/>
        <w:rPr>
          <w:rFonts w:asciiTheme="minorEastAsia" w:hAnsiTheme="minorEastAsia" w:eastAsiaTheme="minorEastAsia"/>
          <w:sz w:val="28"/>
          <w:szCs w:val="28"/>
        </w:rPr>
      </w:pPr>
    </w:p>
    <w:p>
      <w:pPr>
        <w:widowControl/>
        <w:spacing w:line="520" w:lineRule="exact"/>
        <w:jc w:val="center"/>
        <w:rPr>
          <w:rFonts w:hint="eastAsia" w:asciiTheme="minorEastAsia" w:hAnsiTheme="minorEastAsia" w:eastAsiaTheme="minorEastAsia"/>
          <w:w w:val="80"/>
          <w:sz w:val="28"/>
          <w:szCs w:val="28"/>
          <w:lang w:eastAsia="zh-CN"/>
        </w:rPr>
      </w:pPr>
      <w:r>
        <w:rPr>
          <w:rFonts w:hint="eastAsia" w:asciiTheme="minorEastAsia" w:hAnsiTheme="minorEastAsia" w:eastAsiaTheme="minorEastAsia"/>
          <w:w w:val="80"/>
          <w:sz w:val="28"/>
          <w:szCs w:val="28"/>
        </w:rPr>
        <w:t>招标人：</w:t>
      </w:r>
      <w:r>
        <w:rPr>
          <w:rFonts w:hint="eastAsia" w:asciiTheme="minorEastAsia" w:hAnsiTheme="minorEastAsia" w:eastAsiaTheme="minorEastAsia"/>
          <w:w w:val="80"/>
          <w:sz w:val="28"/>
          <w:szCs w:val="28"/>
          <w:lang w:eastAsia="zh-CN"/>
        </w:rPr>
        <w:t>南通市保安服务有限公司</w:t>
      </w:r>
    </w:p>
    <w:p>
      <w:pPr>
        <w:tabs>
          <w:tab w:val="left" w:pos="1050"/>
          <w:tab w:val="right" w:leader="dot" w:pos="9402"/>
        </w:tabs>
        <w:spacing w:line="520" w:lineRule="exact"/>
        <w:jc w:val="center"/>
        <w:rPr>
          <w:rFonts w:asciiTheme="minorEastAsia" w:hAnsiTheme="minorEastAsia" w:eastAsiaTheme="minorEastAsia"/>
          <w:w w:val="80"/>
          <w:sz w:val="28"/>
          <w:szCs w:val="28"/>
        </w:rPr>
      </w:pPr>
      <w:r>
        <w:rPr>
          <w:rFonts w:hint="eastAsia" w:asciiTheme="minorEastAsia" w:hAnsiTheme="minorEastAsia" w:eastAsiaTheme="minorEastAsia"/>
          <w:w w:val="80"/>
          <w:sz w:val="28"/>
          <w:szCs w:val="28"/>
        </w:rPr>
        <w:t>招标代理机构：中诚智信工程咨询集团股份有限公司</w:t>
      </w:r>
    </w:p>
    <w:p>
      <w:pPr>
        <w:tabs>
          <w:tab w:val="left" w:pos="1050"/>
          <w:tab w:val="right" w:leader="dot" w:pos="9402"/>
        </w:tabs>
        <w:spacing w:line="520" w:lineRule="exact"/>
        <w:jc w:val="center"/>
        <w:rPr>
          <w:rFonts w:asciiTheme="minorEastAsia" w:hAnsiTheme="minorEastAsia" w:eastAsiaTheme="minorEastAsia"/>
          <w:w w:val="80"/>
          <w:sz w:val="28"/>
          <w:szCs w:val="28"/>
        </w:rPr>
      </w:pPr>
      <w:r>
        <w:rPr>
          <w:rFonts w:hint="eastAsia" w:asciiTheme="minorEastAsia" w:hAnsiTheme="minorEastAsia" w:eastAsiaTheme="minorEastAsia"/>
          <w:w w:val="80"/>
          <w:sz w:val="28"/>
          <w:szCs w:val="28"/>
        </w:rPr>
        <w:t>二○二二年十</w:t>
      </w:r>
      <w:r>
        <w:rPr>
          <w:rFonts w:hint="eastAsia" w:asciiTheme="minorEastAsia" w:hAnsiTheme="minorEastAsia" w:eastAsiaTheme="minorEastAsia"/>
          <w:w w:val="80"/>
          <w:sz w:val="28"/>
          <w:szCs w:val="28"/>
          <w:lang w:val="en-US" w:eastAsia="zh-CN"/>
        </w:rPr>
        <w:t>一</w:t>
      </w:r>
      <w:r>
        <w:rPr>
          <w:rFonts w:hint="eastAsia" w:asciiTheme="minorEastAsia" w:hAnsiTheme="minorEastAsia" w:eastAsiaTheme="minorEastAsia"/>
          <w:w w:val="80"/>
          <w:sz w:val="28"/>
          <w:szCs w:val="28"/>
        </w:rPr>
        <w:t>月</w:t>
      </w:r>
      <w:r>
        <w:rPr>
          <w:rFonts w:hint="eastAsia" w:asciiTheme="minorEastAsia" w:hAnsiTheme="minorEastAsia" w:eastAsiaTheme="minorEastAsia"/>
          <w:w w:val="80"/>
          <w:sz w:val="28"/>
          <w:szCs w:val="28"/>
          <w:lang w:val="en-US" w:eastAsia="zh-CN"/>
        </w:rPr>
        <w:t>二十三</w:t>
      </w:r>
      <w:r>
        <w:rPr>
          <w:rFonts w:hint="eastAsia" w:asciiTheme="minorEastAsia" w:hAnsiTheme="minorEastAsia" w:eastAsiaTheme="minorEastAsia"/>
          <w:w w:val="80"/>
          <w:sz w:val="28"/>
          <w:szCs w:val="28"/>
        </w:rPr>
        <w:t>日</w:t>
      </w:r>
    </w:p>
    <w:p>
      <w:pPr>
        <w:widowControl/>
        <w:jc w:val="left"/>
        <w:rPr>
          <w:rFonts w:asciiTheme="minorEastAsia" w:hAnsiTheme="minorEastAsia" w:eastAsiaTheme="minorEastAsia"/>
          <w:b/>
          <w:w w:val="80"/>
          <w:sz w:val="44"/>
          <w:szCs w:val="44"/>
        </w:rPr>
      </w:pPr>
      <w:r>
        <w:rPr>
          <w:rFonts w:asciiTheme="minorEastAsia" w:hAnsiTheme="minorEastAsia" w:eastAsiaTheme="minorEastAsia"/>
          <w:b/>
          <w:w w:val="80"/>
          <w:sz w:val="44"/>
          <w:szCs w:val="44"/>
        </w:rPr>
        <w:br w:type="page"/>
      </w:r>
    </w:p>
    <w:p>
      <w:pPr>
        <w:tabs>
          <w:tab w:val="left" w:pos="1050"/>
          <w:tab w:val="right" w:leader="dot" w:pos="9402"/>
        </w:tabs>
        <w:spacing w:line="760" w:lineRule="exact"/>
        <w:jc w:val="center"/>
        <w:outlineLvl w:val="0"/>
        <w:rPr>
          <w:rFonts w:asciiTheme="minorEastAsia" w:hAnsiTheme="minorEastAsia" w:eastAsiaTheme="minorEastAsia"/>
          <w:b/>
          <w:w w:val="80"/>
          <w:sz w:val="44"/>
          <w:szCs w:val="44"/>
        </w:rPr>
      </w:pPr>
      <w:r>
        <w:rPr>
          <w:rFonts w:hint="eastAsia" w:asciiTheme="minorEastAsia" w:hAnsiTheme="minorEastAsia" w:eastAsiaTheme="minorEastAsia"/>
          <w:b/>
          <w:w w:val="80"/>
          <w:sz w:val="44"/>
          <w:szCs w:val="44"/>
        </w:rPr>
        <w:t>目  录</w:t>
      </w:r>
    </w:p>
    <w:p>
      <w:pPr>
        <w:pStyle w:val="6"/>
        <w:overflowPunct w:val="0"/>
        <w:ind w:firstLine="0"/>
        <w:jc w:val="center"/>
        <w:rPr>
          <w:rFonts w:asciiTheme="minorEastAsia" w:hAnsiTheme="minorEastAsia" w:eastAsiaTheme="minorEastAsia"/>
          <w:sz w:val="30"/>
        </w:rPr>
      </w:pPr>
    </w:p>
    <w:p>
      <w:pPr>
        <w:pStyle w:val="37"/>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b/>
          <w:bCs/>
          <w:sz w:val="32"/>
          <w:szCs w:val="32"/>
        </w:rPr>
        <w:fldChar w:fldCharType="begin"/>
      </w:r>
      <w:r>
        <w:rPr>
          <w:rFonts w:asciiTheme="minorEastAsia" w:hAnsiTheme="minorEastAsia" w:eastAsiaTheme="minorEastAsia"/>
          <w:b/>
          <w:bCs/>
          <w:sz w:val="32"/>
          <w:szCs w:val="32"/>
        </w:rPr>
        <w:instrText xml:space="preserve"> TOC \o "1-1"</w:instrText>
      </w:r>
      <w:r>
        <w:rPr>
          <w:rFonts w:asciiTheme="minorEastAsia" w:hAnsiTheme="minorEastAsia" w:eastAsiaTheme="minorEastAsia"/>
          <w:b/>
          <w:bCs/>
          <w:sz w:val="32"/>
          <w:szCs w:val="32"/>
        </w:rPr>
        <w:fldChar w:fldCharType="separate"/>
      </w:r>
      <w:r>
        <w:rPr>
          <w:rFonts w:asciiTheme="minorEastAsia" w:hAnsiTheme="minorEastAsia" w:eastAsiaTheme="minorEastAsia"/>
          <w:sz w:val="32"/>
          <w:szCs w:val="32"/>
        </w:rPr>
        <w:t>第一章 招标公告</w:t>
      </w:r>
    </w:p>
    <w:p>
      <w:pPr>
        <w:pStyle w:val="37"/>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第二章 投标人须知</w:t>
      </w:r>
    </w:p>
    <w:p>
      <w:pPr>
        <w:pStyle w:val="37"/>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第三章 项目需求</w:t>
      </w:r>
    </w:p>
    <w:p>
      <w:pPr>
        <w:pStyle w:val="37"/>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第四章 评审程序和方法</w:t>
      </w:r>
    </w:p>
    <w:p>
      <w:pPr>
        <w:pStyle w:val="37"/>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w:t>
      </w:r>
      <w:r>
        <w:rPr>
          <w:rFonts w:hint="eastAsia" w:asciiTheme="minorEastAsia" w:hAnsiTheme="minorEastAsia" w:eastAsiaTheme="minorEastAsia"/>
          <w:sz w:val="32"/>
          <w:szCs w:val="32"/>
        </w:rPr>
        <w:t>五</w:t>
      </w:r>
      <w:r>
        <w:rPr>
          <w:rFonts w:asciiTheme="minorEastAsia" w:hAnsiTheme="minorEastAsia" w:eastAsiaTheme="minorEastAsia"/>
          <w:sz w:val="32"/>
          <w:szCs w:val="32"/>
        </w:rPr>
        <w:t xml:space="preserve">章 </w:t>
      </w:r>
      <w:r>
        <w:rPr>
          <w:rFonts w:hint="eastAsia" w:asciiTheme="minorEastAsia" w:hAnsiTheme="minorEastAsia" w:eastAsiaTheme="minorEastAsia"/>
          <w:sz w:val="32"/>
          <w:szCs w:val="32"/>
        </w:rPr>
        <w:t>合同授予及主要</w:t>
      </w:r>
      <w:r>
        <w:rPr>
          <w:rFonts w:asciiTheme="minorEastAsia" w:hAnsiTheme="minorEastAsia" w:eastAsiaTheme="minorEastAsia"/>
          <w:sz w:val="32"/>
          <w:szCs w:val="32"/>
        </w:rPr>
        <w:t>条款</w:t>
      </w:r>
    </w:p>
    <w:p>
      <w:pPr>
        <w:pStyle w:val="37"/>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w:t>
      </w:r>
      <w:r>
        <w:rPr>
          <w:rFonts w:hint="eastAsia" w:asciiTheme="minorEastAsia" w:hAnsiTheme="minorEastAsia" w:eastAsiaTheme="minorEastAsia"/>
          <w:sz w:val="32"/>
          <w:szCs w:val="32"/>
        </w:rPr>
        <w:t>六</w:t>
      </w:r>
      <w:r>
        <w:rPr>
          <w:rFonts w:asciiTheme="minorEastAsia" w:hAnsiTheme="minorEastAsia" w:eastAsiaTheme="minorEastAsia"/>
          <w:sz w:val="32"/>
          <w:szCs w:val="32"/>
        </w:rPr>
        <w:t>章 履约验收及付款</w:t>
      </w:r>
    </w:p>
    <w:p>
      <w:pPr>
        <w:pStyle w:val="37"/>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w:t>
      </w:r>
      <w:r>
        <w:rPr>
          <w:rFonts w:hint="eastAsia" w:asciiTheme="minorEastAsia" w:hAnsiTheme="minorEastAsia" w:eastAsiaTheme="minorEastAsia"/>
          <w:sz w:val="32"/>
          <w:szCs w:val="32"/>
        </w:rPr>
        <w:t>七</w:t>
      </w:r>
      <w:r>
        <w:rPr>
          <w:rFonts w:asciiTheme="minorEastAsia" w:hAnsiTheme="minorEastAsia" w:eastAsiaTheme="minorEastAsia"/>
          <w:sz w:val="32"/>
          <w:szCs w:val="32"/>
        </w:rPr>
        <w:t>章 质疑与投诉</w:t>
      </w:r>
    </w:p>
    <w:p>
      <w:pPr>
        <w:pStyle w:val="37"/>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w:t>
      </w:r>
      <w:r>
        <w:rPr>
          <w:rFonts w:hint="eastAsia" w:asciiTheme="minorEastAsia" w:hAnsiTheme="minorEastAsia" w:eastAsiaTheme="minorEastAsia"/>
          <w:sz w:val="32"/>
          <w:szCs w:val="32"/>
        </w:rPr>
        <w:t>八</w:t>
      </w:r>
      <w:r>
        <w:rPr>
          <w:rFonts w:asciiTheme="minorEastAsia" w:hAnsiTheme="minorEastAsia" w:eastAsiaTheme="minorEastAsia"/>
          <w:sz w:val="32"/>
          <w:szCs w:val="32"/>
        </w:rPr>
        <w:t>章 投标文件的组成及相关格式</w:t>
      </w:r>
    </w:p>
    <w:p>
      <w:pPr>
        <w:tabs>
          <w:tab w:val="left" w:pos="1050"/>
          <w:tab w:val="right" w:leader="dot" w:pos="9402"/>
        </w:tabs>
        <w:spacing w:beforeLines="100" w:line="600" w:lineRule="exact"/>
        <w:jc w:val="center"/>
        <w:outlineLvl w:val="0"/>
        <w:rPr>
          <w:rFonts w:asciiTheme="minorEastAsia" w:hAnsiTheme="minorEastAsia" w:eastAsiaTheme="minorEastAsia"/>
          <w:b/>
          <w:bCs/>
          <w:sz w:val="32"/>
          <w:szCs w:val="32"/>
        </w:rPr>
        <w:sectPr>
          <w:headerReference r:id="rId4" w:type="first"/>
          <w:footerReference r:id="rId6" w:type="first"/>
          <w:headerReference r:id="rId3" w:type="default"/>
          <w:footerReference r:id="rId5" w:type="default"/>
          <w:pgSz w:w="11906" w:h="16838"/>
          <w:pgMar w:top="1239" w:right="851" w:bottom="851" w:left="1418" w:header="851" w:footer="522" w:gutter="0"/>
          <w:cols w:space="720" w:num="1"/>
          <w:titlePg/>
          <w:docGrid w:linePitch="380" w:charSpace="-5735"/>
        </w:sectPr>
      </w:pPr>
      <w:r>
        <w:rPr>
          <w:rFonts w:asciiTheme="minorEastAsia" w:hAnsiTheme="minorEastAsia" w:eastAsiaTheme="minorEastAsia"/>
          <w:b/>
          <w:bCs/>
          <w:sz w:val="32"/>
          <w:szCs w:val="32"/>
        </w:rPr>
        <w:fldChar w:fldCharType="end"/>
      </w:r>
      <w:bookmarkStart w:id="0" w:name="_Toc363573853"/>
    </w:p>
    <w:p>
      <w:pPr>
        <w:tabs>
          <w:tab w:val="left" w:pos="1050"/>
          <w:tab w:val="right" w:leader="dot" w:pos="9402"/>
        </w:tabs>
        <w:spacing w:beforeLines="100" w:line="600" w:lineRule="exact"/>
        <w:jc w:val="center"/>
        <w:outlineLvl w:val="0"/>
        <w:rPr>
          <w:rFonts w:asciiTheme="minorEastAsia" w:hAnsiTheme="minorEastAsia" w:eastAsiaTheme="minorEastAsia"/>
          <w:b/>
          <w:w w:val="80"/>
          <w:sz w:val="32"/>
          <w:szCs w:val="32"/>
        </w:rPr>
      </w:pPr>
      <w:r>
        <w:rPr>
          <w:rFonts w:hint="eastAsia" w:asciiTheme="minorEastAsia" w:hAnsiTheme="minorEastAsia" w:eastAsiaTheme="minorEastAsia"/>
          <w:b/>
          <w:w w:val="80"/>
          <w:sz w:val="32"/>
          <w:szCs w:val="32"/>
        </w:rPr>
        <w:t>第一章  招标公告</w:t>
      </w:r>
      <w:bookmarkEnd w:id="0"/>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中诚智信工程咨询集团股份有限公司（以下称招标代理机构）受</w:t>
      </w:r>
      <w:r>
        <w:rPr>
          <w:rFonts w:hint="eastAsia" w:asciiTheme="minorEastAsia" w:hAnsiTheme="minorEastAsia" w:eastAsiaTheme="minorEastAsia"/>
          <w:sz w:val="24"/>
          <w:szCs w:val="24"/>
          <w:lang w:eastAsia="zh-CN"/>
        </w:rPr>
        <w:t>南通市保安服务有限公司</w:t>
      </w:r>
      <w:r>
        <w:rPr>
          <w:rFonts w:hint="eastAsia" w:asciiTheme="minorEastAsia" w:hAnsiTheme="minorEastAsia" w:eastAsiaTheme="minorEastAsia"/>
          <w:sz w:val="24"/>
          <w:szCs w:val="24"/>
        </w:rPr>
        <w:t>（以下称招标人）的委托，就</w:t>
      </w:r>
      <w:r>
        <w:rPr>
          <w:rFonts w:hint="eastAsia" w:asciiTheme="minorEastAsia" w:hAnsiTheme="minorEastAsia" w:eastAsiaTheme="minorEastAsia"/>
          <w:sz w:val="24"/>
          <w:szCs w:val="24"/>
          <w:lang w:eastAsia="zh-CN"/>
        </w:rPr>
        <w:t>南通市保安服务有限公司 2023-2025 年度特勤服供应商库采购项目</w:t>
      </w:r>
      <w:r>
        <w:rPr>
          <w:rFonts w:hint="eastAsia" w:asciiTheme="minorEastAsia" w:hAnsiTheme="minorEastAsia" w:eastAsiaTheme="minorEastAsia"/>
          <w:sz w:val="24"/>
          <w:szCs w:val="24"/>
        </w:rPr>
        <w:t>组织公开招标采购，诚邀符合条件的潜在投标人参加投标。</w:t>
      </w:r>
    </w:p>
    <w:p>
      <w:pPr>
        <w:spacing w:line="420" w:lineRule="exact"/>
        <w:ind w:firstLine="422" w:firstLineChars="176"/>
        <w:outlineLvl w:val="1"/>
        <w:rPr>
          <w:rFonts w:asciiTheme="minorEastAsia" w:hAnsiTheme="minorEastAsia" w:eastAsiaTheme="minorEastAsia"/>
          <w:sz w:val="24"/>
          <w:szCs w:val="24"/>
        </w:rPr>
      </w:pPr>
      <w:r>
        <w:rPr>
          <w:rFonts w:asciiTheme="minorEastAsia" w:hAnsiTheme="minorEastAsia" w:eastAsiaTheme="minorEastAsia"/>
          <w:bCs/>
          <w:sz w:val="24"/>
          <w:szCs w:val="24"/>
        </w:rPr>
        <w:t>一、</w:t>
      </w:r>
      <w:r>
        <w:rPr>
          <w:rFonts w:asciiTheme="minorEastAsia" w:hAnsiTheme="minorEastAsia" w:eastAsiaTheme="minorEastAsia"/>
          <w:b/>
          <w:sz w:val="24"/>
          <w:szCs w:val="24"/>
        </w:rPr>
        <w:t>项目名称：</w:t>
      </w:r>
      <w:r>
        <w:rPr>
          <w:rFonts w:hint="eastAsia" w:asciiTheme="minorEastAsia" w:hAnsiTheme="minorEastAsia" w:eastAsiaTheme="minorEastAsia"/>
          <w:sz w:val="24"/>
          <w:szCs w:val="24"/>
          <w:lang w:eastAsia="zh-CN"/>
        </w:rPr>
        <w:t>南通市保安服务有限公司 2023-2025 年度特勤服供应商库采购项目</w:t>
      </w:r>
      <w:r>
        <w:rPr>
          <w:rFonts w:asciiTheme="minorEastAsia" w:hAnsiTheme="minorEastAsia" w:eastAsiaTheme="minorEastAsia"/>
          <w:sz w:val="24"/>
          <w:szCs w:val="24"/>
        </w:rPr>
        <w:t>。</w:t>
      </w:r>
    </w:p>
    <w:p>
      <w:pPr>
        <w:spacing w:line="420" w:lineRule="exact"/>
        <w:ind w:firstLine="424" w:firstLineChars="176"/>
        <w:outlineLvl w:val="1"/>
        <w:rPr>
          <w:rFonts w:asciiTheme="minorEastAsia" w:hAnsiTheme="minorEastAsia" w:eastAsiaTheme="minorEastAsia"/>
          <w:sz w:val="24"/>
          <w:szCs w:val="24"/>
        </w:rPr>
      </w:pPr>
      <w:r>
        <w:rPr>
          <w:rFonts w:hint="eastAsia" w:asciiTheme="minorEastAsia" w:hAnsiTheme="minorEastAsia" w:eastAsiaTheme="minorEastAsia"/>
          <w:b/>
          <w:bCs/>
          <w:sz w:val="24"/>
          <w:szCs w:val="24"/>
        </w:rPr>
        <w:t>二</w:t>
      </w:r>
      <w:r>
        <w:rPr>
          <w:rFonts w:asciiTheme="minorEastAsia" w:hAnsiTheme="minorEastAsia" w:eastAsiaTheme="minorEastAsia"/>
          <w:b/>
          <w:bCs/>
          <w:sz w:val="24"/>
          <w:szCs w:val="24"/>
        </w:rPr>
        <w:t>、项目需求</w:t>
      </w:r>
      <w:r>
        <w:rPr>
          <w:rFonts w:asciiTheme="minorEastAsia" w:hAnsiTheme="minorEastAsia" w:eastAsiaTheme="minorEastAsia"/>
          <w:sz w:val="24"/>
          <w:szCs w:val="24"/>
        </w:rPr>
        <w:t>：</w:t>
      </w:r>
      <w:r>
        <w:rPr>
          <w:rFonts w:hint="eastAsia" w:asciiTheme="minorEastAsia" w:hAnsiTheme="minorEastAsia" w:eastAsiaTheme="minorEastAsia"/>
          <w:sz w:val="24"/>
          <w:szCs w:val="24"/>
        </w:rPr>
        <w:t>具体详见本项目招标文件第三章</w:t>
      </w:r>
      <w:r>
        <w:rPr>
          <w:rFonts w:asciiTheme="minorEastAsia" w:hAnsiTheme="minorEastAsia" w:eastAsiaTheme="minorEastAsia"/>
          <w:sz w:val="24"/>
          <w:szCs w:val="24"/>
        </w:rPr>
        <w:t>。</w:t>
      </w:r>
    </w:p>
    <w:p>
      <w:pPr>
        <w:spacing w:line="420" w:lineRule="exact"/>
        <w:ind w:firstLine="424" w:firstLineChars="176"/>
        <w:outlineLvl w:val="1"/>
        <w:rPr>
          <w:rFonts w:cs="宋体" w:asciiTheme="minorEastAsia" w:hAnsiTheme="minorEastAsia" w:eastAsiaTheme="minorEastAsia"/>
          <w:kern w:val="0"/>
          <w:sz w:val="24"/>
          <w:szCs w:val="24"/>
        </w:rPr>
      </w:pPr>
      <w:r>
        <w:rPr>
          <w:rFonts w:hint="eastAsia" w:asciiTheme="minorEastAsia" w:hAnsiTheme="minorEastAsia" w:eastAsiaTheme="minorEastAsia"/>
          <w:b/>
          <w:bCs/>
          <w:sz w:val="24"/>
          <w:szCs w:val="24"/>
        </w:rPr>
        <w:t>三</w:t>
      </w:r>
      <w:r>
        <w:rPr>
          <w:rFonts w:asciiTheme="minorEastAsia" w:hAnsiTheme="minorEastAsia" w:eastAsiaTheme="minorEastAsia"/>
          <w:b/>
          <w:bCs/>
          <w:sz w:val="24"/>
          <w:szCs w:val="24"/>
        </w:rPr>
        <w:t>、项目预算：</w:t>
      </w:r>
      <w:r>
        <w:rPr>
          <w:rFonts w:hint="eastAsia" w:asciiTheme="minorEastAsia" w:hAnsiTheme="minorEastAsia" w:eastAsiaTheme="minorEastAsia"/>
          <w:sz w:val="24"/>
          <w:szCs w:val="24"/>
          <w:lang w:val="en-US" w:eastAsia="zh-CN"/>
        </w:rPr>
        <w:t>1300元/套</w:t>
      </w:r>
      <w:r>
        <w:rPr>
          <w:rFonts w:cs="宋体" w:asciiTheme="minorEastAsia" w:hAnsiTheme="minorEastAsia" w:eastAsiaTheme="minorEastAsia"/>
          <w:kern w:val="0"/>
          <w:sz w:val="24"/>
          <w:szCs w:val="24"/>
        </w:rPr>
        <w:t>。</w:t>
      </w:r>
    </w:p>
    <w:p>
      <w:pPr>
        <w:spacing w:line="420" w:lineRule="exact"/>
        <w:ind w:firstLine="424" w:firstLineChars="176"/>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四、投标人资格：</w:t>
      </w:r>
    </w:p>
    <w:p>
      <w:pPr>
        <w:widowControl/>
        <w:numPr>
          <w:ilvl w:val="0"/>
          <w:numId w:val="1"/>
        </w:numPr>
        <w:adjustRightInd w:val="0"/>
        <w:snapToGrid w:val="0"/>
        <w:spacing w:line="500" w:lineRule="exact"/>
        <w:ind w:left="133"/>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投标人必须是有能力提供本次招标采购项目及所要求的售后服务的服装生产企业，并具有企业法人营业执照</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不接受各类代理商及分销商的投标。</w:t>
      </w:r>
    </w:p>
    <w:p>
      <w:pPr>
        <w:widowControl/>
        <w:numPr>
          <w:ilvl w:val="0"/>
          <w:numId w:val="1"/>
        </w:numPr>
        <w:adjustRightInd w:val="0"/>
        <w:snapToGrid w:val="0"/>
        <w:spacing w:line="500" w:lineRule="exact"/>
        <w:ind w:left="133"/>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本项目不接受任何形式的联合体投标；</w:t>
      </w:r>
    </w:p>
    <w:p>
      <w:pPr>
        <w:widowControl/>
        <w:numPr>
          <w:ilvl w:val="0"/>
          <w:numId w:val="1"/>
        </w:numPr>
        <w:adjustRightInd w:val="0"/>
        <w:snapToGrid w:val="0"/>
        <w:spacing w:line="500" w:lineRule="exact"/>
        <w:ind w:left="133"/>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单位负责人为同一人或者存在直接控股、管理关系的不同投标人，不得同时参与同一采购项目相同标段的采购活动；为采购项目提供整体设计、规范编制或者项目管理、监理等服务的投标人，不得再参加该采购项目的其他采购活动。</w:t>
      </w:r>
    </w:p>
    <w:p>
      <w:pPr>
        <w:spacing w:line="420" w:lineRule="exact"/>
        <w:ind w:firstLine="482" w:firstLineChars="200"/>
        <w:outlineLvl w:val="1"/>
        <w:rPr>
          <w:rFonts w:asciiTheme="minorEastAsia" w:hAnsiTheme="minorEastAsia" w:eastAsiaTheme="minorEastAsia"/>
        </w:rPr>
      </w:pPr>
      <w:r>
        <w:rPr>
          <w:rFonts w:hint="eastAsia" w:asciiTheme="minorEastAsia" w:hAnsiTheme="minorEastAsia" w:eastAsiaTheme="minorEastAsia"/>
          <w:b/>
          <w:sz w:val="24"/>
          <w:szCs w:val="24"/>
          <w:lang w:val="en-US" w:eastAsia="zh-CN"/>
        </w:rPr>
        <w:t>五</w:t>
      </w:r>
      <w:r>
        <w:rPr>
          <w:rFonts w:hint="eastAsia" w:asciiTheme="minorEastAsia" w:hAnsiTheme="minorEastAsia" w:eastAsiaTheme="minorEastAsia"/>
          <w:b/>
          <w:sz w:val="24"/>
          <w:szCs w:val="24"/>
        </w:rPr>
        <w:t>、招标文件的获取</w:t>
      </w:r>
    </w:p>
    <w:p>
      <w:pPr>
        <w:spacing w:line="420" w:lineRule="exact"/>
        <w:ind w:firstLine="480" w:firstLineChars="200"/>
        <w:outlineLvl w:val="1"/>
        <w:rPr>
          <w:rFonts w:asciiTheme="minorEastAsia" w:hAnsiTheme="minorEastAsia" w:eastAsiaTheme="minorEastAsia"/>
          <w:b/>
          <w:sz w:val="24"/>
          <w:szCs w:val="24"/>
        </w:rPr>
      </w:pPr>
      <w:r>
        <w:rPr>
          <w:rFonts w:hint="eastAsia" w:asciiTheme="minorEastAsia" w:hAnsiTheme="minorEastAsia" w:eastAsiaTheme="minorEastAsia"/>
          <w:sz w:val="24"/>
          <w:szCs w:val="24"/>
        </w:rPr>
        <w:t>有意愿参与本项目投标响应的单位，请于本公告日起至开标截止前，到</w:t>
      </w:r>
      <w:r>
        <w:rPr>
          <w:rFonts w:hint="eastAsia" w:cs="宋体" w:asciiTheme="minorEastAsia" w:hAnsiTheme="minorEastAsia" w:eastAsiaTheme="minorEastAsia"/>
          <w:b/>
          <w:color w:val="auto"/>
          <w:spacing w:val="7"/>
          <w:kern w:val="0"/>
          <w:sz w:val="24"/>
          <w:szCs w:val="24"/>
          <w:highlight w:val="none"/>
          <w:lang w:val="en-US" w:eastAsia="zh-CN"/>
        </w:rPr>
        <w:t>“南通市保安服务有限公司网站”自行下载</w:t>
      </w:r>
      <w:r>
        <w:rPr>
          <w:rFonts w:hint="eastAsia" w:asciiTheme="minorEastAsia" w:hAnsiTheme="minorEastAsia" w:eastAsiaTheme="minorEastAsia"/>
          <w:sz w:val="24"/>
          <w:szCs w:val="24"/>
        </w:rPr>
        <w:t>本项目的招标文件。</w:t>
      </w:r>
    </w:p>
    <w:p>
      <w:pPr>
        <w:spacing w:line="420" w:lineRule="exact"/>
        <w:ind w:firstLine="487" w:firstLineChars="202"/>
        <w:outlineLvl w:val="1"/>
        <w:rPr>
          <w:rFonts w:asciiTheme="minorEastAsia" w:hAnsiTheme="minorEastAsia" w:eastAsiaTheme="minorEastAsia"/>
          <w:sz w:val="24"/>
          <w:szCs w:val="24"/>
        </w:rPr>
      </w:pPr>
      <w:r>
        <w:rPr>
          <w:rFonts w:hint="eastAsia" w:asciiTheme="minorEastAsia" w:hAnsiTheme="minorEastAsia" w:eastAsiaTheme="minorEastAsia"/>
          <w:b/>
          <w:sz w:val="24"/>
          <w:szCs w:val="24"/>
          <w:lang w:val="en-US" w:eastAsia="zh-CN"/>
        </w:rPr>
        <w:t>六</w:t>
      </w:r>
      <w:r>
        <w:rPr>
          <w:rFonts w:hint="eastAsia" w:asciiTheme="minorEastAsia" w:hAnsiTheme="minorEastAsia" w:eastAsiaTheme="minorEastAsia"/>
          <w:b/>
          <w:sz w:val="24"/>
          <w:szCs w:val="24"/>
        </w:rPr>
        <w:t>、</w:t>
      </w:r>
      <w:r>
        <w:rPr>
          <w:rFonts w:asciiTheme="minorEastAsia" w:hAnsiTheme="minorEastAsia" w:eastAsiaTheme="minorEastAsia"/>
          <w:b/>
          <w:sz w:val="24"/>
          <w:szCs w:val="24"/>
        </w:rPr>
        <w:t>投标保证金</w:t>
      </w:r>
    </w:p>
    <w:p>
      <w:pPr>
        <w:spacing w:line="420" w:lineRule="exact"/>
        <w:ind w:firstLine="480" w:firstLineChars="200"/>
        <w:rPr>
          <w:rFonts w:asciiTheme="minorEastAsia" w:hAnsiTheme="minorEastAsia" w:eastAsiaTheme="minorEastAsia"/>
          <w:b/>
          <w:bCs/>
          <w:sz w:val="24"/>
          <w:szCs w:val="24"/>
        </w:rPr>
      </w:pPr>
      <w:r>
        <w:rPr>
          <w:rFonts w:hint="eastAsia" w:ascii="宋体" w:hAnsi="宋体" w:eastAsia="宋体"/>
          <w:sz w:val="24"/>
          <w:szCs w:val="24"/>
        </w:rPr>
        <w:t>1、</w:t>
      </w:r>
      <w:r>
        <w:rPr>
          <w:rFonts w:hint="eastAsia" w:asciiTheme="minorEastAsia" w:hAnsiTheme="minorEastAsia" w:eastAsiaTheme="minorEastAsia"/>
          <w:sz w:val="24"/>
          <w:szCs w:val="24"/>
        </w:rPr>
        <w:t>本项目</w:t>
      </w:r>
      <w:r>
        <w:rPr>
          <w:rFonts w:asciiTheme="minorEastAsia" w:hAnsiTheme="minorEastAsia" w:eastAsiaTheme="minorEastAsia"/>
          <w:sz w:val="24"/>
          <w:szCs w:val="24"/>
        </w:rPr>
        <w:t>投标人须交纳投标保证金</w:t>
      </w:r>
      <w:r>
        <w:rPr>
          <w:rFonts w:hint="eastAsia" w:asciiTheme="minorEastAsia" w:hAnsiTheme="minorEastAsia" w:eastAsiaTheme="minorEastAsia"/>
          <w:sz w:val="24"/>
          <w:szCs w:val="24"/>
        </w:rPr>
        <w:t>人民币</w:t>
      </w:r>
      <w:r>
        <w:rPr>
          <w:rFonts w:hint="eastAsia" w:asciiTheme="minorEastAsia" w:hAnsiTheme="minorEastAsia" w:eastAsiaTheme="minorEastAsia"/>
          <w:sz w:val="24"/>
          <w:szCs w:val="24"/>
          <w:lang w:val="en-US" w:eastAsia="zh-CN"/>
        </w:rPr>
        <w:t>10000</w:t>
      </w:r>
      <w:r>
        <w:rPr>
          <w:rFonts w:hint="eastAsia" w:asciiTheme="minorEastAsia" w:hAnsiTheme="minorEastAsia" w:eastAsiaTheme="minorEastAsia"/>
          <w:sz w:val="24"/>
          <w:szCs w:val="24"/>
        </w:rPr>
        <w:t>元整（</w:t>
      </w:r>
      <w:r>
        <w:rPr>
          <w:rFonts w:hint="eastAsia" w:ascii="宋体" w:hAnsi="宋体" w:eastAsia="宋体" w:cs="宋体"/>
          <w:b/>
          <w:bCs/>
          <w:sz w:val="24"/>
          <w:szCs w:val="24"/>
          <w:lang w:val="en-US" w:eastAsia="zh-CN"/>
        </w:rPr>
        <w:t>现金</w:t>
      </w:r>
      <w:r>
        <w:rPr>
          <w:rFonts w:hint="eastAsia" w:asciiTheme="minorEastAsia" w:hAnsiTheme="minorEastAsia" w:eastAsiaTheme="minorEastAsia"/>
          <w:sz w:val="24"/>
          <w:szCs w:val="24"/>
        </w:rPr>
        <w:t>）。</w:t>
      </w:r>
    </w:p>
    <w:p>
      <w:pPr>
        <w:spacing w:line="420" w:lineRule="exact"/>
        <w:ind w:firstLine="480" w:firstLineChars="200"/>
        <w:rPr>
          <w:rFonts w:ascii="宋体" w:hAnsi="宋体" w:eastAsia="宋体"/>
          <w:sz w:val="24"/>
          <w:szCs w:val="24"/>
        </w:rPr>
      </w:pPr>
      <w:r>
        <w:rPr>
          <w:rFonts w:hint="eastAsia" w:ascii="宋体" w:hAnsi="宋体" w:eastAsia="宋体"/>
          <w:sz w:val="24"/>
          <w:szCs w:val="24"/>
        </w:rPr>
        <w:t>2、投标保证金以现金的形式同投标响应文件一起递交，投标人在投标现场递交投标保证金凭后，方可递交经密封包装的书面纸质投标文件。</w:t>
      </w:r>
    </w:p>
    <w:p>
      <w:pPr>
        <w:spacing w:line="420" w:lineRule="exact"/>
        <w:ind w:firstLine="480" w:firstLineChars="200"/>
        <w:rPr>
          <w:rFonts w:ascii="宋体" w:hAnsi="宋体" w:eastAsia="宋体"/>
          <w:sz w:val="24"/>
          <w:szCs w:val="24"/>
        </w:rPr>
      </w:pPr>
      <w:r>
        <w:rPr>
          <w:rFonts w:hint="eastAsia" w:ascii="宋体" w:hAnsi="宋体" w:eastAsia="宋体"/>
          <w:sz w:val="24"/>
          <w:szCs w:val="24"/>
        </w:rPr>
        <w:t>3、不递交本项目投标保证金的，其投标文件将被采购代理机构将拒绝。</w:t>
      </w:r>
    </w:p>
    <w:p>
      <w:pPr>
        <w:spacing w:line="420" w:lineRule="exact"/>
        <w:ind w:firstLine="482" w:firstLineChars="200"/>
        <w:outlineLvl w:val="1"/>
        <w:rPr>
          <w:rFonts w:asciiTheme="minorEastAsia" w:hAnsiTheme="minorEastAsia" w:eastAsiaTheme="minorEastAsia"/>
          <w:sz w:val="24"/>
          <w:szCs w:val="24"/>
        </w:rPr>
      </w:pPr>
      <w:r>
        <w:rPr>
          <w:rFonts w:hint="eastAsia" w:asciiTheme="minorEastAsia" w:hAnsiTheme="minorEastAsia" w:eastAsiaTheme="minorEastAsia"/>
          <w:b/>
          <w:sz w:val="24"/>
          <w:szCs w:val="24"/>
          <w:lang w:val="en-US" w:eastAsia="zh-CN"/>
        </w:rPr>
        <w:t>七</w:t>
      </w:r>
      <w:r>
        <w:rPr>
          <w:rFonts w:hint="eastAsia" w:asciiTheme="minorEastAsia" w:hAnsiTheme="minorEastAsia" w:eastAsiaTheme="minorEastAsia"/>
          <w:b/>
          <w:sz w:val="24"/>
          <w:szCs w:val="24"/>
        </w:rPr>
        <w:t>、投标文件</w:t>
      </w:r>
      <w:r>
        <w:rPr>
          <w:rFonts w:hint="eastAsia" w:asciiTheme="minorEastAsia" w:hAnsiTheme="minorEastAsia" w:eastAsiaTheme="minorEastAsia"/>
          <w:b/>
          <w:sz w:val="24"/>
          <w:szCs w:val="24"/>
          <w:lang w:val="en-US" w:eastAsia="zh-CN"/>
        </w:rPr>
        <w:t>及样品</w:t>
      </w:r>
      <w:r>
        <w:rPr>
          <w:rFonts w:asciiTheme="minorEastAsia" w:hAnsiTheme="minorEastAsia" w:eastAsiaTheme="minorEastAsia"/>
          <w:b/>
          <w:sz w:val="24"/>
          <w:szCs w:val="24"/>
        </w:rPr>
        <w:t>的递交接收</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接收人：招标代理机构；</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2.接收截止时间：</w:t>
      </w:r>
      <w:r>
        <w:rPr>
          <w:rFonts w:hint="eastAsia" w:asciiTheme="minorEastAsia" w:hAnsiTheme="minorEastAsia" w:eastAsiaTheme="minorEastAsia"/>
          <w:b/>
          <w:sz w:val="24"/>
          <w:szCs w:val="24"/>
          <w:u w:val="thick" w:color="FF0000"/>
        </w:rPr>
        <w:t>2022年</w:t>
      </w:r>
      <w:r>
        <w:rPr>
          <w:rFonts w:hint="eastAsia" w:asciiTheme="minorEastAsia" w:hAnsiTheme="minorEastAsia" w:eastAsiaTheme="minorEastAsia"/>
          <w:b/>
          <w:sz w:val="24"/>
          <w:szCs w:val="24"/>
          <w:u w:val="thick" w:color="FF0000"/>
          <w:lang w:val="en-US" w:eastAsia="zh-CN"/>
        </w:rPr>
        <w:t>12</w:t>
      </w:r>
      <w:r>
        <w:rPr>
          <w:rFonts w:hint="eastAsia" w:asciiTheme="minorEastAsia" w:hAnsiTheme="minorEastAsia" w:eastAsiaTheme="minorEastAsia"/>
          <w:b/>
          <w:sz w:val="24"/>
          <w:szCs w:val="24"/>
          <w:u w:val="thick" w:color="FF0000"/>
        </w:rPr>
        <w:t>月</w:t>
      </w:r>
      <w:r>
        <w:rPr>
          <w:rFonts w:hint="eastAsia" w:asciiTheme="minorEastAsia" w:hAnsiTheme="minorEastAsia" w:eastAsiaTheme="minorEastAsia"/>
          <w:b/>
          <w:sz w:val="24"/>
          <w:szCs w:val="24"/>
          <w:u w:val="thick" w:color="FF0000"/>
          <w:lang w:val="en-US" w:eastAsia="zh-CN"/>
        </w:rPr>
        <w:t>14</w:t>
      </w:r>
      <w:r>
        <w:rPr>
          <w:rFonts w:hint="eastAsia" w:asciiTheme="minorEastAsia" w:hAnsiTheme="minorEastAsia" w:eastAsiaTheme="minorEastAsia"/>
          <w:b/>
          <w:sz w:val="24"/>
          <w:szCs w:val="24"/>
          <w:u w:val="thick" w:color="FF0000"/>
        </w:rPr>
        <w:t>日下午14点30分前</w:t>
      </w:r>
      <w:r>
        <w:rPr>
          <w:rFonts w:hint="eastAsia" w:asciiTheme="minorEastAsia" w:hAnsiTheme="minorEastAsia" w:eastAsiaTheme="minorEastAsia"/>
          <w:sz w:val="24"/>
          <w:szCs w:val="24"/>
        </w:rPr>
        <w:t>。</w:t>
      </w:r>
      <w:r>
        <w:rPr>
          <w:rFonts w:asciiTheme="minorEastAsia" w:hAnsiTheme="minorEastAsia" w:eastAsiaTheme="minorEastAsia"/>
          <w:sz w:val="24"/>
          <w:szCs w:val="24"/>
        </w:rPr>
        <w:t>地址：</w:t>
      </w:r>
      <w:r>
        <w:rPr>
          <w:rFonts w:hint="eastAsia" w:asciiTheme="minorEastAsia" w:hAnsiTheme="minorEastAsia" w:eastAsiaTheme="minorEastAsia"/>
          <w:sz w:val="24"/>
          <w:u w:val="single"/>
        </w:rPr>
        <w:t>南通市崇川区恒隆国际B座903室；</w:t>
      </w:r>
    </w:p>
    <w:p>
      <w:pPr>
        <w:snapToGrid w:val="0"/>
        <w:spacing w:line="420" w:lineRule="exact"/>
        <w:ind w:firstLine="487" w:firstLineChars="202"/>
        <w:rPr>
          <w:rFonts w:asciiTheme="minorEastAsia" w:hAnsiTheme="minorEastAsia" w:eastAsiaTheme="minorEastAsia"/>
          <w:b/>
          <w:sz w:val="24"/>
          <w:szCs w:val="24"/>
        </w:rPr>
      </w:pPr>
      <w:r>
        <w:rPr>
          <w:rFonts w:hint="eastAsia" w:asciiTheme="minorEastAsia" w:hAnsiTheme="minorEastAsia" w:eastAsiaTheme="minorEastAsia"/>
          <w:b/>
          <w:bCs/>
          <w:kern w:val="0"/>
          <w:sz w:val="24"/>
          <w:szCs w:val="24"/>
          <w:lang w:val="en-US" w:eastAsia="zh-CN"/>
        </w:rPr>
        <w:t>八</w:t>
      </w:r>
      <w:r>
        <w:rPr>
          <w:rFonts w:hint="eastAsia" w:asciiTheme="minorEastAsia" w:hAnsiTheme="minorEastAsia" w:eastAsiaTheme="minorEastAsia"/>
          <w:kern w:val="0"/>
          <w:sz w:val="24"/>
          <w:szCs w:val="24"/>
        </w:rPr>
        <w:t>、</w:t>
      </w:r>
      <w:r>
        <w:rPr>
          <w:rFonts w:hint="eastAsia" w:asciiTheme="minorEastAsia" w:hAnsiTheme="minorEastAsia" w:eastAsiaTheme="minorEastAsia"/>
          <w:b/>
          <w:sz w:val="24"/>
          <w:szCs w:val="24"/>
        </w:rPr>
        <w:t>开标</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开标</w:t>
      </w:r>
      <w:r>
        <w:rPr>
          <w:rFonts w:hint="eastAsia" w:asciiTheme="minorEastAsia" w:hAnsiTheme="minorEastAsia" w:eastAsiaTheme="minorEastAsia"/>
          <w:sz w:val="24"/>
          <w:szCs w:val="24"/>
        </w:rPr>
        <w:t>时间：</w:t>
      </w:r>
      <w:r>
        <w:rPr>
          <w:rFonts w:hint="eastAsia" w:asciiTheme="minorEastAsia" w:hAnsiTheme="minorEastAsia" w:eastAsiaTheme="minorEastAsia"/>
          <w:b/>
          <w:sz w:val="24"/>
          <w:szCs w:val="24"/>
          <w:u w:val="thick" w:color="FF0000"/>
        </w:rPr>
        <w:t>2022年</w:t>
      </w:r>
      <w:r>
        <w:rPr>
          <w:rFonts w:hint="eastAsia" w:asciiTheme="minorEastAsia" w:hAnsiTheme="minorEastAsia" w:eastAsiaTheme="minorEastAsia"/>
          <w:b/>
          <w:sz w:val="24"/>
          <w:szCs w:val="24"/>
          <w:u w:val="thick" w:color="FF0000"/>
          <w:lang w:val="en-US" w:eastAsia="zh-CN"/>
        </w:rPr>
        <w:t>12</w:t>
      </w:r>
      <w:r>
        <w:rPr>
          <w:rFonts w:hint="eastAsia" w:asciiTheme="minorEastAsia" w:hAnsiTheme="minorEastAsia" w:eastAsiaTheme="minorEastAsia"/>
          <w:b/>
          <w:sz w:val="24"/>
          <w:szCs w:val="24"/>
          <w:u w:val="thick" w:color="FF0000"/>
        </w:rPr>
        <w:t>月</w:t>
      </w:r>
      <w:r>
        <w:rPr>
          <w:rFonts w:hint="eastAsia" w:asciiTheme="minorEastAsia" w:hAnsiTheme="minorEastAsia" w:eastAsiaTheme="minorEastAsia"/>
          <w:b/>
          <w:sz w:val="24"/>
          <w:szCs w:val="24"/>
          <w:u w:val="thick" w:color="FF0000"/>
          <w:lang w:val="en-US" w:eastAsia="zh-CN"/>
        </w:rPr>
        <w:t>14</w:t>
      </w:r>
      <w:r>
        <w:rPr>
          <w:rFonts w:hint="eastAsia" w:asciiTheme="minorEastAsia" w:hAnsiTheme="minorEastAsia" w:eastAsiaTheme="minorEastAsia"/>
          <w:b/>
          <w:sz w:val="24"/>
          <w:szCs w:val="24"/>
          <w:u w:val="thick" w:color="FF0000"/>
        </w:rPr>
        <w:t>日下午14点30分整</w:t>
      </w:r>
      <w:r>
        <w:rPr>
          <w:rFonts w:hint="eastAsia" w:asciiTheme="minorEastAsia" w:hAnsiTheme="minorEastAsia" w:eastAsiaTheme="minorEastAsia"/>
          <w:sz w:val="24"/>
          <w:szCs w:val="24"/>
        </w:rPr>
        <w:t>；</w:t>
      </w:r>
    </w:p>
    <w:p>
      <w:pPr>
        <w:snapToGrid w:val="0"/>
        <w:spacing w:line="420" w:lineRule="exact"/>
        <w:ind w:firstLine="484" w:firstLineChars="202"/>
        <w:rPr>
          <w:rFonts w:hint="eastAsia" w:asciiTheme="minorEastAsia" w:hAnsiTheme="minorEastAsia" w:eastAsiaTheme="minorEastAsia"/>
          <w:sz w:val="24"/>
          <w:u w:val="single"/>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、开标</w:t>
      </w:r>
      <w:r>
        <w:rPr>
          <w:rFonts w:asciiTheme="minorEastAsia" w:hAnsiTheme="minorEastAsia" w:eastAsiaTheme="minorEastAsia"/>
          <w:sz w:val="24"/>
          <w:szCs w:val="24"/>
        </w:rPr>
        <w:t>地点：</w:t>
      </w:r>
      <w:r>
        <w:rPr>
          <w:rFonts w:hint="eastAsia" w:asciiTheme="minorEastAsia" w:hAnsiTheme="minorEastAsia" w:eastAsiaTheme="minorEastAsia"/>
          <w:sz w:val="24"/>
          <w:u w:val="single"/>
        </w:rPr>
        <w:t>南通市崇川区恒隆国际B座903室；</w:t>
      </w:r>
    </w:p>
    <w:p>
      <w:pPr>
        <w:snapToGrid w:val="0"/>
        <w:spacing w:line="420" w:lineRule="exact"/>
        <w:ind w:firstLine="487" w:firstLineChars="202"/>
        <w:rPr>
          <w:rFonts w:asciiTheme="minorEastAsia" w:hAnsiTheme="minorEastAsia" w:eastAsiaTheme="minorEastAsia"/>
          <w:b/>
          <w:sz w:val="24"/>
          <w:szCs w:val="24"/>
        </w:rPr>
      </w:pPr>
      <w:r>
        <w:rPr>
          <w:rFonts w:hint="eastAsia" w:asciiTheme="minorEastAsia" w:hAnsiTheme="minorEastAsia" w:eastAsiaTheme="minorEastAsia"/>
          <w:b/>
          <w:bCs/>
          <w:kern w:val="0"/>
          <w:sz w:val="24"/>
          <w:szCs w:val="24"/>
          <w:lang w:val="en-US" w:eastAsia="zh-CN"/>
        </w:rPr>
        <w:t>九</w:t>
      </w:r>
      <w:r>
        <w:rPr>
          <w:rFonts w:hint="eastAsia" w:asciiTheme="minorEastAsia" w:hAnsiTheme="minorEastAsia" w:eastAsiaTheme="minorEastAsia"/>
          <w:kern w:val="0"/>
          <w:sz w:val="24"/>
          <w:szCs w:val="24"/>
        </w:rPr>
        <w:t>、</w:t>
      </w:r>
      <w:r>
        <w:rPr>
          <w:rFonts w:hint="eastAsia" w:asciiTheme="minorEastAsia" w:hAnsiTheme="minorEastAsia" w:eastAsiaTheme="minorEastAsia"/>
          <w:b/>
          <w:sz w:val="24"/>
          <w:szCs w:val="24"/>
        </w:rPr>
        <w:t>资格审查</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1、资格审查时间：</w:t>
      </w:r>
      <w:r>
        <w:rPr>
          <w:rFonts w:hint="eastAsia" w:asciiTheme="minorEastAsia" w:hAnsiTheme="minorEastAsia" w:eastAsiaTheme="minorEastAsia"/>
          <w:b/>
          <w:sz w:val="24"/>
          <w:szCs w:val="24"/>
          <w:u w:val="thick" w:color="FF0000"/>
        </w:rPr>
        <w:t>开标结束后当即开始</w:t>
      </w:r>
      <w:r>
        <w:rPr>
          <w:rFonts w:hint="eastAsia" w:asciiTheme="minorEastAsia" w:hAnsiTheme="minorEastAsia" w:eastAsiaTheme="minorEastAsia"/>
          <w:sz w:val="24"/>
          <w:szCs w:val="24"/>
        </w:rPr>
        <w:t>。</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、资格审查</w:t>
      </w:r>
      <w:r>
        <w:rPr>
          <w:rFonts w:asciiTheme="minorEastAsia" w:hAnsiTheme="minorEastAsia" w:eastAsiaTheme="minorEastAsia"/>
          <w:sz w:val="24"/>
          <w:szCs w:val="24"/>
        </w:rPr>
        <w:t>地点：</w:t>
      </w:r>
      <w:r>
        <w:rPr>
          <w:rFonts w:hint="eastAsia" w:asciiTheme="minorEastAsia" w:hAnsiTheme="minorEastAsia" w:eastAsiaTheme="minorEastAsia"/>
          <w:sz w:val="24"/>
          <w:u w:val="single"/>
        </w:rPr>
        <w:t>南通市崇川区恒隆国际B座801室</w:t>
      </w:r>
      <w:r>
        <w:rPr>
          <w:rFonts w:hint="eastAsia" w:asciiTheme="minorEastAsia" w:hAnsiTheme="minorEastAsia" w:eastAsiaTheme="minorEastAsia"/>
          <w:sz w:val="24"/>
          <w:u w:val="none"/>
        </w:rPr>
        <w:t>；</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、招标人依法委托评标小组对各投标人的资格进行审查，审查通过方可参与项目的技术评审。</w:t>
      </w:r>
    </w:p>
    <w:p>
      <w:pPr>
        <w:spacing w:line="420" w:lineRule="exact"/>
        <w:ind w:firstLine="487" w:firstLineChars="202"/>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十、评标</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1、评标时间：</w:t>
      </w:r>
      <w:r>
        <w:rPr>
          <w:rFonts w:hint="eastAsia" w:asciiTheme="minorEastAsia" w:hAnsiTheme="minorEastAsia" w:eastAsiaTheme="minorEastAsia"/>
          <w:b/>
          <w:sz w:val="24"/>
          <w:szCs w:val="24"/>
          <w:u w:val="thick" w:color="FF0000"/>
        </w:rPr>
        <w:t>资格审查结束后当即开始</w:t>
      </w:r>
      <w:r>
        <w:rPr>
          <w:rFonts w:hint="eastAsia" w:asciiTheme="minorEastAsia" w:hAnsiTheme="minorEastAsia" w:eastAsiaTheme="minorEastAsia"/>
          <w:sz w:val="24"/>
          <w:szCs w:val="24"/>
        </w:rPr>
        <w:t>；</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2、评标</w:t>
      </w:r>
      <w:r>
        <w:rPr>
          <w:rFonts w:asciiTheme="minorEastAsia" w:hAnsiTheme="minorEastAsia" w:eastAsiaTheme="minorEastAsia"/>
          <w:sz w:val="24"/>
          <w:szCs w:val="24"/>
        </w:rPr>
        <w:t>地点：</w:t>
      </w:r>
      <w:r>
        <w:rPr>
          <w:rFonts w:hint="eastAsia" w:asciiTheme="minorEastAsia" w:hAnsiTheme="minorEastAsia" w:eastAsiaTheme="minorEastAsia"/>
          <w:sz w:val="24"/>
          <w:u w:val="single"/>
        </w:rPr>
        <w:t>南通市崇川区恒隆国际B座801室</w:t>
      </w:r>
      <w:r>
        <w:rPr>
          <w:rFonts w:hint="eastAsia" w:asciiTheme="minorEastAsia" w:hAnsiTheme="minorEastAsia" w:eastAsiaTheme="minorEastAsia"/>
          <w:sz w:val="24"/>
          <w:u w:val="none"/>
        </w:rPr>
        <w:t>；</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、评标委员会负责具体评标事务。</w:t>
      </w:r>
    </w:p>
    <w:p>
      <w:pPr>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w:t>
      </w:r>
      <w:r>
        <w:rPr>
          <w:rFonts w:hint="eastAsia" w:asciiTheme="minorEastAsia" w:hAnsiTheme="minorEastAsia" w:eastAsiaTheme="minorEastAsia"/>
          <w:b/>
          <w:sz w:val="24"/>
          <w:szCs w:val="24"/>
          <w:lang w:val="en-US" w:eastAsia="zh-CN"/>
        </w:rPr>
        <w:t>一</w:t>
      </w:r>
      <w:r>
        <w:rPr>
          <w:rFonts w:hint="eastAsia" w:asciiTheme="minorEastAsia" w:hAnsiTheme="minorEastAsia" w:eastAsiaTheme="minorEastAsia"/>
          <w:b/>
          <w:sz w:val="24"/>
          <w:szCs w:val="24"/>
        </w:rPr>
        <w:t>、履约保证金：</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1</w:t>
      </w:r>
      <w:r>
        <w:rPr>
          <w:rFonts w:hint="eastAsia" w:cs="宋体" w:asciiTheme="minorEastAsia" w:hAnsiTheme="minorEastAsia" w:eastAsiaTheme="minorEastAsia"/>
          <w:sz w:val="24"/>
          <w:szCs w:val="24"/>
        </w:rPr>
        <w:t>、本项目中标后的履约保证金为</w:t>
      </w:r>
      <w:r>
        <w:rPr>
          <w:rFonts w:hint="eastAsia" w:cs="宋体" w:asciiTheme="minorEastAsia" w:hAnsiTheme="minorEastAsia" w:eastAsiaTheme="minorEastAsia"/>
          <w:sz w:val="24"/>
          <w:szCs w:val="24"/>
          <w:lang w:val="en-US" w:eastAsia="zh-CN"/>
        </w:rPr>
        <w:t>5万元</w:t>
      </w:r>
      <w:r>
        <w:rPr>
          <w:rFonts w:hint="eastAsia" w:cs="宋体"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、中标供应商的履约保证金须在招标代理通知发中标通知书之日起</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个工作日内汇入招标人账户，中标供应商凭“中标通知书”和已经汇至招标人账上的“履约保证金”凭证，并在招标代理通知发中标通知书之日起15日内与招标人签订合同。超期则视为自动放弃中标资格，没收投标保证金。</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、中标供应商在按要求保质保量的完成该项目合同并通过验收后，招标人凭中标供应商提交的申请，一次性无息退还该合同项目的履约保证金。</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、由于中标供应商原因，在签订合同后出现不按合同履行的情况，招标人有权将履约保证金作为违约金，全额不予退还，同时招标人亦有权终止合同，中标供应商还须承担相应的法律赔偿责任。</w:t>
      </w:r>
    </w:p>
    <w:p>
      <w:pPr>
        <w:spacing w:line="420" w:lineRule="exact"/>
        <w:ind w:firstLine="487" w:firstLineChars="202"/>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十三、投标</w:t>
      </w:r>
      <w:r>
        <w:rPr>
          <w:rFonts w:asciiTheme="minorEastAsia" w:hAnsiTheme="minorEastAsia" w:eastAsiaTheme="minorEastAsia"/>
          <w:b/>
          <w:sz w:val="24"/>
          <w:szCs w:val="24"/>
        </w:rPr>
        <w:t>联系方式</w:t>
      </w:r>
      <w:r>
        <w:rPr>
          <w:rFonts w:hint="eastAsia" w:asciiTheme="minorEastAsia" w:hAnsiTheme="minorEastAsia" w:eastAsiaTheme="minorEastAsia"/>
          <w:b/>
          <w:sz w:val="24"/>
          <w:szCs w:val="24"/>
        </w:rPr>
        <w:t>：</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1、招标人</w:t>
      </w:r>
    </w:p>
    <w:p>
      <w:pPr>
        <w:spacing w:line="420" w:lineRule="exact"/>
        <w:ind w:firstLine="720" w:firstLineChars="300"/>
        <w:rPr>
          <w:rFonts w:hint="eastAsia" w:asciiTheme="minorEastAsia" w:hAnsiTheme="minorEastAsia" w:eastAsiaTheme="minorEastAsia"/>
          <w:sz w:val="24"/>
          <w:szCs w:val="24"/>
        </w:rPr>
      </w:pPr>
      <w:r>
        <w:rPr>
          <w:rFonts w:asciiTheme="minorEastAsia" w:hAnsiTheme="minorEastAsia" w:eastAsiaTheme="minorEastAsia"/>
          <w:sz w:val="24"/>
          <w:szCs w:val="24"/>
        </w:rPr>
        <w:t>单位</w:t>
      </w:r>
      <w:r>
        <w:rPr>
          <w:rFonts w:hint="eastAsia" w:asciiTheme="minorEastAsia" w:hAnsiTheme="minorEastAsia" w:eastAsiaTheme="minorEastAsia"/>
          <w:sz w:val="24"/>
          <w:szCs w:val="24"/>
        </w:rPr>
        <w:t>：南通市保安服务有限公司公司</w:t>
      </w:r>
    </w:p>
    <w:p>
      <w:pPr>
        <w:spacing w:line="420" w:lineRule="exact"/>
        <w:ind w:firstLine="720" w:firstLineChars="3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联系人：</w:t>
      </w:r>
      <w:r>
        <w:rPr>
          <w:rFonts w:hint="eastAsia" w:asciiTheme="minorEastAsia" w:hAnsiTheme="minorEastAsia" w:eastAsiaTheme="minorEastAsia"/>
          <w:sz w:val="24"/>
          <w:szCs w:val="24"/>
          <w:lang w:val="en-US" w:eastAsia="zh-CN"/>
        </w:rPr>
        <w:t>马新云</w:t>
      </w:r>
    </w:p>
    <w:p>
      <w:pPr>
        <w:spacing w:line="420" w:lineRule="exact"/>
        <w:ind w:firstLine="720" w:firstLineChars="3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联系电话：</w:t>
      </w:r>
      <w:r>
        <w:rPr>
          <w:rFonts w:hint="eastAsia" w:asciiTheme="minorEastAsia" w:hAnsiTheme="minorEastAsia" w:eastAsiaTheme="minorEastAsia"/>
          <w:sz w:val="24"/>
          <w:szCs w:val="24"/>
        </w:rPr>
        <w:t>0513</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80219010</w:t>
      </w:r>
      <w:r>
        <w:rPr>
          <w:rFonts w:hint="eastAsia" w:asciiTheme="minorEastAsia" w:hAnsiTheme="minorEastAsia" w:eastAsiaTheme="minorEastAsia"/>
          <w:sz w:val="24"/>
          <w:szCs w:val="24"/>
          <w:lang w:val="en-US" w:eastAsia="zh-CN"/>
        </w:rPr>
        <w:t>/83533190</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、招标代理机构</w:t>
      </w:r>
    </w:p>
    <w:p>
      <w:pPr>
        <w:spacing w:line="420" w:lineRule="exact"/>
        <w:ind w:firstLine="849" w:firstLineChars="354"/>
        <w:rPr>
          <w:rFonts w:asciiTheme="minorEastAsia" w:hAnsiTheme="minorEastAsia" w:eastAsiaTheme="minorEastAsia"/>
          <w:sz w:val="24"/>
          <w:szCs w:val="24"/>
        </w:rPr>
      </w:pPr>
      <w:r>
        <w:rPr>
          <w:rFonts w:asciiTheme="minorEastAsia" w:hAnsiTheme="minorEastAsia" w:eastAsiaTheme="minorEastAsia"/>
          <w:sz w:val="24"/>
          <w:szCs w:val="24"/>
        </w:rPr>
        <w:t>单位</w:t>
      </w:r>
      <w:r>
        <w:rPr>
          <w:rFonts w:hint="eastAsia" w:asciiTheme="minorEastAsia" w:hAnsiTheme="minorEastAsia" w:eastAsiaTheme="minorEastAsia"/>
          <w:sz w:val="24"/>
          <w:szCs w:val="24"/>
        </w:rPr>
        <w:t>：中诚智信工程咨询集团股份有限公司</w:t>
      </w:r>
    </w:p>
    <w:p>
      <w:pPr>
        <w:spacing w:line="420" w:lineRule="exact"/>
        <w:ind w:firstLine="849" w:firstLineChars="354"/>
        <w:rPr>
          <w:rFonts w:asciiTheme="minorEastAsia" w:hAnsiTheme="minorEastAsia" w:eastAsiaTheme="minorEastAsia"/>
          <w:sz w:val="24"/>
          <w:szCs w:val="24"/>
        </w:rPr>
      </w:pPr>
      <w:r>
        <w:rPr>
          <w:rFonts w:asciiTheme="minorEastAsia" w:hAnsiTheme="minorEastAsia" w:eastAsiaTheme="minorEastAsia"/>
          <w:sz w:val="24"/>
          <w:szCs w:val="24"/>
        </w:rPr>
        <w:t>地址：南通市崇川区恒隆国际B座</w:t>
      </w:r>
      <w:r>
        <w:rPr>
          <w:rFonts w:hint="eastAsia" w:asciiTheme="minorEastAsia" w:hAnsiTheme="minorEastAsia" w:eastAsiaTheme="minorEastAsia"/>
          <w:sz w:val="24"/>
          <w:szCs w:val="24"/>
        </w:rPr>
        <w:t>801</w:t>
      </w:r>
      <w:r>
        <w:rPr>
          <w:rFonts w:asciiTheme="minorEastAsia" w:hAnsiTheme="minorEastAsia" w:eastAsiaTheme="minorEastAsia"/>
          <w:sz w:val="24"/>
          <w:szCs w:val="24"/>
        </w:rPr>
        <w:t>室</w:t>
      </w:r>
    </w:p>
    <w:p>
      <w:pPr>
        <w:spacing w:line="420" w:lineRule="exact"/>
        <w:ind w:firstLine="849" w:firstLineChars="354"/>
        <w:rPr>
          <w:rFonts w:asciiTheme="minorEastAsia" w:hAnsiTheme="minorEastAsia" w:eastAsiaTheme="minorEastAsia"/>
          <w:sz w:val="24"/>
          <w:szCs w:val="24"/>
        </w:rPr>
      </w:pPr>
      <w:r>
        <w:rPr>
          <w:rFonts w:asciiTheme="minorEastAsia" w:hAnsiTheme="minorEastAsia" w:eastAsiaTheme="minorEastAsia"/>
          <w:sz w:val="24"/>
          <w:szCs w:val="24"/>
        </w:rPr>
        <w:t>联系人：</w:t>
      </w:r>
      <w:r>
        <w:rPr>
          <w:rFonts w:hint="eastAsia" w:asciiTheme="minorEastAsia" w:hAnsiTheme="minorEastAsia" w:eastAsiaTheme="minorEastAsia"/>
          <w:sz w:val="24"/>
          <w:szCs w:val="24"/>
        </w:rPr>
        <w:t>单舒</w:t>
      </w:r>
    </w:p>
    <w:p>
      <w:pPr>
        <w:spacing w:line="420" w:lineRule="exact"/>
        <w:ind w:firstLine="849" w:firstLineChars="354"/>
        <w:rPr>
          <w:rFonts w:asciiTheme="minorEastAsia" w:hAnsiTheme="minorEastAsia" w:eastAsiaTheme="minorEastAsia"/>
          <w:sz w:val="24"/>
          <w:szCs w:val="24"/>
        </w:rPr>
      </w:pPr>
      <w:r>
        <w:rPr>
          <w:rFonts w:asciiTheme="minorEastAsia" w:hAnsiTheme="minorEastAsia" w:eastAsiaTheme="minorEastAsia"/>
          <w:sz w:val="24"/>
          <w:szCs w:val="24"/>
        </w:rPr>
        <w:t>联系电话：</w:t>
      </w:r>
      <w:r>
        <w:rPr>
          <w:rFonts w:hint="eastAsia" w:asciiTheme="minorEastAsia" w:hAnsiTheme="minorEastAsia" w:eastAsiaTheme="minorEastAsia"/>
          <w:sz w:val="24"/>
          <w:szCs w:val="24"/>
        </w:rPr>
        <w:t>13328094029，0513-85980007</w:t>
      </w:r>
    </w:p>
    <w:p>
      <w:pPr>
        <w:spacing w:line="420" w:lineRule="exact"/>
        <w:ind w:firstLine="849" w:firstLineChars="354"/>
        <w:rPr>
          <w:rFonts w:asciiTheme="minorEastAsia" w:hAnsiTheme="minorEastAsia" w:eastAsiaTheme="minorEastAsia"/>
          <w:sz w:val="24"/>
          <w:szCs w:val="24"/>
        </w:rPr>
      </w:pPr>
      <w:r>
        <w:rPr>
          <w:rFonts w:asciiTheme="minorEastAsia" w:hAnsiTheme="minorEastAsia" w:eastAsiaTheme="minorEastAsia"/>
          <w:sz w:val="24"/>
          <w:szCs w:val="24"/>
        </w:rPr>
        <w:t>邮箱：</w:t>
      </w:r>
      <w:r>
        <w:rPr>
          <w:rFonts w:hint="eastAsia" w:asciiTheme="minorEastAsia" w:hAnsiTheme="minorEastAsia" w:eastAsiaTheme="minorEastAsia"/>
          <w:sz w:val="24"/>
          <w:szCs w:val="24"/>
        </w:rPr>
        <w:t>1010491310@qq.com</w:t>
      </w:r>
    </w:p>
    <w:p>
      <w:pPr>
        <w:rPr>
          <w:rFonts w:asciiTheme="minorEastAsia" w:hAnsiTheme="minorEastAsia" w:eastAsiaTheme="minorEastAsia"/>
          <w:b/>
          <w:w w:val="80"/>
          <w:sz w:val="32"/>
          <w:szCs w:val="32"/>
        </w:rPr>
      </w:pPr>
      <w:bookmarkStart w:id="1" w:name="_Toc363573854"/>
      <w:r>
        <w:rPr>
          <w:rFonts w:hint="eastAsia" w:asciiTheme="minorEastAsia" w:hAnsiTheme="minorEastAsia" w:eastAsiaTheme="minorEastAsia"/>
          <w:b/>
          <w:w w:val="80"/>
          <w:sz w:val="32"/>
          <w:szCs w:val="32"/>
        </w:rPr>
        <w:br w:type="page"/>
      </w:r>
    </w:p>
    <w:p>
      <w:pPr>
        <w:tabs>
          <w:tab w:val="left" w:pos="1050"/>
          <w:tab w:val="right" w:leader="dot" w:pos="9402"/>
        </w:tabs>
        <w:spacing w:beforeLines="100" w:line="600" w:lineRule="exact"/>
        <w:jc w:val="center"/>
        <w:outlineLvl w:val="0"/>
        <w:rPr>
          <w:rFonts w:asciiTheme="minorEastAsia" w:hAnsiTheme="minorEastAsia" w:eastAsiaTheme="minorEastAsia"/>
          <w:b/>
          <w:w w:val="80"/>
          <w:sz w:val="32"/>
          <w:szCs w:val="32"/>
        </w:rPr>
      </w:pPr>
      <w:r>
        <w:rPr>
          <w:rFonts w:hint="eastAsia" w:asciiTheme="minorEastAsia" w:hAnsiTheme="minorEastAsia" w:eastAsiaTheme="minorEastAsia"/>
          <w:b/>
          <w:w w:val="80"/>
          <w:sz w:val="32"/>
          <w:szCs w:val="32"/>
        </w:rPr>
        <w:t>第二章  投标人须知</w:t>
      </w:r>
      <w:bookmarkEnd w:id="1"/>
    </w:p>
    <w:p>
      <w:pPr>
        <w:snapToGrid w:val="0"/>
        <w:spacing w:line="420" w:lineRule="exact"/>
        <w:ind w:firstLine="482" w:firstLineChars="200"/>
        <w:outlineLvl w:val="1"/>
        <w:rPr>
          <w:rFonts w:asciiTheme="minorEastAsia" w:hAnsiTheme="minorEastAsia" w:eastAsiaTheme="minorEastAsia"/>
          <w:b/>
          <w:bCs/>
          <w:sz w:val="24"/>
          <w:szCs w:val="24"/>
        </w:rPr>
      </w:pPr>
      <w:r>
        <w:rPr>
          <w:rFonts w:asciiTheme="minorEastAsia" w:hAnsiTheme="minorEastAsia" w:eastAsiaTheme="minorEastAsia"/>
          <w:b/>
          <w:bCs/>
          <w:sz w:val="24"/>
          <w:szCs w:val="24"/>
        </w:rPr>
        <w:t>一、</w:t>
      </w:r>
      <w:r>
        <w:rPr>
          <w:rFonts w:hint="eastAsia" w:asciiTheme="minorEastAsia" w:hAnsiTheme="minorEastAsia" w:eastAsiaTheme="minorEastAsia"/>
          <w:b/>
          <w:bCs/>
          <w:sz w:val="24"/>
          <w:szCs w:val="24"/>
        </w:rPr>
        <w:t>说明</w:t>
      </w:r>
    </w:p>
    <w:p>
      <w:pPr>
        <w:snapToGrid w:val="0"/>
        <w:spacing w:line="4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1、本招标文件仅适用于本代理机构组织的公开招标活动。</w:t>
      </w:r>
    </w:p>
    <w:p>
      <w:pPr>
        <w:snapToGrid w:val="0"/>
        <w:spacing w:line="4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2、公开招标活动及因本次招标产生的合同受中国法律制约和保护。</w:t>
      </w:r>
    </w:p>
    <w:p>
      <w:pPr>
        <w:snapToGrid w:val="0"/>
        <w:spacing w:line="4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3、招标文件的解释权属于代理机构。</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投标人在知道或应当知道本项目招标公告及招标文件中的所有内容：如内容或页码短缺、资格要求和技术参数出现倾向性或排他性等表述的，应在本项目招标公告及招标文件发布后提出询问或是在发布之日后的7个工作日内以书面实名制形式提出质疑；未提出询问、质疑或是未在规定期间内提出询问、质疑的，视作投标人接受本项目招标公告及招标文件中的全部内容；投标人不得在招标活动期间及招标结束后针对本项目招标公告及招标文件中的所有内容提出质疑、投诉。</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5、投标人应认真审阅本招标文件中的所有事项、格式、条款和规范要求等，如果投标人没有按照招标文件要求提交投标文件，或者投标文件没有对招标文件做出实质性响应，将被拒绝参与投标。</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招标文件项目需求提供的可能涉及到的工艺、材料、设备、商标、样本、技术规范、参数规格、品牌等，仅作为说明并没有限制性，投标人在投标中可以选用替代标准，但这些替代标准要优于或等于项目需求技术规格中要求的标准，以满足招标人的需要。</w:t>
      </w:r>
    </w:p>
    <w:p>
      <w:pPr>
        <w:snapToGrid w:val="0"/>
        <w:spacing w:line="420" w:lineRule="exact"/>
        <w:ind w:firstLine="496" w:firstLineChars="206"/>
        <w:outlineLvl w:val="1"/>
        <w:rPr>
          <w:rFonts w:asciiTheme="minorEastAsia" w:hAnsiTheme="minorEastAsia" w:eastAsiaTheme="minorEastAsia"/>
          <w:sz w:val="24"/>
          <w:szCs w:val="24"/>
        </w:rPr>
      </w:pPr>
      <w:r>
        <w:rPr>
          <w:rFonts w:hint="eastAsia" w:asciiTheme="minorEastAsia" w:hAnsiTheme="minorEastAsia" w:eastAsiaTheme="minorEastAsia"/>
          <w:b/>
          <w:bCs/>
          <w:sz w:val="24"/>
          <w:szCs w:val="24"/>
        </w:rPr>
        <w:t>二、招标文件的获取</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有意愿参与本项目投标响应的单位，请于本公告日起至开标截止前，到</w:t>
      </w:r>
      <w:r>
        <w:rPr>
          <w:rFonts w:hint="eastAsia" w:cs="宋体" w:asciiTheme="minorEastAsia" w:hAnsiTheme="minorEastAsia" w:eastAsiaTheme="minorEastAsia"/>
          <w:b/>
          <w:color w:val="auto"/>
          <w:spacing w:val="7"/>
          <w:kern w:val="0"/>
          <w:sz w:val="24"/>
          <w:szCs w:val="24"/>
          <w:highlight w:val="none"/>
          <w:lang w:val="en-US" w:eastAsia="zh-CN"/>
        </w:rPr>
        <w:t>“南通市保安服务有限公司网站”</w:t>
      </w:r>
      <w:r>
        <w:rPr>
          <w:rFonts w:hint="eastAsia" w:asciiTheme="minorEastAsia" w:hAnsiTheme="minorEastAsia" w:eastAsiaTheme="minorEastAsia"/>
          <w:sz w:val="24"/>
          <w:szCs w:val="24"/>
        </w:rPr>
        <w:t>下载本项目的招标文件。</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三、招标文件的补充说明、澄清、修改、答疑</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1、代理机构有权对发出的招标文件进行必要的补充说明、澄清或修改。</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2、凡涉及招标文件的补充说明、澄清或修改，均以代理机构在</w:t>
      </w:r>
      <w:r>
        <w:rPr>
          <w:rFonts w:hint="eastAsia" w:cs="宋体" w:asciiTheme="minorEastAsia" w:hAnsiTheme="minorEastAsia" w:eastAsiaTheme="minorEastAsia"/>
          <w:b/>
          <w:color w:val="auto"/>
          <w:spacing w:val="7"/>
          <w:kern w:val="0"/>
          <w:sz w:val="24"/>
          <w:szCs w:val="24"/>
          <w:highlight w:val="none"/>
          <w:lang w:val="en-US" w:eastAsia="zh-CN"/>
        </w:rPr>
        <w:t>“南通市保安服务有限公司网站”</w:t>
      </w:r>
      <w:r>
        <w:rPr>
          <w:rFonts w:hint="eastAsia" w:asciiTheme="minorEastAsia" w:hAnsiTheme="minorEastAsia" w:eastAsiaTheme="minorEastAsia"/>
          <w:sz w:val="24"/>
          <w:szCs w:val="24"/>
        </w:rPr>
        <w:t>发布的信息为准。</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3、代理机构对招标文件的补充说明、澄清或修改，将构成招标文件的一部分，对投标人具有约束力。</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4、补充说明、澄清或修改的内容可能影响到响应文件编制的，代理机构将在提交投标文件截止期15日前，发布补充说明、澄清或修改的公告，不足15日的应当顺延首次提交投标文件截止之日。</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5、除非代理机构以书面的形式对招标文件作出澄清、修改及补充，投标人对涉及招标文件的任何推论、理解和结论所造成的结果，均由投标人自负。</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6、招标采购单位视情组织答疑会。如有产生答疑且对招标文件内容有修改，代理机构将按照本须知有关规定，以补充通知（公告）的方式发出。</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7、招标项目涉及到的现场勘察</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7.1、招标文件所提供的项目相关数据仅做参考，投标人必须在投标文件递交日前自行对有关现场和周围环境进行勘察，以获取编制投标文件所需的信息。勘察现场如有费用产生，由投标人自行承担。</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7.2、招标人向投标人提供有关现场的资料和数据，是招标人现有的并认为能使投标人可利用的资料。招标人对投标人由此而做出的推论、理解和结论概不负责。</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7.3、潜在投标人为投标而勘察项目现场，但不得因此使招标人承担有关的责任和蒙受损失。投标人须承担勘察现场而带来的一切责任及风险。</w:t>
      </w:r>
    </w:p>
    <w:p>
      <w:pPr>
        <w:snapToGrid w:val="0"/>
        <w:spacing w:line="420" w:lineRule="exact"/>
        <w:ind w:firstLine="480" w:firstLineChars="200"/>
        <w:rPr>
          <w:rFonts w:asciiTheme="minorEastAsia" w:hAnsiTheme="minorEastAsia" w:eastAsiaTheme="minorEastAsia"/>
        </w:rPr>
      </w:pPr>
      <w:r>
        <w:rPr>
          <w:rFonts w:hint="eastAsia" w:asciiTheme="minorEastAsia" w:hAnsiTheme="minorEastAsia" w:eastAsiaTheme="minorEastAsia"/>
          <w:sz w:val="24"/>
          <w:szCs w:val="24"/>
        </w:rPr>
        <w:t>7.4、投标人在现场勘察时，熟悉现场及周围交通道路等情况，以获得一切可能影响投标响应内容的直接资料。投标人中标后，不得以不完全了解现场情况为理由而向招标人提出任何索赔的要求，对此招标人不承担任何责任，且不作任何答复。</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四</w:t>
      </w:r>
      <w:r>
        <w:rPr>
          <w:rFonts w:asciiTheme="minorEastAsia" w:hAnsiTheme="minorEastAsia" w:eastAsiaTheme="minorEastAsia"/>
          <w:b/>
          <w:sz w:val="24"/>
          <w:szCs w:val="24"/>
        </w:rPr>
        <w:t>、投标文件的</w:t>
      </w:r>
      <w:r>
        <w:rPr>
          <w:rFonts w:hint="eastAsia" w:asciiTheme="minorEastAsia" w:hAnsiTheme="minorEastAsia" w:eastAsiaTheme="minorEastAsia"/>
          <w:b/>
          <w:sz w:val="24"/>
          <w:szCs w:val="24"/>
        </w:rPr>
        <w:t>组成</w:t>
      </w:r>
      <w:r>
        <w:rPr>
          <w:rFonts w:asciiTheme="minorEastAsia" w:hAnsiTheme="minorEastAsia" w:eastAsiaTheme="minorEastAsia"/>
          <w:b/>
          <w:sz w:val="24"/>
          <w:szCs w:val="24"/>
        </w:rPr>
        <w:t>及装订</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投标文件</w:t>
      </w:r>
      <w:r>
        <w:rPr>
          <w:rFonts w:hint="eastAsia" w:asciiTheme="minorEastAsia" w:hAnsiTheme="minorEastAsia" w:eastAsiaTheme="minorEastAsia"/>
          <w:sz w:val="24"/>
          <w:szCs w:val="24"/>
        </w:rPr>
        <w:t>由“A</w:t>
      </w:r>
      <w:r>
        <w:rPr>
          <w:rFonts w:asciiTheme="minorEastAsia" w:hAnsiTheme="minorEastAsia" w:eastAsiaTheme="minorEastAsia"/>
          <w:sz w:val="24"/>
          <w:szCs w:val="24"/>
        </w:rPr>
        <w:t>资格后审材料</w:t>
      </w:r>
      <w:r>
        <w:rPr>
          <w:rFonts w:hint="eastAsia" w:asciiTheme="minorEastAsia" w:hAnsiTheme="minorEastAsia" w:eastAsiaTheme="minorEastAsia"/>
          <w:sz w:val="24"/>
          <w:szCs w:val="24"/>
        </w:rPr>
        <w:t>文件”、“B</w:t>
      </w:r>
      <w:r>
        <w:rPr>
          <w:rFonts w:asciiTheme="minorEastAsia" w:hAnsiTheme="minorEastAsia" w:eastAsiaTheme="minorEastAsia"/>
          <w:sz w:val="24"/>
          <w:szCs w:val="24"/>
        </w:rPr>
        <w:t>技术</w:t>
      </w:r>
      <w:r>
        <w:rPr>
          <w:rFonts w:hint="eastAsia" w:asciiTheme="minorEastAsia" w:hAnsiTheme="minorEastAsia" w:eastAsiaTheme="minorEastAsia"/>
          <w:sz w:val="24"/>
          <w:szCs w:val="24"/>
        </w:rPr>
        <w:t>标响应文件</w:t>
      </w:r>
      <w:r>
        <w:rPr>
          <w:rFonts w:hint="eastAsia" w:ascii="宋体" w:hAnsi="宋体" w:eastAsia="宋体" w:cs="宋体"/>
          <w:b/>
          <w:bCs/>
          <w:sz w:val="24"/>
          <w:szCs w:val="24"/>
        </w:rPr>
        <w:t>（含样品）</w:t>
      </w:r>
      <w:r>
        <w:rPr>
          <w:rFonts w:hint="eastAsia" w:asciiTheme="minorEastAsia" w:hAnsiTheme="minorEastAsia" w:eastAsiaTheme="minorEastAsia"/>
          <w:sz w:val="24"/>
          <w:szCs w:val="24"/>
        </w:rPr>
        <w:t>”、“C价格标响应文件”共3</w:t>
      </w:r>
      <w:r>
        <w:rPr>
          <w:rFonts w:asciiTheme="minorEastAsia" w:hAnsiTheme="minorEastAsia" w:eastAsiaTheme="minorEastAsia"/>
          <w:sz w:val="24"/>
          <w:szCs w:val="24"/>
        </w:rPr>
        <w:t>部分组成</w:t>
      </w:r>
      <w:r>
        <w:rPr>
          <w:rFonts w:hint="eastAsia" w:asciiTheme="minorEastAsia" w:hAnsiTheme="minorEastAsia" w:eastAsiaTheme="minorEastAsia"/>
          <w:sz w:val="24"/>
          <w:szCs w:val="24"/>
        </w:rPr>
        <w:t>（以下由文件前缀序号代称）</w:t>
      </w:r>
      <w:r>
        <w:rPr>
          <w:rFonts w:asciiTheme="minorEastAsia" w:hAnsiTheme="minorEastAsia" w:eastAsiaTheme="minorEastAsia"/>
          <w:sz w:val="24"/>
          <w:szCs w:val="24"/>
        </w:rPr>
        <w:t>。</w:t>
      </w:r>
    </w:p>
    <w:p>
      <w:pPr>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2、投标</w:t>
      </w:r>
      <w:r>
        <w:rPr>
          <w:rFonts w:hint="eastAsia" w:asciiTheme="minorEastAsia" w:hAnsiTheme="minorEastAsia" w:eastAsiaTheme="minorEastAsia"/>
          <w:kern w:val="0"/>
          <w:sz w:val="24"/>
          <w:szCs w:val="24"/>
        </w:rPr>
        <w:t>人</w:t>
      </w:r>
      <w:r>
        <w:rPr>
          <w:rFonts w:hint="eastAsia" w:asciiTheme="minorEastAsia" w:hAnsiTheme="minorEastAsia" w:eastAsiaTheme="minorEastAsia"/>
          <w:sz w:val="24"/>
          <w:szCs w:val="24"/>
        </w:rPr>
        <w:t>按项目需求结合第四章评审程序和方法并参照第八章投标文件的组成及相关格式编写投标文件，并牢固装订成册。投标文件均需采用</w:t>
      </w:r>
      <w:r>
        <w:rPr>
          <w:rFonts w:asciiTheme="minorEastAsia" w:hAnsiTheme="minorEastAsia" w:eastAsiaTheme="minorEastAsia"/>
          <w:sz w:val="24"/>
          <w:szCs w:val="24"/>
        </w:rPr>
        <w:t>A4</w:t>
      </w:r>
      <w:r>
        <w:rPr>
          <w:rFonts w:hint="eastAsia" w:asciiTheme="minorEastAsia" w:hAnsiTheme="minorEastAsia" w:eastAsiaTheme="minorEastAsia"/>
          <w:sz w:val="24"/>
          <w:szCs w:val="24"/>
        </w:rPr>
        <w:t>纸（图纸等除外），不允许使用活页夹、拉杆夹、文件夹、塑料方便式书脊（插入式或穿孔式）装订。投标文件不得行间插字、涂改、增删，如修改错漏处，须经签署投标文件的投标人法人代表或其委托的代理人（以下称被委托受权人）签字（或盖章）并加盖公章。</w:t>
      </w:r>
    </w:p>
    <w:p>
      <w:pPr>
        <w:snapToGrid w:val="0"/>
        <w:spacing w:line="4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3、价格标响应文件中的所有报价表，必须装订成册。</w:t>
      </w:r>
    </w:p>
    <w:p>
      <w:pPr>
        <w:snapToGrid w:val="0"/>
        <w:spacing w:line="420" w:lineRule="exact"/>
        <w:ind w:firstLine="482" w:firstLineChars="200"/>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五、投标文件的份数、签署和退还</w:t>
      </w:r>
    </w:p>
    <w:p>
      <w:pPr>
        <w:snapToGrid w:val="0"/>
        <w:spacing w:line="42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1、投标文件均为</w:t>
      </w:r>
      <w:r>
        <w:rPr>
          <w:rFonts w:hint="eastAsia" w:asciiTheme="minorEastAsia" w:hAnsiTheme="minorEastAsia" w:eastAsiaTheme="minorEastAsia"/>
          <w:b/>
          <w:sz w:val="24"/>
          <w:szCs w:val="24"/>
          <w:u w:val="thick" w:color="FF0000"/>
        </w:rPr>
        <w:t>一份“正本”和二份“副本”</w:t>
      </w:r>
      <w:r>
        <w:rPr>
          <w:rFonts w:hint="eastAsia" w:asciiTheme="minorEastAsia" w:hAnsiTheme="minorEastAsia" w:eastAsiaTheme="minorEastAsia"/>
          <w:b/>
          <w:sz w:val="24"/>
          <w:szCs w:val="24"/>
        </w:rPr>
        <w:t>。</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2、在每一份投标文件上要明确标注项目名称、投标文件各自对应的名称、投标人全称、</w:t>
      </w:r>
      <w:r>
        <w:rPr>
          <w:rFonts w:asciiTheme="minorEastAsia" w:hAnsiTheme="minorEastAsia" w:eastAsiaTheme="minorEastAsia"/>
          <w:sz w:val="24"/>
          <w:szCs w:val="24"/>
        </w:rPr>
        <w:t>“</w:t>
      </w:r>
      <w:r>
        <w:rPr>
          <w:rFonts w:hint="eastAsia" w:asciiTheme="minorEastAsia" w:hAnsiTheme="minorEastAsia" w:eastAsiaTheme="minorEastAsia"/>
          <w:sz w:val="24"/>
          <w:szCs w:val="24"/>
        </w:rPr>
        <w:t>正本</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w:t>
      </w:r>
      <w:r>
        <w:rPr>
          <w:rFonts w:hint="eastAsia" w:asciiTheme="minorEastAsia" w:hAnsiTheme="minorEastAsia" w:eastAsiaTheme="minorEastAsia"/>
          <w:sz w:val="24"/>
          <w:szCs w:val="24"/>
        </w:rPr>
        <w:t>副本</w:t>
      </w:r>
      <w:r>
        <w:rPr>
          <w:rFonts w:asciiTheme="minorEastAsia" w:hAnsiTheme="minorEastAsia" w:eastAsiaTheme="minorEastAsia"/>
          <w:sz w:val="24"/>
          <w:szCs w:val="24"/>
        </w:rPr>
        <w:t>”</w:t>
      </w:r>
      <w:r>
        <w:rPr>
          <w:rFonts w:hint="eastAsia" w:asciiTheme="minorEastAsia" w:hAnsiTheme="minorEastAsia" w:eastAsiaTheme="minorEastAsia"/>
          <w:sz w:val="24"/>
          <w:szCs w:val="24"/>
        </w:rPr>
        <w:t>字样，“正本”和“副本”若有差异，概以“正本”为准。</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3、投标文件中的所有“正本”，须为打印的，其正文内容由法定代表人或被委托受权人签字（或盖章）并加盖公章，“副本”可为“正本”的复印件。</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4、开标程序顺利进行后，所有投标文件都将作为档案保存，不论中标与否，代理机构均不退回（未拆封的除外）。</w:t>
      </w:r>
    </w:p>
    <w:p>
      <w:pPr>
        <w:snapToGrid w:val="0"/>
        <w:spacing w:line="420" w:lineRule="exact"/>
        <w:ind w:firstLine="472" w:firstLineChars="196"/>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六、投标文件的密封及标记</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、投标人须将本项目投标文件“【A】【B】【C】”</w:t>
      </w:r>
      <w:r>
        <w:rPr>
          <w:rFonts w:hint="eastAsia" w:asciiTheme="minorEastAsia" w:hAnsiTheme="minorEastAsia" w:eastAsiaTheme="minorEastAsia"/>
          <w:b/>
          <w:sz w:val="24"/>
          <w:szCs w:val="24"/>
        </w:rPr>
        <w:t>分别单独密封</w:t>
      </w:r>
      <w:r>
        <w:rPr>
          <w:rFonts w:hint="eastAsia" w:asciiTheme="minorEastAsia" w:hAnsiTheme="minorEastAsia" w:eastAsiaTheme="minorEastAsia"/>
          <w:sz w:val="24"/>
          <w:szCs w:val="24"/>
        </w:rPr>
        <w:t>。</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、密封后，应在每一密封的投标文件上明确标注投标项目名称、投标文件各自对应的名称、投标人全称及日期，同时加盖投标人公章。</w:t>
      </w:r>
    </w:p>
    <w:p>
      <w:pPr>
        <w:snapToGrid w:val="0"/>
        <w:spacing w:line="42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特别提醒：</w:t>
      </w:r>
      <w:r>
        <w:rPr>
          <w:rFonts w:hint="eastAsia" w:asciiTheme="minorEastAsia" w:hAnsiTheme="minorEastAsia" w:eastAsiaTheme="minorEastAsia"/>
          <w:sz w:val="24"/>
          <w:szCs w:val="24"/>
        </w:rPr>
        <w:t>投标文件中的【A】与【B】的“正本”或“副本”中，均不得含有任何【C】中的报价表（报价单）的内容，否则作废标处理。</w:t>
      </w:r>
    </w:p>
    <w:p>
      <w:pPr>
        <w:snapToGrid w:val="0"/>
        <w:spacing w:line="420" w:lineRule="exact"/>
        <w:ind w:firstLine="472" w:firstLineChars="196"/>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七、投标文件内容</w:t>
      </w:r>
    </w:p>
    <w:p>
      <w:pPr>
        <w:snapToGrid w:val="0"/>
        <w:spacing w:line="420" w:lineRule="exact"/>
        <w:ind w:firstLine="487" w:firstLineChars="202"/>
        <w:outlineLvl w:val="2"/>
        <w:rPr>
          <w:rFonts w:asciiTheme="minorEastAsia" w:hAnsiTheme="minorEastAsia" w:eastAsiaTheme="minorEastAsia"/>
          <w:b/>
          <w:sz w:val="24"/>
          <w:szCs w:val="24"/>
        </w:rPr>
      </w:pPr>
      <w:r>
        <w:rPr>
          <w:rFonts w:asciiTheme="minorEastAsia" w:hAnsiTheme="minorEastAsia" w:eastAsiaTheme="minorEastAsia"/>
          <w:b/>
          <w:sz w:val="24"/>
          <w:szCs w:val="24"/>
        </w:rPr>
        <w:t>A</w:t>
      </w:r>
      <w:r>
        <w:rPr>
          <w:rFonts w:hint="eastAsia" w:asciiTheme="minorEastAsia" w:hAnsiTheme="minorEastAsia" w:eastAsiaTheme="minorEastAsia"/>
          <w:b/>
          <w:sz w:val="24"/>
          <w:szCs w:val="24"/>
        </w:rPr>
        <w:t>、资格后审材料文件</w:t>
      </w:r>
      <w:r>
        <w:rPr>
          <w:rFonts w:hint="eastAsia" w:asciiTheme="minorEastAsia" w:hAnsiTheme="minorEastAsia" w:eastAsiaTheme="minorEastAsia"/>
          <w:sz w:val="24"/>
          <w:szCs w:val="24"/>
        </w:rPr>
        <w:t>（格式参见第八章）（一个密封包，含一正二副文件）</w:t>
      </w:r>
      <w:r>
        <w:rPr>
          <w:rFonts w:hint="eastAsia" w:asciiTheme="minorEastAsia" w:hAnsiTheme="minorEastAsia" w:eastAsiaTheme="minorEastAsia"/>
          <w:b/>
          <w:sz w:val="24"/>
          <w:szCs w:val="24"/>
        </w:rPr>
        <w:t>：</w:t>
      </w:r>
    </w:p>
    <w:p>
      <w:pPr>
        <w:snapToGrid w:val="0"/>
        <w:spacing w:line="420" w:lineRule="exact"/>
        <w:ind w:firstLine="491" w:firstLineChars="205"/>
        <w:rPr>
          <w:rFonts w:asciiTheme="minorEastAsia" w:hAnsiTheme="minorEastAsia" w:eastAsiaTheme="minorEastAsia"/>
          <w:sz w:val="24"/>
          <w:szCs w:val="24"/>
        </w:rPr>
      </w:pPr>
      <w:r>
        <w:rPr>
          <w:rFonts w:hint="eastAsia" w:asciiTheme="minorEastAsia" w:hAnsiTheme="minorEastAsia" w:eastAsiaTheme="minorEastAsia"/>
          <w:sz w:val="24"/>
          <w:szCs w:val="24"/>
        </w:rPr>
        <w:t>【特别提醒】单位负责人为同一人或者存在直接控股、管理关系的不同投标人，不得同时参与同一采购项目相同标段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招标人有权取消其中标资格，并由该投标人承担由此带来可能的一切责任和损失。</w:t>
      </w:r>
    </w:p>
    <w:p>
      <w:pPr>
        <w:spacing w:line="420" w:lineRule="exact"/>
        <w:ind w:firstLine="484" w:firstLineChars="202"/>
        <w:rPr>
          <w:rFonts w:asciiTheme="minorEastAsia" w:hAnsiTheme="minorEastAsia" w:eastAsiaTheme="minorEastAsia"/>
          <w:sz w:val="24"/>
          <w:szCs w:val="24"/>
        </w:rPr>
      </w:pPr>
      <w:bookmarkStart w:id="2" w:name="_Hlk10361781"/>
      <w:r>
        <w:rPr>
          <w:rFonts w:asciiTheme="minorEastAsia" w:hAnsiTheme="minorEastAsia" w:eastAsiaTheme="minorEastAsia"/>
          <w:sz w:val="24"/>
          <w:szCs w:val="24"/>
        </w:rPr>
        <w:t>1</w:t>
      </w:r>
      <w:r>
        <w:rPr>
          <w:rFonts w:hint="eastAsia" w:asciiTheme="minorEastAsia" w:hAnsiTheme="minorEastAsia" w:eastAsiaTheme="minorEastAsia"/>
          <w:sz w:val="24"/>
          <w:szCs w:val="24"/>
        </w:rPr>
        <w:t>、提供投标人的《企业法人营业执照》（副本）及《税务登记证》（副本）（提供新版“三证合一”企业法人营业执照的除外）原件的复印件（须加盖公章）。</w:t>
      </w:r>
    </w:p>
    <w:p>
      <w:pPr>
        <w:spacing w:line="420" w:lineRule="exact"/>
        <w:ind w:firstLine="484" w:firstLineChars="202"/>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法定代表人参加投标的，必须提供本人身份证原件的复印件（须加盖公章）；非法定代表人参加的，必须提供法定代表人身份证明及其签名或盖章的授权委托书及被委托受权人身份证这3项材料的原件的复印件（须加盖公章）。</w:t>
      </w:r>
    </w:p>
    <w:p>
      <w:pPr>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、投标人还须提供本招标文件第八章投标文件的组成及格式中的“资格后审材料相关格式文件”内的：关于资格文件的声明函、投标人一般情况表。</w:t>
      </w:r>
    </w:p>
    <w:bookmarkEnd w:id="2"/>
    <w:p>
      <w:pPr>
        <w:spacing w:line="420" w:lineRule="exact"/>
        <w:ind w:firstLine="487" w:firstLineChars="202"/>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B、技术标响应文件（格式参见第八章）</w:t>
      </w:r>
      <w:r>
        <w:rPr>
          <w:rFonts w:hint="eastAsia" w:asciiTheme="minorEastAsia" w:hAnsiTheme="minorEastAsia" w:eastAsiaTheme="minorEastAsia"/>
          <w:sz w:val="24"/>
          <w:szCs w:val="24"/>
        </w:rPr>
        <w:t>（一个密封包，含一正二副文件）</w:t>
      </w:r>
      <w:r>
        <w:rPr>
          <w:rFonts w:hint="eastAsia" w:asciiTheme="minorEastAsia" w:hAnsiTheme="minorEastAsia" w:eastAsiaTheme="minorEastAsia"/>
          <w:b/>
          <w:sz w:val="24"/>
          <w:szCs w:val="24"/>
        </w:rPr>
        <w:t>：</w:t>
      </w:r>
    </w:p>
    <w:p>
      <w:pPr>
        <w:snapToGrid w:val="0"/>
        <w:spacing w:line="420" w:lineRule="exact"/>
        <w:ind w:firstLine="491" w:firstLineChars="205"/>
        <w:rPr>
          <w:rFonts w:asciiTheme="minorEastAsia" w:hAnsiTheme="minorEastAsia" w:eastAsiaTheme="minorEastAsia"/>
          <w:sz w:val="24"/>
          <w:szCs w:val="24"/>
          <w:u w:val="thick" w:color="FF0000"/>
        </w:rPr>
      </w:pPr>
      <w:r>
        <w:rPr>
          <w:rFonts w:hint="eastAsia" w:asciiTheme="minorEastAsia" w:hAnsiTheme="minorEastAsia" w:eastAsiaTheme="minorEastAsia"/>
          <w:sz w:val="24"/>
          <w:szCs w:val="24"/>
        </w:rPr>
        <w:t>【特别提醒】投标人应根据本招标文件第三章“项目需求”提供的主要技术规范，服务要求标准等，仔细阅读并在理解的基础上结合现场踏勘的资料与第四章“评审程序和方法”内的评审细则，编写编制技术标文件。以下技术标文件的内容，不得有缺项或漏项。否则将有可能被视为未实质性响应招标文件要求而作无效投标处理，亦可能直接影响技术标评审的得分。</w:t>
      </w:r>
    </w:p>
    <w:p>
      <w:pPr>
        <w:spacing w:line="420" w:lineRule="exact"/>
        <w:ind w:firstLine="487" w:firstLineChars="202"/>
        <w:outlineLvl w:val="3"/>
        <w:rPr>
          <w:rFonts w:asciiTheme="minorEastAsia" w:hAnsiTheme="minorEastAsia" w:eastAsiaTheme="minorEastAsia"/>
          <w:b/>
          <w:sz w:val="24"/>
          <w:szCs w:val="24"/>
        </w:rPr>
      </w:pPr>
      <w:r>
        <w:rPr>
          <w:rFonts w:hint="eastAsia" w:asciiTheme="minorEastAsia" w:hAnsiTheme="minorEastAsia" w:eastAsiaTheme="minorEastAsia"/>
          <w:b/>
          <w:sz w:val="24"/>
          <w:szCs w:val="24"/>
        </w:rPr>
        <w:t>1、投标响应函；</w:t>
      </w:r>
    </w:p>
    <w:p>
      <w:pPr>
        <w:spacing w:line="420" w:lineRule="exact"/>
        <w:ind w:firstLine="487" w:firstLineChars="202"/>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lang w:val="en-US" w:eastAsia="zh-CN"/>
        </w:rPr>
        <w:t>2</w:t>
      </w:r>
      <w:r>
        <w:rPr>
          <w:rFonts w:hint="eastAsia" w:asciiTheme="minorEastAsia" w:hAnsiTheme="minorEastAsia" w:eastAsiaTheme="minorEastAsia"/>
          <w:b/>
          <w:sz w:val="24"/>
          <w:szCs w:val="24"/>
        </w:rPr>
        <w:t>、招标文件第四章评审程序和方法要求提交的其它材料</w:t>
      </w:r>
      <w:r>
        <w:rPr>
          <w:rFonts w:hint="eastAsia" w:asciiTheme="minorEastAsia" w:hAnsiTheme="minorEastAsia" w:eastAsiaTheme="minorEastAsia"/>
          <w:b/>
          <w:sz w:val="24"/>
          <w:szCs w:val="24"/>
          <w:lang w:eastAsia="zh-CN"/>
        </w:rPr>
        <w:t>。</w:t>
      </w:r>
    </w:p>
    <w:p>
      <w:pPr>
        <w:pStyle w:val="24"/>
        <w:ind w:firstLine="482" w:firstLineChars="200"/>
        <w:rPr>
          <w:rFonts w:ascii="宋体" w:hAnsi="宋体"/>
          <w:b/>
          <w:sz w:val="24"/>
          <w:szCs w:val="24"/>
          <w:u w:val="thick" w:color="FF0000"/>
        </w:rPr>
      </w:pPr>
      <w:r>
        <w:rPr>
          <w:rFonts w:hint="eastAsia" w:ascii="宋体" w:hAnsi="宋体"/>
          <w:b/>
          <w:sz w:val="24"/>
          <w:szCs w:val="24"/>
          <w:u w:val="thick" w:color="FF0000"/>
        </w:rPr>
        <w:t>注：根据第三章项目需求提供样品，样品需在</w:t>
      </w:r>
      <w:r>
        <w:rPr>
          <w:rFonts w:hint="eastAsia" w:asciiTheme="minorEastAsia" w:hAnsiTheme="minorEastAsia" w:eastAsiaTheme="minorEastAsia"/>
          <w:b/>
          <w:sz w:val="24"/>
          <w:szCs w:val="24"/>
          <w:u w:val="thick" w:color="FF0000"/>
        </w:rPr>
        <w:t>2022年</w:t>
      </w:r>
      <w:r>
        <w:rPr>
          <w:rFonts w:hint="eastAsia" w:asciiTheme="minorEastAsia" w:hAnsiTheme="minorEastAsia" w:eastAsiaTheme="minorEastAsia"/>
          <w:b/>
          <w:sz w:val="24"/>
          <w:szCs w:val="24"/>
          <w:u w:val="thick" w:color="FF0000"/>
          <w:lang w:val="en-US" w:eastAsia="zh-CN"/>
        </w:rPr>
        <w:t>12</w:t>
      </w:r>
      <w:r>
        <w:rPr>
          <w:rFonts w:hint="eastAsia" w:asciiTheme="minorEastAsia" w:hAnsiTheme="minorEastAsia" w:eastAsiaTheme="minorEastAsia"/>
          <w:b/>
          <w:sz w:val="24"/>
          <w:szCs w:val="24"/>
          <w:u w:val="thick" w:color="FF0000"/>
        </w:rPr>
        <w:t>月</w:t>
      </w:r>
      <w:r>
        <w:rPr>
          <w:rFonts w:hint="eastAsia" w:asciiTheme="minorEastAsia" w:hAnsiTheme="minorEastAsia" w:eastAsiaTheme="minorEastAsia"/>
          <w:b/>
          <w:sz w:val="24"/>
          <w:szCs w:val="24"/>
          <w:u w:val="thick" w:color="FF0000"/>
          <w:lang w:val="en-US" w:eastAsia="zh-CN"/>
        </w:rPr>
        <w:t>14</w:t>
      </w:r>
      <w:r>
        <w:rPr>
          <w:rFonts w:hint="eastAsia" w:asciiTheme="minorEastAsia" w:hAnsiTheme="minorEastAsia" w:eastAsiaTheme="minorEastAsia"/>
          <w:b/>
          <w:sz w:val="24"/>
          <w:szCs w:val="24"/>
          <w:u w:val="thick" w:color="FF0000"/>
        </w:rPr>
        <w:t>日下午14点30分</w:t>
      </w:r>
      <w:r>
        <w:rPr>
          <w:rFonts w:hint="eastAsia" w:ascii="宋体" w:hAnsi="宋体"/>
          <w:b/>
          <w:sz w:val="24"/>
          <w:szCs w:val="24"/>
          <w:u w:val="thick" w:color="FF0000"/>
        </w:rPr>
        <w:t>前送至南通市恒隆国际B座</w:t>
      </w:r>
      <w:r>
        <w:rPr>
          <w:rFonts w:hint="eastAsia" w:ascii="宋体" w:hAnsi="宋体"/>
          <w:b/>
          <w:sz w:val="24"/>
          <w:szCs w:val="24"/>
          <w:u w:val="thick" w:color="FF0000"/>
          <w:lang w:val="en-US" w:eastAsia="zh-CN"/>
        </w:rPr>
        <w:t>9</w:t>
      </w:r>
      <w:r>
        <w:rPr>
          <w:rFonts w:hint="eastAsia" w:ascii="宋体" w:hAnsi="宋体"/>
          <w:b/>
          <w:sz w:val="24"/>
          <w:szCs w:val="24"/>
          <w:u w:val="thick" w:color="FF0000"/>
        </w:rPr>
        <w:t>楼</w:t>
      </w:r>
      <w:r>
        <w:rPr>
          <w:rFonts w:hint="eastAsia" w:ascii="宋体" w:hAnsi="宋体"/>
          <w:b/>
          <w:sz w:val="24"/>
          <w:szCs w:val="24"/>
          <w:u w:val="thick" w:color="FF0000"/>
          <w:lang w:val="en-US" w:eastAsia="zh-CN"/>
        </w:rPr>
        <w:t>903</w:t>
      </w:r>
      <w:r>
        <w:rPr>
          <w:rFonts w:hint="eastAsia" w:ascii="宋体" w:hAnsi="宋体"/>
          <w:b/>
          <w:sz w:val="24"/>
          <w:szCs w:val="24"/>
          <w:u w:val="thick" w:color="FF0000"/>
        </w:rPr>
        <w:t>。</w:t>
      </w:r>
    </w:p>
    <w:p>
      <w:pPr>
        <w:spacing w:line="420" w:lineRule="exact"/>
        <w:ind w:firstLine="487" w:firstLineChars="202"/>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C、价格标响应文件（格式参见第八章）</w:t>
      </w:r>
      <w:r>
        <w:rPr>
          <w:rFonts w:hint="eastAsia" w:asciiTheme="minorEastAsia" w:hAnsiTheme="minorEastAsia" w:eastAsiaTheme="minorEastAsia"/>
          <w:sz w:val="24"/>
          <w:szCs w:val="24"/>
        </w:rPr>
        <w:t>（一个密封包，含一正二副文件）</w:t>
      </w:r>
      <w:r>
        <w:rPr>
          <w:rFonts w:hint="eastAsia" w:asciiTheme="minorEastAsia" w:hAnsiTheme="minorEastAsia" w:eastAsiaTheme="minorEastAsia"/>
          <w:b/>
          <w:sz w:val="24"/>
          <w:szCs w:val="24"/>
        </w:rPr>
        <w:t>：</w:t>
      </w:r>
    </w:p>
    <w:p>
      <w:pPr>
        <w:spacing w:line="44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特别提醒】价格标响应文件中的报价，包括本招标文件规定涵盖的所有招标范围及相应说明的全部内容及费用。本次招标项目的商务付款方式要求，必须完全响应不得有任何负偏离，且不接受任何意在更改的说明，否则作无效投标处理。投标人中标后如据此提出疑义，不履行签订合同等下一步工作，招标人有权没收其全额投标保证金并取消其中标资格。</w:t>
      </w:r>
    </w:p>
    <w:p>
      <w:pPr>
        <w:numPr>
          <w:ilvl w:val="0"/>
          <w:numId w:val="0"/>
        </w:numPr>
        <w:spacing w:line="420" w:lineRule="exact"/>
        <w:ind w:left="462" w:leftChars="0"/>
        <w:outlineLvl w:val="3"/>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r>
        <w:rPr>
          <w:rFonts w:asciiTheme="minorEastAsia" w:hAnsiTheme="minorEastAsia" w:eastAsiaTheme="minorEastAsia"/>
          <w:sz w:val="24"/>
          <w:szCs w:val="24"/>
        </w:rPr>
        <w:t>投标响应报价总表；</w:t>
      </w:r>
    </w:p>
    <w:p>
      <w:pPr>
        <w:pStyle w:val="24"/>
        <w:ind w:left="485"/>
        <w:rPr>
          <w:rFonts w:asciiTheme="minorEastAsia" w:hAnsiTheme="minorEastAsia" w:eastAsiaTheme="minorEastAsia"/>
          <w:sz w:val="24"/>
          <w:szCs w:val="24"/>
        </w:rPr>
      </w:pPr>
      <w:r>
        <w:rPr>
          <w:rFonts w:hint="eastAsia" w:asciiTheme="minorEastAsia" w:hAnsiTheme="minorEastAsia" w:eastAsiaTheme="minorEastAsia"/>
          <w:sz w:val="24"/>
          <w:szCs w:val="24"/>
        </w:rPr>
        <w:t>2、投标报价明细表。</w:t>
      </w:r>
    </w:p>
    <w:p>
      <w:pPr>
        <w:snapToGrid w:val="0"/>
        <w:spacing w:line="420" w:lineRule="exact"/>
        <w:ind w:firstLine="496" w:firstLineChars="206"/>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八</w:t>
      </w:r>
      <w:r>
        <w:rPr>
          <w:rFonts w:asciiTheme="minorEastAsia" w:hAnsiTheme="minorEastAsia" w:eastAsiaTheme="minorEastAsia"/>
          <w:b/>
          <w:bCs/>
          <w:sz w:val="24"/>
          <w:szCs w:val="24"/>
        </w:rPr>
        <w:t>、</w:t>
      </w:r>
      <w:r>
        <w:rPr>
          <w:rFonts w:hint="eastAsia" w:asciiTheme="minorEastAsia" w:hAnsiTheme="minorEastAsia" w:eastAsiaTheme="minorEastAsia"/>
          <w:b/>
          <w:bCs/>
          <w:sz w:val="24"/>
          <w:szCs w:val="24"/>
        </w:rPr>
        <w:t>联合投标：</w:t>
      </w:r>
    </w:p>
    <w:p>
      <w:pPr>
        <w:spacing w:line="420" w:lineRule="exact"/>
        <w:ind w:firstLine="480" w:firstLineChars="200"/>
        <w:rPr>
          <w:rFonts w:asciiTheme="minorEastAsia" w:hAnsiTheme="minorEastAsia" w:eastAsiaTheme="minorEastAsia"/>
          <w:b/>
          <w:bCs/>
          <w:sz w:val="24"/>
          <w:szCs w:val="24"/>
        </w:rPr>
      </w:pPr>
      <w:r>
        <w:rPr>
          <w:rFonts w:hint="eastAsia" w:asciiTheme="minorEastAsia" w:hAnsiTheme="minorEastAsia" w:eastAsiaTheme="minorEastAsia"/>
          <w:sz w:val="24"/>
          <w:szCs w:val="24"/>
        </w:rPr>
        <w:t>本项目不接受多个投标人组成联合体参与投标。</w:t>
      </w:r>
    </w:p>
    <w:p>
      <w:pPr>
        <w:snapToGrid w:val="0"/>
        <w:spacing w:line="420" w:lineRule="exact"/>
        <w:ind w:firstLine="496" w:firstLineChars="206"/>
        <w:outlineLvl w:val="1"/>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w:t>
      </w:r>
      <w:r>
        <w:rPr>
          <w:rFonts w:asciiTheme="minorEastAsia" w:hAnsiTheme="minorEastAsia" w:eastAsiaTheme="minorEastAsia"/>
          <w:b/>
          <w:bCs/>
          <w:sz w:val="24"/>
          <w:szCs w:val="24"/>
        </w:rPr>
        <w:t>文件递交</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接收人：招标代理机构；</w:t>
      </w:r>
    </w:p>
    <w:p>
      <w:pPr>
        <w:spacing w:line="420" w:lineRule="exact"/>
        <w:ind w:firstLine="480" w:firstLineChars="200"/>
        <w:rPr>
          <w:rFonts w:asciiTheme="minorEastAsia" w:hAnsiTheme="minorEastAsia" w:eastAsiaTheme="minorEastAsia"/>
        </w:rPr>
      </w:pPr>
      <w:r>
        <w:rPr>
          <w:rFonts w:asciiTheme="minorEastAsia" w:hAnsiTheme="minorEastAsia" w:eastAsiaTheme="minorEastAsia"/>
          <w:sz w:val="24"/>
          <w:szCs w:val="24"/>
        </w:rPr>
        <w:t>2.接收截止时间：</w:t>
      </w:r>
      <w:r>
        <w:rPr>
          <w:rFonts w:hint="eastAsia" w:asciiTheme="minorEastAsia" w:hAnsiTheme="minorEastAsia" w:eastAsiaTheme="minorEastAsia"/>
          <w:b/>
          <w:sz w:val="24"/>
          <w:szCs w:val="24"/>
          <w:u w:val="thick" w:color="FF0000"/>
        </w:rPr>
        <w:t>2022年</w:t>
      </w:r>
      <w:r>
        <w:rPr>
          <w:rFonts w:hint="eastAsia" w:asciiTheme="minorEastAsia" w:hAnsiTheme="minorEastAsia" w:eastAsiaTheme="minorEastAsia"/>
          <w:b/>
          <w:sz w:val="24"/>
          <w:szCs w:val="24"/>
          <w:u w:val="thick" w:color="FF0000"/>
          <w:lang w:val="en-US" w:eastAsia="zh-CN"/>
        </w:rPr>
        <w:t>12</w:t>
      </w:r>
      <w:r>
        <w:rPr>
          <w:rFonts w:hint="eastAsia" w:asciiTheme="minorEastAsia" w:hAnsiTheme="minorEastAsia" w:eastAsiaTheme="minorEastAsia"/>
          <w:b/>
          <w:sz w:val="24"/>
          <w:szCs w:val="24"/>
          <w:u w:val="thick" w:color="FF0000"/>
        </w:rPr>
        <w:t>月</w:t>
      </w:r>
      <w:r>
        <w:rPr>
          <w:rFonts w:hint="eastAsia" w:asciiTheme="minorEastAsia" w:hAnsiTheme="minorEastAsia" w:eastAsiaTheme="minorEastAsia"/>
          <w:b/>
          <w:sz w:val="24"/>
          <w:szCs w:val="24"/>
          <w:u w:val="thick" w:color="FF0000"/>
          <w:lang w:val="en-US" w:eastAsia="zh-CN"/>
        </w:rPr>
        <w:t>14</w:t>
      </w:r>
      <w:r>
        <w:rPr>
          <w:rFonts w:hint="eastAsia" w:asciiTheme="minorEastAsia" w:hAnsiTheme="minorEastAsia" w:eastAsiaTheme="minorEastAsia"/>
          <w:b/>
          <w:sz w:val="24"/>
          <w:szCs w:val="24"/>
          <w:u w:val="thick" w:color="FF0000"/>
        </w:rPr>
        <w:t>日下午14点30分前</w:t>
      </w:r>
      <w:r>
        <w:rPr>
          <w:rFonts w:hint="eastAsia" w:asciiTheme="minorEastAsia" w:hAnsiTheme="minorEastAsia" w:eastAsiaTheme="minorEastAsia"/>
          <w:sz w:val="24"/>
          <w:szCs w:val="24"/>
        </w:rPr>
        <w:t>。</w:t>
      </w:r>
      <w:r>
        <w:rPr>
          <w:rFonts w:asciiTheme="minorEastAsia" w:hAnsiTheme="minorEastAsia" w:eastAsiaTheme="minorEastAsia"/>
          <w:sz w:val="24"/>
          <w:szCs w:val="24"/>
        </w:rPr>
        <w:t>地址：</w:t>
      </w:r>
      <w:r>
        <w:rPr>
          <w:rFonts w:hint="eastAsia" w:asciiTheme="minorEastAsia" w:hAnsiTheme="minorEastAsia" w:eastAsiaTheme="minorEastAsia"/>
          <w:sz w:val="24"/>
          <w:u w:val="single"/>
        </w:rPr>
        <w:t>南通市崇川区恒隆国际B座903室；</w:t>
      </w:r>
    </w:p>
    <w:p>
      <w:pPr>
        <w:snapToGrid w:val="0"/>
        <w:spacing w:line="420" w:lineRule="exact"/>
        <w:ind w:firstLine="487" w:firstLineChars="202"/>
        <w:rPr>
          <w:rFonts w:asciiTheme="minorEastAsia" w:hAnsiTheme="minorEastAsia" w:eastAsiaTheme="minorEastAsia"/>
          <w:b/>
          <w:sz w:val="24"/>
          <w:szCs w:val="24"/>
        </w:rPr>
      </w:pPr>
      <w:r>
        <w:rPr>
          <w:rFonts w:hint="eastAsia" w:asciiTheme="minorEastAsia" w:hAnsiTheme="minorEastAsia" w:eastAsiaTheme="minorEastAsia"/>
          <w:b/>
          <w:bCs/>
          <w:kern w:val="0"/>
          <w:sz w:val="24"/>
          <w:szCs w:val="24"/>
        </w:rPr>
        <w:t>十</w:t>
      </w:r>
      <w:r>
        <w:rPr>
          <w:rFonts w:hint="eastAsia" w:asciiTheme="minorEastAsia" w:hAnsiTheme="minorEastAsia" w:eastAsiaTheme="minorEastAsia"/>
          <w:kern w:val="0"/>
          <w:sz w:val="24"/>
          <w:szCs w:val="24"/>
        </w:rPr>
        <w:t>、</w:t>
      </w:r>
      <w:r>
        <w:rPr>
          <w:rFonts w:hint="eastAsia" w:asciiTheme="minorEastAsia" w:hAnsiTheme="minorEastAsia" w:eastAsiaTheme="minorEastAsia"/>
          <w:b/>
          <w:sz w:val="24"/>
          <w:szCs w:val="24"/>
        </w:rPr>
        <w:t>开标</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开标</w:t>
      </w:r>
      <w:r>
        <w:rPr>
          <w:rFonts w:hint="eastAsia" w:asciiTheme="minorEastAsia" w:hAnsiTheme="minorEastAsia" w:eastAsiaTheme="minorEastAsia"/>
          <w:sz w:val="24"/>
          <w:szCs w:val="24"/>
        </w:rPr>
        <w:t>时间：</w:t>
      </w:r>
      <w:r>
        <w:rPr>
          <w:rFonts w:hint="eastAsia" w:asciiTheme="minorEastAsia" w:hAnsiTheme="minorEastAsia" w:eastAsiaTheme="minorEastAsia"/>
          <w:b/>
          <w:sz w:val="24"/>
          <w:szCs w:val="24"/>
          <w:u w:val="thick" w:color="FF0000"/>
        </w:rPr>
        <w:t>2022年</w:t>
      </w:r>
      <w:r>
        <w:rPr>
          <w:rFonts w:hint="eastAsia" w:asciiTheme="minorEastAsia" w:hAnsiTheme="minorEastAsia" w:eastAsiaTheme="minorEastAsia"/>
          <w:b/>
          <w:sz w:val="24"/>
          <w:szCs w:val="24"/>
          <w:u w:val="thick" w:color="FF0000"/>
          <w:lang w:val="en-US" w:eastAsia="zh-CN"/>
        </w:rPr>
        <w:t>12</w:t>
      </w:r>
      <w:r>
        <w:rPr>
          <w:rFonts w:hint="eastAsia" w:asciiTheme="minorEastAsia" w:hAnsiTheme="minorEastAsia" w:eastAsiaTheme="minorEastAsia"/>
          <w:b/>
          <w:sz w:val="24"/>
          <w:szCs w:val="24"/>
          <w:u w:val="thick" w:color="FF0000"/>
        </w:rPr>
        <w:t>月</w:t>
      </w:r>
      <w:r>
        <w:rPr>
          <w:rFonts w:hint="eastAsia" w:asciiTheme="minorEastAsia" w:hAnsiTheme="minorEastAsia" w:eastAsiaTheme="minorEastAsia"/>
          <w:b/>
          <w:sz w:val="24"/>
          <w:szCs w:val="24"/>
          <w:u w:val="thick" w:color="FF0000"/>
          <w:lang w:val="en-US" w:eastAsia="zh-CN"/>
        </w:rPr>
        <w:t>14</w:t>
      </w:r>
      <w:r>
        <w:rPr>
          <w:rFonts w:hint="eastAsia" w:asciiTheme="minorEastAsia" w:hAnsiTheme="minorEastAsia" w:eastAsiaTheme="minorEastAsia"/>
          <w:b/>
          <w:sz w:val="24"/>
          <w:szCs w:val="24"/>
          <w:u w:val="thick" w:color="FF0000"/>
        </w:rPr>
        <w:t>日下午14点30分整</w:t>
      </w:r>
      <w:r>
        <w:rPr>
          <w:rFonts w:hint="eastAsia" w:asciiTheme="minorEastAsia" w:hAnsiTheme="minorEastAsia" w:eastAsiaTheme="minorEastAsia"/>
          <w:sz w:val="24"/>
          <w:szCs w:val="24"/>
        </w:rPr>
        <w:t>；</w:t>
      </w:r>
    </w:p>
    <w:p>
      <w:pPr>
        <w:pStyle w:val="24"/>
        <w:ind w:firstLine="480" w:firstLineChars="200"/>
      </w:pPr>
      <w:r>
        <w:rPr>
          <w:rFonts w:asciiTheme="minorEastAsia" w:hAnsiTheme="minorEastAsia" w:eastAsiaTheme="minorEastAsia"/>
          <w:sz w:val="24"/>
          <w:szCs w:val="24"/>
        </w:rPr>
        <w:t>2</w:t>
      </w:r>
      <w:r>
        <w:rPr>
          <w:rFonts w:hint="eastAsia" w:asciiTheme="minorEastAsia" w:hAnsiTheme="minorEastAsia" w:eastAsiaTheme="minorEastAsia"/>
          <w:sz w:val="24"/>
          <w:szCs w:val="24"/>
        </w:rPr>
        <w:t>、开标</w:t>
      </w:r>
      <w:r>
        <w:rPr>
          <w:rFonts w:asciiTheme="minorEastAsia" w:hAnsiTheme="minorEastAsia" w:eastAsiaTheme="minorEastAsia"/>
          <w:sz w:val="24"/>
          <w:szCs w:val="24"/>
        </w:rPr>
        <w:t>地点：</w:t>
      </w:r>
      <w:r>
        <w:rPr>
          <w:rFonts w:hint="eastAsia" w:asciiTheme="minorEastAsia" w:hAnsiTheme="minorEastAsia" w:eastAsiaTheme="minorEastAsia"/>
          <w:sz w:val="24"/>
          <w:u w:val="single"/>
        </w:rPr>
        <w:t>南通市崇川区恒隆国际B座903室；</w:t>
      </w:r>
    </w:p>
    <w:p>
      <w:pPr>
        <w:snapToGrid w:val="0"/>
        <w:spacing w:line="420" w:lineRule="exact"/>
        <w:ind w:firstLine="487" w:firstLineChars="202"/>
        <w:rPr>
          <w:rFonts w:asciiTheme="minorEastAsia" w:hAnsiTheme="minorEastAsia" w:eastAsiaTheme="minorEastAsia"/>
          <w:b/>
          <w:sz w:val="24"/>
          <w:szCs w:val="24"/>
        </w:rPr>
      </w:pPr>
      <w:r>
        <w:rPr>
          <w:rFonts w:hint="eastAsia" w:asciiTheme="minorEastAsia" w:hAnsiTheme="minorEastAsia" w:eastAsiaTheme="minorEastAsia"/>
          <w:b/>
          <w:bCs/>
          <w:kern w:val="0"/>
          <w:sz w:val="24"/>
          <w:szCs w:val="24"/>
        </w:rPr>
        <w:t>十一</w:t>
      </w:r>
      <w:r>
        <w:rPr>
          <w:rFonts w:hint="eastAsia" w:asciiTheme="minorEastAsia" w:hAnsiTheme="minorEastAsia" w:eastAsiaTheme="minorEastAsia"/>
          <w:kern w:val="0"/>
          <w:sz w:val="24"/>
          <w:szCs w:val="24"/>
        </w:rPr>
        <w:t>、</w:t>
      </w:r>
      <w:r>
        <w:rPr>
          <w:rFonts w:hint="eastAsia" w:asciiTheme="minorEastAsia" w:hAnsiTheme="minorEastAsia" w:eastAsiaTheme="minorEastAsia"/>
          <w:b/>
          <w:sz w:val="24"/>
          <w:szCs w:val="24"/>
        </w:rPr>
        <w:t>资格审查</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1、资格审查时间：</w:t>
      </w:r>
      <w:r>
        <w:rPr>
          <w:rFonts w:hint="eastAsia" w:asciiTheme="minorEastAsia" w:hAnsiTheme="minorEastAsia" w:eastAsiaTheme="minorEastAsia"/>
          <w:b/>
          <w:sz w:val="24"/>
          <w:szCs w:val="24"/>
          <w:u w:val="thick" w:color="FF0000"/>
        </w:rPr>
        <w:t>开标结束后当即开始</w:t>
      </w:r>
      <w:r>
        <w:rPr>
          <w:rFonts w:hint="eastAsia" w:asciiTheme="minorEastAsia" w:hAnsiTheme="minorEastAsia" w:eastAsiaTheme="minorEastAsia"/>
          <w:sz w:val="24"/>
          <w:szCs w:val="24"/>
        </w:rPr>
        <w:t>。</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、资格审查</w:t>
      </w:r>
      <w:r>
        <w:rPr>
          <w:rFonts w:asciiTheme="minorEastAsia" w:hAnsiTheme="minorEastAsia" w:eastAsiaTheme="minorEastAsia"/>
          <w:sz w:val="24"/>
          <w:szCs w:val="24"/>
        </w:rPr>
        <w:t>地点：</w:t>
      </w:r>
      <w:r>
        <w:rPr>
          <w:rFonts w:hint="eastAsia" w:asciiTheme="minorEastAsia" w:hAnsiTheme="minorEastAsia" w:eastAsiaTheme="minorEastAsia"/>
          <w:sz w:val="24"/>
          <w:u w:val="single"/>
        </w:rPr>
        <w:t>南通市崇川区恒隆国际B座801室；</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、招标人依法委托评标小组对各投标人的资格进行审查，审查通过方可参与项目的技术评审。</w:t>
      </w:r>
    </w:p>
    <w:p>
      <w:pPr>
        <w:spacing w:line="420" w:lineRule="exact"/>
        <w:ind w:firstLine="487" w:firstLineChars="202"/>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十二、评标</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1、评标时间：</w:t>
      </w:r>
      <w:r>
        <w:rPr>
          <w:rFonts w:hint="eastAsia" w:asciiTheme="minorEastAsia" w:hAnsiTheme="minorEastAsia" w:eastAsiaTheme="minorEastAsia"/>
          <w:b/>
          <w:sz w:val="24"/>
          <w:szCs w:val="24"/>
          <w:u w:val="thick" w:color="FF0000"/>
        </w:rPr>
        <w:t>资格审查结束后当即开始</w:t>
      </w:r>
      <w:r>
        <w:rPr>
          <w:rFonts w:hint="eastAsia" w:asciiTheme="minorEastAsia" w:hAnsiTheme="minorEastAsia" w:eastAsiaTheme="minorEastAsia"/>
          <w:sz w:val="24"/>
          <w:szCs w:val="24"/>
        </w:rPr>
        <w:t>；</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2、评标</w:t>
      </w:r>
      <w:r>
        <w:rPr>
          <w:rFonts w:asciiTheme="minorEastAsia" w:hAnsiTheme="minorEastAsia" w:eastAsiaTheme="minorEastAsia"/>
          <w:sz w:val="24"/>
          <w:szCs w:val="24"/>
        </w:rPr>
        <w:t>地点：</w:t>
      </w:r>
      <w:r>
        <w:rPr>
          <w:rFonts w:hint="eastAsia" w:asciiTheme="minorEastAsia" w:hAnsiTheme="minorEastAsia" w:eastAsiaTheme="minorEastAsia"/>
          <w:sz w:val="24"/>
          <w:szCs w:val="24"/>
          <w:u w:val="single"/>
        </w:rPr>
        <w:t>南通市崇川区恒隆国际B座801室</w:t>
      </w:r>
      <w:r>
        <w:rPr>
          <w:rFonts w:hint="eastAsia" w:asciiTheme="minorEastAsia" w:hAnsiTheme="minorEastAsia" w:eastAsiaTheme="minorEastAsia"/>
          <w:sz w:val="24"/>
          <w:u w:val="single"/>
        </w:rPr>
        <w:t>；</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、评标委员会负责具体评标事务。</w:t>
      </w:r>
    </w:p>
    <w:p>
      <w:pPr>
        <w:snapToGrid w:val="0"/>
        <w:spacing w:line="420" w:lineRule="exact"/>
        <w:ind w:firstLine="496" w:firstLineChars="206"/>
        <w:outlineLvl w:val="1"/>
        <w:rPr>
          <w:rFonts w:asciiTheme="minorEastAsia" w:hAnsiTheme="minorEastAsia" w:eastAsiaTheme="minorEastAsia"/>
          <w:sz w:val="24"/>
          <w:szCs w:val="24"/>
        </w:rPr>
      </w:pPr>
      <w:r>
        <w:rPr>
          <w:rFonts w:hint="eastAsia" w:asciiTheme="minorEastAsia" w:hAnsiTheme="minorEastAsia" w:eastAsiaTheme="minorEastAsia"/>
          <w:b/>
          <w:bCs/>
          <w:sz w:val="24"/>
          <w:szCs w:val="24"/>
        </w:rPr>
        <w:t>十三、</w:t>
      </w:r>
      <w:r>
        <w:rPr>
          <w:rFonts w:asciiTheme="minorEastAsia" w:hAnsiTheme="minorEastAsia" w:eastAsiaTheme="minorEastAsia"/>
          <w:b/>
          <w:bCs/>
          <w:sz w:val="24"/>
          <w:szCs w:val="24"/>
        </w:rPr>
        <w:t>投标文件的有效期</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1、从投标文件接收截止之日算起，</w:t>
      </w:r>
      <w:r>
        <w:rPr>
          <w:rFonts w:asciiTheme="minorEastAsia" w:hAnsiTheme="minorEastAsia" w:eastAsiaTheme="minorEastAsia"/>
          <w:sz w:val="24"/>
          <w:szCs w:val="24"/>
        </w:rPr>
        <w:t>45个</w:t>
      </w:r>
      <w:r>
        <w:rPr>
          <w:rFonts w:hint="eastAsia" w:asciiTheme="minorEastAsia" w:hAnsiTheme="minorEastAsia" w:eastAsiaTheme="minorEastAsia"/>
          <w:sz w:val="24"/>
          <w:szCs w:val="24"/>
        </w:rPr>
        <w:t>日历天内投标书应保持有效。有效期短于这个规定期限的投标，将被拒绝。</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特殊情况下，招标代理机构可与投标人协商延长投标书的有效期。这种要求和答复都应以书面、传真、或电报的形式进行。同意延长有效期的投标人不能修改投标文件，按本招标文件规定的投标保证金的有效期也相应延长。拒绝接受延期要求的投标人的投标将被拒绝，但投标保证金可退还。</w:t>
      </w:r>
    </w:p>
    <w:p>
      <w:pPr>
        <w:snapToGrid w:val="0"/>
        <w:spacing w:line="420" w:lineRule="exact"/>
        <w:ind w:firstLine="496" w:firstLineChars="206"/>
        <w:outlineLvl w:val="1"/>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十四、投标费用</w:t>
      </w:r>
    </w:p>
    <w:p>
      <w:pPr>
        <w:pStyle w:val="24"/>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1、投标人应承担其报名投标项目、编制投标文件以及递交投标文件所涉及的一切费用。无论投标结果如何，招标人对上述费用不负任何责任。</w:t>
      </w:r>
    </w:p>
    <w:p>
      <w:pPr>
        <w:pStyle w:val="25"/>
        <w:ind w:left="0" w:leftChars="0" w:firstLine="480" w:firstLineChars="200"/>
        <w:rPr>
          <w:rFonts w:hint="default"/>
          <w:lang w:val="en-US"/>
        </w:rPr>
      </w:pPr>
      <w:r>
        <w:rPr>
          <w:rFonts w:hint="eastAsia" w:cs="Times New Roman" w:asciiTheme="minorEastAsia" w:hAnsiTheme="minorEastAsia" w:eastAsiaTheme="minorEastAsia"/>
          <w:kern w:val="2"/>
          <w:sz w:val="24"/>
          <w:szCs w:val="24"/>
          <w:lang w:val="en-US" w:eastAsia="zh-CN" w:bidi="ar-SA"/>
        </w:rPr>
        <w:t>2、中标人在领取中标通知书时需向招标代理</w:t>
      </w:r>
      <w:bookmarkStart w:id="11" w:name="_GoBack"/>
      <w:bookmarkEnd w:id="11"/>
      <w:r>
        <w:rPr>
          <w:rFonts w:hint="eastAsia" w:cs="Times New Roman" w:asciiTheme="minorEastAsia" w:hAnsiTheme="minorEastAsia" w:eastAsiaTheme="minorEastAsia"/>
          <w:kern w:val="2"/>
          <w:sz w:val="24"/>
          <w:szCs w:val="24"/>
          <w:lang w:val="en-US" w:eastAsia="zh-CN" w:bidi="ar-SA"/>
        </w:rPr>
        <w:t>缴纳本项目的评审费，具体金额按时结算。</w:t>
      </w:r>
    </w:p>
    <w:p>
      <w:pPr>
        <w:snapToGrid w:val="0"/>
        <w:spacing w:line="420" w:lineRule="exact"/>
        <w:ind w:firstLine="496" w:firstLineChars="206"/>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十五、投标报价</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1、本项目不接受任何有选择的报价。</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2、投标报价均以人民币为报价的货币单位。</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、报价表必须加盖投标人公章且必须经法定代表人或被委托受权人签署。</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、报价出现前后不一致的，按照下列规定修正：</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（1）投标文件中报价表（开标一览表）内容与投标文件技术响应中内容明细不一致的，以报价表（开标一览表）为准；</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（2）投标文件中涉及大写金额和小写金额不一致的，以大写金额为准；</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（3）单价金额小数点或者百分比有明显错位的，以报价表（开标一览表）的总价为准，并修改单价；</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（4）总价金额与按单价汇总金额不一致的，以单价金额计算结果为准。</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同时出现两种以上不一致的，按照前款规定的顺序修正。修正后的报价应当由投标人的法定代表人或其授权的代表签字确认后产生约束力，投标人不确认的，其投标无效。</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5、本项目计价方式按</w:t>
      </w:r>
      <w:r>
        <w:rPr>
          <w:rFonts w:hint="eastAsia" w:asciiTheme="minorEastAsia" w:hAnsiTheme="minorEastAsia" w:eastAsiaTheme="minorEastAsia"/>
          <w:sz w:val="24"/>
          <w:szCs w:val="24"/>
          <w:lang w:val="en-US" w:eastAsia="zh-CN"/>
        </w:rPr>
        <w:t>固定单价</w:t>
      </w:r>
      <w:r>
        <w:rPr>
          <w:rFonts w:hint="eastAsia" w:asciiTheme="minorEastAsia" w:hAnsiTheme="minorEastAsia" w:eastAsiaTheme="minorEastAsia"/>
          <w:sz w:val="24"/>
          <w:szCs w:val="24"/>
        </w:rPr>
        <w:t>，工作量以招标人每次下达的指令为准，结算时按照实际发生订单数量为准。</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、投标</w:t>
      </w:r>
      <w:r>
        <w:rPr>
          <w:rFonts w:hint="eastAsia" w:asciiTheme="minorEastAsia" w:hAnsiTheme="minorEastAsia" w:eastAsiaTheme="minorEastAsia"/>
          <w:sz w:val="24"/>
          <w:szCs w:val="24"/>
        </w:rPr>
        <w:t>报价总价包括：</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根据招标文件所确定的</w:t>
      </w:r>
      <w:r>
        <w:rPr>
          <w:rFonts w:hint="eastAsia" w:asciiTheme="minorEastAsia" w:hAnsiTheme="minorEastAsia" w:eastAsiaTheme="minorEastAsia"/>
          <w:sz w:val="24"/>
          <w:szCs w:val="24"/>
          <w:lang w:eastAsia="zh-CN"/>
        </w:rPr>
        <w:t>南通市保安服务有限公司 2023-2025 年度特勤服供应商库采购项目</w:t>
      </w:r>
      <w:r>
        <w:rPr>
          <w:rFonts w:hint="eastAsia" w:asciiTheme="minorEastAsia" w:hAnsiTheme="minorEastAsia" w:eastAsiaTheme="minorEastAsia"/>
          <w:sz w:val="24"/>
          <w:szCs w:val="24"/>
        </w:rPr>
        <w:t>范围内的全部工作人员和内容的价格体现，是为完成招标文件规定的工作所涉及到的一切费用，包括但不限于货物的成本、利润、税金、开办费、开模费、市场材料价格风险费、政策性调整风险费等的所有费用；货物包装、运输、保险、装卸、搬运费、技术措施费、机械进出场费、保管费；主材、备品备件、辅材、专用工具、技术资料、损耗、人工费、机械费、检测费、管理费、利润；国家税务部门规定的各项税金；原材料的涨价及政策性调整等风险费；相关伴随服</w:t>
      </w:r>
      <w:r>
        <w:rPr>
          <w:rFonts w:hint="eastAsia" w:asciiTheme="minorEastAsia" w:hAnsiTheme="minorEastAsia" w:eastAsiaTheme="minorEastAsia"/>
          <w:sz w:val="24"/>
          <w:szCs w:val="24"/>
          <w:highlight w:val="none"/>
        </w:rPr>
        <w:t>务等一切费用；即</w:t>
      </w:r>
      <w:r>
        <w:rPr>
          <w:rFonts w:hint="eastAsia" w:asciiTheme="minorEastAsia" w:hAnsiTheme="minorEastAsia" w:eastAsiaTheme="minorEastAsia"/>
          <w:sz w:val="24"/>
          <w:szCs w:val="24"/>
        </w:rPr>
        <w:t>本项目采购的货物交付使用前的所有费用以及免费质保期内的服务费用等包含响应招标文件采购要求的所有费用。即响应本项目的各项应有费用。</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w:t>
      </w:r>
      <w:r>
        <w:rPr>
          <w:rFonts w:asciiTheme="minorEastAsia" w:hAnsiTheme="minorEastAsia" w:eastAsiaTheme="minorEastAsia"/>
          <w:sz w:val="24"/>
          <w:szCs w:val="24"/>
        </w:rPr>
        <w:t>本次公开招标项目仅为一次商务报价，一旦中标即为中标价。</w:t>
      </w:r>
      <w:r>
        <w:rPr>
          <w:rFonts w:hint="eastAsia" w:asciiTheme="minorEastAsia" w:hAnsiTheme="minorEastAsia" w:eastAsiaTheme="minorEastAsia"/>
          <w:sz w:val="24"/>
          <w:szCs w:val="24"/>
        </w:rPr>
        <w:t>除非因特殊原因并经买卖双方协商同意，中标的投标人（以下称中标人）不得再要求追加任何费用。同时，除非合同条款中另有规定，否则，中标人的中标价在合同实施期间不得因市场变化因素而变动。</w:t>
      </w:r>
    </w:p>
    <w:p>
      <w:pPr>
        <w:snapToGrid w:val="0"/>
        <w:spacing w:line="420" w:lineRule="exact"/>
        <w:ind w:firstLine="482" w:firstLineChars="200"/>
        <w:outlineLvl w:val="1"/>
        <w:rPr>
          <w:rFonts w:asciiTheme="minorEastAsia" w:hAnsiTheme="minorEastAsia" w:eastAsiaTheme="minorEastAsia"/>
          <w:b/>
          <w:bCs/>
          <w:sz w:val="24"/>
          <w:szCs w:val="24"/>
          <w:lang w:val="zh-CN"/>
        </w:rPr>
      </w:pPr>
      <w:r>
        <w:rPr>
          <w:rFonts w:hint="eastAsia" w:asciiTheme="minorEastAsia" w:hAnsiTheme="minorEastAsia" w:eastAsiaTheme="minorEastAsia"/>
          <w:b/>
          <w:bCs/>
          <w:sz w:val="24"/>
          <w:szCs w:val="24"/>
          <w:lang w:val="zh-CN"/>
        </w:rPr>
        <w:t>十四、</w:t>
      </w:r>
      <w:r>
        <w:rPr>
          <w:rFonts w:hint="eastAsia" w:asciiTheme="minorEastAsia" w:hAnsiTheme="minorEastAsia" w:eastAsiaTheme="minorEastAsia"/>
          <w:b/>
          <w:bCs/>
          <w:sz w:val="24"/>
          <w:szCs w:val="24"/>
        </w:rPr>
        <w:t>投标</w:t>
      </w:r>
      <w:r>
        <w:rPr>
          <w:rFonts w:hint="eastAsia" w:asciiTheme="minorEastAsia" w:hAnsiTheme="minorEastAsia" w:eastAsiaTheme="minorEastAsia"/>
          <w:b/>
          <w:bCs/>
          <w:sz w:val="24"/>
          <w:szCs w:val="24"/>
          <w:lang w:val="zh-CN"/>
        </w:rPr>
        <w:t>保证金</w:t>
      </w:r>
    </w:p>
    <w:p>
      <w:pPr>
        <w:spacing w:line="420" w:lineRule="exact"/>
        <w:ind w:firstLine="480" w:firstLineChars="200"/>
        <w:rPr>
          <w:rFonts w:asciiTheme="minorEastAsia" w:hAnsiTheme="minorEastAsia" w:eastAsiaTheme="minorEastAsia"/>
          <w:b/>
          <w:bCs/>
          <w:sz w:val="24"/>
          <w:szCs w:val="24"/>
        </w:rPr>
      </w:pPr>
      <w:r>
        <w:rPr>
          <w:rFonts w:hint="eastAsia" w:ascii="宋体" w:hAnsi="宋体" w:eastAsia="宋体"/>
          <w:sz w:val="24"/>
          <w:szCs w:val="24"/>
        </w:rPr>
        <w:t>1、</w:t>
      </w:r>
      <w:r>
        <w:rPr>
          <w:rFonts w:hint="eastAsia" w:asciiTheme="minorEastAsia" w:hAnsiTheme="minorEastAsia" w:eastAsiaTheme="minorEastAsia"/>
          <w:sz w:val="24"/>
          <w:szCs w:val="24"/>
        </w:rPr>
        <w:t>本项目</w:t>
      </w:r>
      <w:r>
        <w:rPr>
          <w:rFonts w:asciiTheme="minorEastAsia" w:hAnsiTheme="minorEastAsia" w:eastAsiaTheme="minorEastAsia"/>
          <w:sz w:val="24"/>
          <w:szCs w:val="24"/>
        </w:rPr>
        <w:t>投标人须交纳投标保证金</w:t>
      </w:r>
      <w:r>
        <w:rPr>
          <w:rFonts w:hint="eastAsia" w:asciiTheme="minorEastAsia" w:hAnsiTheme="minorEastAsia" w:eastAsiaTheme="minorEastAsia"/>
          <w:sz w:val="24"/>
          <w:szCs w:val="24"/>
        </w:rPr>
        <w:t>人民币</w:t>
      </w:r>
      <w:r>
        <w:rPr>
          <w:rFonts w:hint="eastAsia" w:asciiTheme="minorEastAsia" w:hAnsiTheme="minorEastAsia" w:eastAsiaTheme="minorEastAsia"/>
          <w:sz w:val="24"/>
          <w:szCs w:val="24"/>
          <w:lang w:val="en-US" w:eastAsia="zh-CN"/>
        </w:rPr>
        <w:t>10000</w:t>
      </w:r>
      <w:r>
        <w:rPr>
          <w:rFonts w:hint="eastAsia" w:asciiTheme="minorEastAsia" w:hAnsiTheme="minorEastAsia" w:eastAsiaTheme="minorEastAsia"/>
          <w:sz w:val="24"/>
          <w:szCs w:val="24"/>
        </w:rPr>
        <w:t>元整（</w:t>
      </w:r>
      <w:r>
        <w:rPr>
          <w:rFonts w:hint="eastAsia" w:ascii="宋体" w:hAnsi="宋体" w:eastAsia="宋体" w:cs="宋体"/>
          <w:b/>
          <w:bCs/>
          <w:sz w:val="24"/>
          <w:szCs w:val="24"/>
        </w:rPr>
        <w:t>现金</w:t>
      </w:r>
      <w:r>
        <w:rPr>
          <w:rFonts w:hint="eastAsia" w:asciiTheme="minorEastAsia" w:hAnsiTheme="minorEastAsia" w:eastAsiaTheme="minorEastAsia"/>
          <w:sz w:val="24"/>
          <w:szCs w:val="24"/>
        </w:rPr>
        <w:t>）。</w:t>
      </w:r>
    </w:p>
    <w:p>
      <w:pPr>
        <w:spacing w:line="420" w:lineRule="exact"/>
        <w:ind w:firstLine="480" w:firstLineChars="200"/>
        <w:rPr>
          <w:rFonts w:ascii="宋体" w:hAnsi="宋体" w:eastAsia="宋体"/>
          <w:sz w:val="24"/>
          <w:szCs w:val="24"/>
        </w:rPr>
      </w:pPr>
      <w:r>
        <w:rPr>
          <w:rFonts w:hint="eastAsia" w:ascii="宋体" w:hAnsi="宋体" w:eastAsia="宋体"/>
          <w:sz w:val="24"/>
          <w:szCs w:val="24"/>
        </w:rPr>
        <w:t>2、投标保证金以现金的形式同投标响应文件一起递交，投标人在投标现场递交投标保证金凭后，方可递交经密封包装的书面纸质投标文件。</w:t>
      </w:r>
    </w:p>
    <w:p>
      <w:pPr>
        <w:spacing w:line="420" w:lineRule="exact"/>
        <w:ind w:firstLine="480" w:firstLineChars="200"/>
        <w:rPr>
          <w:rFonts w:asciiTheme="minorEastAsia" w:hAnsiTheme="minorEastAsia" w:eastAsiaTheme="minorEastAsia"/>
          <w:sz w:val="24"/>
          <w:szCs w:val="24"/>
        </w:rPr>
      </w:pPr>
      <w:r>
        <w:rPr>
          <w:rFonts w:hint="eastAsia" w:ascii="宋体" w:hAnsi="宋体" w:eastAsia="宋体"/>
          <w:sz w:val="24"/>
          <w:szCs w:val="24"/>
        </w:rPr>
        <w:t>3、不递交本项目投标保证金的，其投标文件将被采购代理机构将拒绝。</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4、招标人最迟将在与中标人签订合同后5日内，向未中标的投标人和中标人退还投标保证金（无息）。</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5、发生下列情况之一，投标保证金将不予退还：</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（1）投标人在提交投标文件截止时间后撤回投标文件的； </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（2）投标人在投标文件中提供虚假材料的；</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 xml:space="preserve">）投标人与招标人、其他投标人或者招标代理机构恶意串通的； </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 xml:space="preserve">）除因不可抗力或招标文件认可的情形以外，中标人不与招标人签订合同的； </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）投标人在投标过程中有违反有关法律法规的行为；</w:t>
      </w:r>
    </w:p>
    <w:p>
      <w:pPr>
        <w:snapToGrid w:val="0"/>
        <w:spacing w:line="420" w:lineRule="exact"/>
        <w:ind w:firstLine="480" w:firstLineChars="200"/>
        <w:outlineLvl w:val="1"/>
        <w:rPr>
          <w:rFonts w:hint="default" w:asciiTheme="minorEastAsia" w:hAnsiTheme="minorEastAsia" w:eastAsiaTheme="minorEastAsia"/>
          <w:b/>
          <w:sz w:val="24"/>
          <w:szCs w:val="24"/>
          <w:lang w:val="en-US" w:eastAsia="zh-CN"/>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6</w:t>
      </w:r>
      <w:r>
        <w:rPr>
          <w:rFonts w:hint="eastAsia" w:asciiTheme="minorEastAsia" w:hAnsiTheme="minorEastAsia" w:eastAsiaTheme="minorEastAsia"/>
          <w:sz w:val="24"/>
          <w:szCs w:val="24"/>
        </w:rPr>
        <w:t>）投标人有招标文件规定的其他不予退还投标保证金的情形。</w:t>
      </w:r>
    </w:p>
    <w:p>
      <w:pPr>
        <w:snapToGrid w:val="0"/>
        <w:spacing w:line="420" w:lineRule="exact"/>
        <w:ind w:firstLine="496" w:firstLineChars="206"/>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十五、履约保证金</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1</w:t>
      </w:r>
      <w:r>
        <w:rPr>
          <w:rFonts w:hint="eastAsia" w:cs="宋体" w:asciiTheme="minorEastAsia" w:hAnsiTheme="minorEastAsia" w:eastAsiaTheme="minorEastAsia"/>
          <w:sz w:val="24"/>
          <w:szCs w:val="24"/>
        </w:rPr>
        <w:t>、本项目中标后的履约保证金为</w:t>
      </w:r>
      <w:r>
        <w:rPr>
          <w:rFonts w:hint="eastAsia" w:cs="宋体" w:asciiTheme="minorEastAsia" w:hAnsiTheme="minorEastAsia" w:eastAsiaTheme="minorEastAsia"/>
          <w:sz w:val="24"/>
          <w:szCs w:val="24"/>
          <w:lang w:val="en-US" w:eastAsia="zh-CN"/>
        </w:rPr>
        <w:t>5万元</w:t>
      </w:r>
      <w:r>
        <w:rPr>
          <w:rFonts w:hint="eastAsia" w:cs="宋体"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、中标供应商的履约保证金须在招标代理通知发中标通知书之日起</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个工作日内汇入招标人账户，中标供应商凭“中标通知书”和已经汇至招标人账上的“履约保证金”凭证，并在招标代理通知发中标通知书之日起15日内与招标人签订合同。超期则视为自动放弃中标资格，没收投标保证金。</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、中标供应商在按要求保质保量的完成该项目合同并通过验收后，招标人凭中标供应商提交的申请，一次性无息退还该合同项目的履约保证金。</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、由于中标供应商原因，在签订合同后出现不按合同履行的情况，招标人有权将履约保证金作为违约金，全额不予退还，同时招标人亦有权终止合同，中标供应商还须承担相应的法律赔偿责任。</w:t>
      </w:r>
    </w:p>
    <w:p>
      <w:pPr>
        <w:snapToGrid w:val="0"/>
        <w:spacing w:line="420" w:lineRule="exact"/>
        <w:ind w:firstLine="496" w:firstLineChars="206"/>
        <w:outlineLvl w:val="1"/>
        <w:rPr>
          <w:rFonts w:asciiTheme="minorEastAsia" w:hAnsiTheme="minorEastAsia" w:eastAsiaTheme="minorEastAsia"/>
          <w:bCs/>
          <w:sz w:val="24"/>
          <w:szCs w:val="24"/>
          <w:lang w:val="zh-CN"/>
        </w:rPr>
      </w:pPr>
      <w:r>
        <w:rPr>
          <w:rFonts w:hint="eastAsia" w:asciiTheme="minorEastAsia" w:hAnsiTheme="minorEastAsia" w:eastAsiaTheme="minorEastAsia"/>
          <w:b/>
          <w:sz w:val="24"/>
          <w:szCs w:val="24"/>
        </w:rPr>
        <w:t>十六、付款方式</w:t>
      </w:r>
    </w:p>
    <w:p>
      <w:pPr>
        <w:snapToGrid w:val="0"/>
        <w:spacing w:line="44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rPr>
        <w:t>【特别提醒】付款方式不接受负偏离及任何意图改变付款方式的意图表达，否则作无效投</w:t>
      </w:r>
      <w:r>
        <w:rPr>
          <w:rFonts w:hint="eastAsia" w:asciiTheme="minorEastAsia" w:hAnsiTheme="minorEastAsia" w:eastAsiaTheme="minorEastAsia"/>
          <w:sz w:val="24"/>
          <w:szCs w:val="24"/>
          <w:highlight w:val="none"/>
        </w:rPr>
        <w:t>标处理。</w:t>
      </w:r>
    </w:p>
    <w:p>
      <w:pPr>
        <w:snapToGrid w:val="0"/>
        <w:spacing w:line="420" w:lineRule="exact"/>
        <w:ind w:firstLine="480" w:firstLineChars="200"/>
        <w:rPr>
          <w:rFonts w:asciiTheme="minorEastAsia" w:hAnsiTheme="minorEastAsia" w:eastAsiaTheme="minorEastAsia"/>
          <w:bCs/>
          <w:sz w:val="24"/>
          <w:szCs w:val="24"/>
          <w:highlight w:val="none"/>
          <w:lang w:val="zh-CN"/>
        </w:rPr>
      </w:pPr>
      <w:r>
        <w:rPr>
          <w:rFonts w:hint="eastAsia" w:asciiTheme="minorEastAsia" w:hAnsiTheme="minorEastAsia" w:eastAsiaTheme="minorEastAsia"/>
          <w:sz w:val="24"/>
          <w:szCs w:val="24"/>
          <w:highlight w:val="none"/>
        </w:rPr>
        <w:t>1、付款方</w:t>
      </w:r>
      <w:r>
        <w:rPr>
          <w:rFonts w:hint="eastAsia" w:asciiTheme="minorEastAsia" w:hAnsiTheme="minorEastAsia" w:eastAsiaTheme="minorEastAsia"/>
          <w:bCs/>
          <w:sz w:val="24"/>
          <w:szCs w:val="24"/>
          <w:highlight w:val="none"/>
          <w:lang w:val="zh-CN"/>
        </w:rPr>
        <w:t>式：</w:t>
      </w:r>
      <w:r>
        <w:rPr>
          <w:rFonts w:hint="eastAsia" w:asciiTheme="minorEastAsia" w:hAnsiTheme="minorEastAsia" w:eastAsiaTheme="minorEastAsia"/>
          <w:bCs/>
          <w:sz w:val="24"/>
          <w:szCs w:val="24"/>
          <w:highlight w:val="none"/>
          <w:lang w:val="zh-CN" w:eastAsia="zh-CN"/>
        </w:rPr>
        <w:t>交货结束，并通过正式验收、支付至该批次货款的100%。</w:t>
      </w:r>
    </w:p>
    <w:p>
      <w:pPr>
        <w:snapToGrid w:val="0"/>
        <w:spacing w:line="420" w:lineRule="exact"/>
        <w:ind w:firstLine="482" w:firstLineChars="200"/>
        <w:rPr>
          <w:rFonts w:asciiTheme="minorEastAsia" w:hAnsiTheme="minorEastAsia" w:eastAsiaTheme="minorEastAsia"/>
          <w:b/>
          <w:sz w:val="24"/>
          <w:szCs w:val="24"/>
          <w:lang w:val="zh-CN"/>
        </w:rPr>
      </w:pPr>
      <w:r>
        <w:rPr>
          <w:rFonts w:hint="eastAsia" w:asciiTheme="minorEastAsia" w:hAnsiTheme="minorEastAsia" w:eastAsiaTheme="minorEastAsia"/>
          <w:b/>
          <w:sz w:val="24"/>
          <w:szCs w:val="24"/>
          <w:lang w:val="zh-CN"/>
        </w:rPr>
        <w:t>十七、服务量的调整及结算方式</w:t>
      </w:r>
    </w:p>
    <w:p>
      <w:pPr>
        <w:snapToGrid w:val="0"/>
        <w:spacing w:line="440" w:lineRule="exact"/>
        <w:ind w:firstLine="480" w:firstLineChars="200"/>
        <w:rPr>
          <w:rFonts w:asciiTheme="minorEastAsia" w:hAnsiTheme="minorEastAsia" w:eastAsiaTheme="minorEastAsia"/>
          <w:sz w:val="21"/>
          <w:szCs w:val="21"/>
        </w:rPr>
      </w:pPr>
      <w:r>
        <w:rPr>
          <w:rFonts w:hint="eastAsia" w:asciiTheme="minorEastAsia" w:hAnsiTheme="minorEastAsia" w:eastAsiaTheme="minorEastAsia"/>
          <w:sz w:val="24"/>
          <w:szCs w:val="24"/>
        </w:rPr>
        <w:t>如因招标人实际需求，采购的货物数量发生变化，中标人须无条件满足招标人要求，确保货物质量；结算时按招标人确认的实际货物量进行结算，项目综合单价不变。</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w:t>
      </w:r>
      <w:r>
        <w:rPr>
          <w:rFonts w:hint="eastAsia" w:asciiTheme="minorEastAsia" w:hAnsiTheme="minorEastAsia" w:eastAsiaTheme="minorEastAsia"/>
          <w:b/>
          <w:sz w:val="24"/>
          <w:szCs w:val="24"/>
          <w:lang w:val="en-US" w:eastAsia="zh-CN"/>
        </w:rPr>
        <w:t>八</w:t>
      </w:r>
      <w:r>
        <w:rPr>
          <w:rFonts w:hint="eastAsia" w:asciiTheme="minorEastAsia" w:hAnsiTheme="minorEastAsia" w:eastAsiaTheme="minorEastAsia"/>
          <w:b/>
          <w:sz w:val="24"/>
          <w:szCs w:val="24"/>
        </w:rPr>
        <w:t>、未尽事宜</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按相关的法律法规执行。</w:t>
      </w:r>
    </w:p>
    <w:p>
      <w:pPr>
        <w:tabs>
          <w:tab w:val="left" w:pos="1050"/>
          <w:tab w:val="right" w:leader="dot" w:pos="9402"/>
        </w:tabs>
        <w:spacing w:beforeLines="100" w:line="600" w:lineRule="exact"/>
        <w:jc w:val="center"/>
        <w:outlineLvl w:val="0"/>
        <w:rPr>
          <w:rFonts w:asciiTheme="minorEastAsia" w:hAnsiTheme="minorEastAsia" w:eastAsiaTheme="minorEastAsia"/>
        </w:rPr>
      </w:pPr>
      <w:bookmarkStart w:id="3" w:name="_Toc363573855"/>
      <w:r>
        <w:rPr>
          <w:rFonts w:asciiTheme="minorEastAsia" w:hAnsiTheme="minorEastAsia" w:eastAsiaTheme="minorEastAsia"/>
          <w:b/>
          <w:w w:val="80"/>
          <w:sz w:val="32"/>
          <w:szCs w:val="32"/>
        </w:rPr>
        <w:br w:type="page"/>
      </w:r>
      <w:r>
        <w:rPr>
          <w:rFonts w:hint="eastAsia" w:asciiTheme="minorEastAsia" w:hAnsiTheme="minorEastAsia" w:eastAsiaTheme="minorEastAsia"/>
          <w:b/>
          <w:w w:val="80"/>
          <w:sz w:val="32"/>
          <w:szCs w:val="32"/>
        </w:rPr>
        <w:t>第三章项目需求</w:t>
      </w:r>
      <w:bookmarkEnd w:id="3"/>
      <w:bookmarkStart w:id="4" w:name="_Toc100273215"/>
      <w:bookmarkStart w:id="5" w:name="_Toc13543213"/>
    </w:p>
    <w:bookmarkEnd w:id="4"/>
    <w:p>
      <w:pPr>
        <w:rPr>
          <w:rStyle w:val="71"/>
        </w:rPr>
      </w:pPr>
    </w:p>
    <w:p>
      <w:pPr>
        <w:pStyle w:val="366"/>
        <w:snapToGrid w:val="0"/>
        <w:spacing w:line="460" w:lineRule="exact"/>
        <w:ind w:firstLine="482" w:firstLineChars="200"/>
        <w:contextualSpacing/>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lang w:val="zh-CN"/>
        </w:rPr>
        <w:t>请投标人在制作投标文件时仔细研究项目需求说明。</w:t>
      </w:r>
      <w:r>
        <w:rPr>
          <w:rFonts w:hint="eastAsia" w:asciiTheme="minorEastAsia" w:hAnsiTheme="minorEastAsia" w:eastAsiaTheme="minorEastAsia" w:cstheme="minorEastAsia"/>
          <w:color w:val="000000"/>
          <w:sz w:val="24"/>
          <w:szCs w:val="24"/>
          <w:lang w:val="zh-CN"/>
        </w:rPr>
        <w:t>投标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投标人提供的货物和服务同采购单位提出的项目需求说明中的技术、商务要求不同的，必须在《商</w:t>
      </w:r>
      <w:r>
        <w:rPr>
          <w:rFonts w:hint="eastAsia" w:asciiTheme="minorEastAsia" w:hAnsiTheme="minorEastAsia" w:eastAsiaTheme="minorEastAsia" w:cstheme="minorEastAsia"/>
          <w:color w:val="000000"/>
          <w:sz w:val="24"/>
          <w:szCs w:val="24"/>
        </w:rPr>
        <w:t>务部分正负偏离表》和《技术部分正负偏离表》上明示，如不明示的视同完全响应</w:t>
      </w:r>
      <w:r>
        <w:rPr>
          <w:rFonts w:hint="eastAsia" w:asciiTheme="minorEastAsia" w:hAnsiTheme="minorEastAsia" w:eastAsiaTheme="minorEastAsia" w:cstheme="minorEastAsia"/>
          <w:color w:val="000000"/>
          <w:sz w:val="24"/>
          <w:szCs w:val="24"/>
          <w:lang w:val="zh-CN"/>
        </w:rPr>
        <w:t>。</w:t>
      </w:r>
    </w:p>
    <w:p>
      <w:pPr>
        <w:spacing w:after="0"/>
        <w:rPr>
          <w:rFonts w:asciiTheme="minorEastAsia" w:hAnsiTheme="minorEastAsia" w:eastAsiaTheme="minorEastAsia"/>
          <w:sz w:val="21"/>
          <w:szCs w:val="21"/>
        </w:rPr>
      </w:pPr>
      <w:r>
        <w:rPr>
          <w:rFonts w:hint="eastAsia" w:asciiTheme="minorEastAsia" w:hAnsiTheme="minorEastAsia" w:eastAsiaTheme="minorEastAsia"/>
          <w:sz w:val="21"/>
          <w:szCs w:val="21"/>
        </w:rPr>
        <w:t>一、项目具体需求说明</w:t>
      </w:r>
    </w:p>
    <w:p>
      <w:pPr>
        <w:spacing w:after="0"/>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特勤服 详细需求</w:t>
      </w:r>
    </w:p>
    <w:tbl>
      <w:tblPr>
        <w:tblStyle w:val="58"/>
        <w:tblW w:w="985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72"/>
        <w:gridCol w:w="743"/>
        <w:gridCol w:w="4127"/>
        <w:gridCol w:w="555"/>
        <w:gridCol w:w="3210"/>
        <w:gridCol w:w="7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2" w:type="dxa"/>
            <w:vAlign w:val="center"/>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序号</w:t>
            </w:r>
          </w:p>
        </w:tc>
        <w:tc>
          <w:tcPr>
            <w:tcW w:w="743" w:type="dxa"/>
            <w:vAlign w:val="center"/>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服装种类</w:t>
            </w:r>
          </w:p>
        </w:tc>
        <w:tc>
          <w:tcPr>
            <w:tcW w:w="4127" w:type="dxa"/>
            <w:vAlign w:val="center"/>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参数</w:t>
            </w:r>
          </w:p>
        </w:tc>
        <w:tc>
          <w:tcPr>
            <w:tcW w:w="555" w:type="dxa"/>
            <w:vAlign w:val="center"/>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单位</w:t>
            </w:r>
          </w:p>
        </w:tc>
        <w:tc>
          <w:tcPr>
            <w:tcW w:w="3210" w:type="dxa"/>
            <w:vAlign w:val="center"/>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图片</w:t>
            </w:r>
          </w:p>
        </w:tc>
        <w:tc>
          <w:tcPr>
            <w:tcW w:w="746" w:type="dxa"/>
            <w:vAlign w:val="center"/>
          </w:tcPr>
          <w:p>
            <w:pPr>
              <w:spacing w:after="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2" w:type="dxa"/>
            <w:vAlign w:val="center"/>
          </w:tcPr>
          <w:p>
            <w:pPr>
              <w:spacing w:after="0"/>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743" w:type="dxa"/>
            <w:vAlign w:val="center"/>
          </w:tcPr>
          <w:p>
            <w:pPr>
              <w:spacing w:after="0"/>
              <w:ind w:right="-52" w:rightChars="-20"/>
              <w:rPr>
                <w:rFonts w:asciiTheme="minorEastAsia" w:hAnsiTheme="minorEastAsia" w:eastAsiaTheme="minorEastAsia"/>
                <w:sz w:val="21"/>
                <w:szCs w:val="21"/>
              </w:rPr>
            </w:pPr>
            <w:r>
              <w:rPr>
                <w:rFonts w:hint="eastAsia" w:asciiTheme="minorEastAsia" w:hAnsiTheme="minorEastAsia" w:eastAsiaTheme="minorEastAsia"/>
                <w:sz w:val="21"/>
                <w:szCs w:val="21"/>
              </w:rPr>
              <w:t>夏季特勤服（长袖或短袖）</w:t>
            </w:r>
          </w:p>
        </w:tc>
        <w:tc>
          <w:tcPr>
            <w:tcW w:w="4127" w:type="dxa"/>
            <w:vAlign w:val="center"/>
          </w:tcPr>
          <w:p>
            <w:pPr>
              <w:spacing w:after="0"/>
              <w:rPr>
                <w:rFonts w:asciiTheme="minorEastAsia" w:hAnsiTheme="minorEastAsia" w:eastAsiaTheme="minorEastAsia"/>
                <w:sz w:val="21"/>
                <w:szCs w:val="21"/>
              </w:rPr>
            </w:pPr>
            <w:r>
              <w:rPr>
                <w:rFonts w:hint="eastAsia" w:asciiTheme="minorEastAsia" w:hAnsiTheme="minorEastAsia" w:eastAsiaTheme="minorEastAsia"/>
                <w:sz w:val="21"/>
                <w:szCs w:val="21"/>
              </w:rPr>
              <w:t>1.面料：芳粘格子布，</w:t>
            </w:r>
          </w:p>
          <w:p>
            <w:pPr>
              <w:spacing w:after="0"/>
              <w:rPr>
                <w:rFonts w:asciiTheme="minorEastAsia" w:hAnsiTheme="minorEastAsia" w:eastAsiaTheme="minorEastAsia"/>
                <w:sz w:val="21"/>
                <w:szCs w:val="21"/>
              </w:rPr>
            </w:pPr>
            <w:r>
              <w:rPr>
                <w:rFonts w:hint="eastAsia" w:asciiTheme="minorEastAsia" w:hAnsiTheme="minorEastAsia" w:eastAsiaTheme="minorEastAsia"/>
                <w:sz w:val="21"/>
                <w:szCs w:val="21"/>
              </w:rPr>
              <w:t>2.单位面积质量：145g/㎡，允许偏差±2%。</w:t>
            </w:r>
          </w:p>
          <w:p>
            <w:pPr>
              <w:spacing w:after="0"/>
              <w:ind w:right="-127" w:rightChars="-49"/>
              <w:rPr>
                <w:rFonts w:asciiTheme="minorEastAsia" w:hAnsiTheme="minorEastAsia" w:eastAsiaTheme="minorEastAsia"/>
                <w:sz w:val="21"/>
                <w:szCs w:val="21"/>
              </w:rPr>
            </w:pPr>
            <w:r>
              <w:rPr>
                <w:rFonts w:hint="eastAsia" w:asciiTheme="minorEastAsia" w:hAnsiTheme="minorEastAsia" w:eastAsiaTheme="minorEastAsia"/>
                <w:sz w:val="21"/>
                <w:szCs w:val="21"/>
              </w:rPr>
              <w:t>3.甲醛含量：B 类≤75mg/kg。</w:t>
            </w:r>
          </w:p>
          <w:p>
            <w:pPr>
              <w:spacing w:after="0"/>
              <w:rPr>
                <w:rFonts w:asciiTheme="minorEastAsia" w:hAnsiTheme="minorEastAsia" w:eastAsiaTheme="minorEastAsia"/>
                <w:sz w:val="21"/>
                <w:szCs w:val="21"/>
              </w:rPr>
            </w:pPr>
            <w:r>
              <w:rPr>
                <w:rFonts w:hint="eastAsia" w:asciiTheme="minorEastAsia" w:hAnsiTheme="minorEastAsia" w:eastAsiaTheme="minorEastAsia"/>
                <w:sz w:val="21"/>
                <w:szCs w:val="21"/>
              </w:rPr>
              <w:t>4.PH 值：在 4.0-8.5 区间。</w:t>
            </w:r>
          </w:p>
          <w:p>
            <w:pPr>
              <w:spacing w:after="0"/>
              <w:ind w:right="-244" w:rightChars="-94"/>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5.起毛起球≥2 级，耐光色牢度≥4 级，耐</w:t>
            </w:r>
          </w:p>
          <w:p>
            <w:pPr>
              <w:spacing w:after="0"/>
              <w:ind w:right="-244" w:rightChars="-94"/>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摩擦色牢度≥4级，耐水色牢度≥4 级，耐</w:t>
            </w:r>
          </w:p>
          <w:p>
            <w:pPr>
              <w:spacing w:after="0"/>
              <w:ind w:right="-244" w:rightChars="-94"/>
              <w:rPr>
                <w:rFonts w:asciiTheme="minorEastAsia" w:hAnsiTheme="minorEastAsia" w:eastAsiaTheme="minorEastAsia"/>
                <w:sz w:val="21"/>
                <w:szCs w:val="21"/>
              </w:rPr>
            </w:pPr>
            <w:r>
              <w:rPr>
                <w:rFonts w:hint="eastAsia" w:asciiTheme="minorEastAsia" w:hAnsiTheme="minorEastAsia" w:eastAsiaTheme="minorEastAsia"/>
                <w:sz w:val="21"/>
                <w:szCs w:val="21"/>
              </w:rPr>
              <w:t>汗渍色牢度≥4 级，耐皂洗色牢度≥4 级。</w:t>
            </w:r>
          </w:p>
          <w:p>
            <w:pPr>
              <w:numPr>
                <w:ilvl w:val="0"/>
                <w:numId w:val="2"/>
              </w:numPr>
              <w:spacing w:after="0"/>
              <w:ind w:right="-244" w:rightChars="-94"/>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吸湿性：吸水率≥100%，滴水扩散</w:t>
            </w:r>
          </w:p>
          <w:p>
            <w:pPr>
              <w:numPr>
                <w:ilvl w:val="0"/>
                <w:numId w:val="0"/>
              </w:numPr>
              <w:spacing w:after="0"/>
              <w:ind w:right="-244" w:rightChars="-94"/>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时间≤5S，芯吸高度（经向、纬向）</w:t>
            </w:r>
          </w:p>
          <w:p>
            <w:pPr>
              <w:numPr>
                <w:ilvl w:val="0"/>
                <w:numId w:val="0"/>
              </w:numPr>
              <w:spacing w:after="0"/>
              <w:ind w:right="-244" w:rightChars="-94"/>
              <w:rPr>
                <w:rFonts w:asciiTheme="minorEastAsia" w:hAnsiTheme="minorEastAsia" w:eastAsiaTheme="minorEastAsia"/>
                <w:sz w:val="21"/>
                <w:szCs w:val="21"/>
              </w:rPr>
            </w:pPr>
            <w:r>
              <w:rPr>
                <w:rFonts w:hint="eastAsia" w:asciiTheme="minorEastAsia" w:hAnsiTheme="minorEastAsia" w:eastAsiaTheme="minorEastAsia"/>
                <w:sz w:val="21"/>
                <w:szCs w:val="21"/>
              </w:rPr>
              <w:t>≥90mm。</w:t>
            </w:r>
          </w:p>
          <w:p>
            <w:pPr>
              <w:spacing w:after="0"/>
              <w:rPr>
                <w:rFonts w:asciiTheme="minorEastAsia" w:hAnsiTheme="minorEastAsia" w:eastAsiaTheme="minorEastAsia"/>
                <w:sz w:val="21"/>
                <w:szCs w:val="21"/>
              </w:rPr>
            </w:pPr>
            <w:r>
              <w:rPr>
                <w:rFonts w:hint="eastAsia" w:asciiTheme="minorEastAsia" w:hAnsiTheme="minorEastAsia" w:eastAsiaTheme="minorEastAsia"/>
                <w:sz w:val="21"/>
                <w:szCs w:val="21"/>
              </w:rPr>
              <w:t>7.速干性：蒸发速率≥</w:t>
            </w:r>
            <w:r>
              <w:rPr>
                <w:rFonts w:asciiTheme="minorEastAsia" w:hAnsiTheme="minorEastAsia" w:eastAsiaTheme="minorEastAsia"/>
                <w:sz w:val="21"/>
                <w:szCs w:val="21"/>
              </w:rPr>
              <w:t>0.18g/h,</w:t>
            </w:r>
          </w:p>
        </w:tc>
        <w:tc>
          <w:tcPr>
            <w:tcW w:w="555" w:type="dxa"/>
            <w:vAlign w:val="center"/>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3210" w:type="dxa"/>
          </w:tcPr>
          <w:p>
            <w:pPr>
              <w:spacing w:after="0"/>
              <w:rPr>
                <w:rFonts w:asciiTheme="minorEastAsia" w:hAnsiTheme="minorEastAsia" w:eastAsiaTheme="minorEastAsia"/>
                <w:sz w:val="21"/>
                <w:szCs w:val="21"/>
              </w:rPr>
            </w:pPr>
            <w:r>
              <w:rPr>
                <w:rFonts w:hint="eastAsia" w:asciiTheme="minorEastAsia" w:hAnsiTheme="minorEastAsia" w:eastAsiaTheme="minorEastAsia"/>
                <w:sz w:val="21"/>
                <w:szCs w:val="21"/>
              </w:rPr>
              <w:drawing>
                <wp:inline distT="0" distB="0" distL="0" distR="0">
                  <wp:extent cx="2000885" cy="2009775"/>
                  <wp:effectExtent l="0" t="0" r="1841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srcRect/>
                          <a:stretch>
                            <a:fillRect/>
                          </a:stretch>
                        </pic:blipFill>
                        <pic:spPr>
                          <a:xfrm>
                            <a:off x="0" y="0"/>
                            <a:ext cx="2001510" cy="2009955"/>
                          </a:xfrm>
                          <a:prstGeom prst="rect">
                            <a:avLst/>
                          </a:prstGeom>
                          <a:noFill/>
                          <a:ln w="9525">
                            <a:noFill/>
                            <a:miter lim="800000"/>
                            <a:headEnd/>
                            <a:tailEnd/>
                          </a:ln>
                        </pic:spPr>
                      </pic:pic>
                    </a:graphicData>
                  </a:graphic>
                </wp:inline>
              </w:drawing>
            </w:r>
          </w:p>
        </w:tc>
        <w:tc>
          <w:tcPr>
            <w:tcW w:w="746" w:type="dxa"/>
            <w:vAlign w:val="center"/>
          </w:tcPr>
          <w:p>
            <w:pPr>
              <w:spacing w:after="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出样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2" w:type="dxa"/>
            <w:vAlign w:val="center"/>
          </w:tcPr>
          <w:p>
            <w:pPr>
              <w:spacing w:after="0"/>
              <w:jc w:val="center"/>
              <w:rPr>
                <w:rFonts w:asciiTheme="minorEastAsia" w:hAnsiTheme="minorEastAsia" w:eastAsiaTheme="minorEastAsia"/>
                <w:sz w:val="21"/>
                <w:szCs w:val="21"/>
              </w:rPr>
            </w:pPr>
            <w:r>
              <w:rPr>
                <w:rFonts w:asciiTheme="minorEastAsia" w:hAnsiTheme="minorEastAsia" w:eastAsiaTheme="minorEastAsia"/>
                <w:sz w:val="21"/>
                <w:szCs w:val="21"/>
              </w:rPr>
              <w:t>2</w:t>
            </w:r>
          </w:p>
        </w:tc>
        <w:tc>
          <w:tcPr>
            <w:tcW w:w="743" w:type="dxa"/>
            <w:vAlign w:val="center"/>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春秋执勤服</w:t>
            </w:r>
          </w:p>
        </w:tc>
        <w:tc>
          <w:tcPr>
            <w:tcW w:w="4127" w:type="dxa"/>
            <w:vAlign w:val="center"/>
          </w:tcPr>
          <w:p>
            <w:pPr>
              <w:spacing w:after="0"/>
              <w:rPr>
                <w:rFonts w:asciiTheme="minorEastAsia" w:hAnsiTheme="minorEastAsia" w:eastAsiaTheme="minorEastAsia"/>
                <w:sz w:val="21"/>
                <w:szCs w:val="21"/>
              </w:rPr>
            </w:pPr>
            <w:r>
              <w:rPr>
                <w:rFonts w:hint="eastAsia" w:asciiTheme="minorEastAsia" w:hAnsiTheme="minorEastAsia" w:eastAsiaTheme="minorEastAsia"/>
                <w:sz w:val="21"/>
                <w:szCs w:val="21"/>
              </w:rPr>
              <w:t>1. 面料：涤棉混纺格子布，成份：35%棉、65%涤纶，</w:t>
            </w:r>
          </w:p>
          <w:p>
            <w:pPr>
              <w:spacing w:after="0"/>
              <w:ind w:right="-70" w:rightChars="-2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 单位面积质量：185g/㎡</w:t>
            </w:r>
          </w:p>
          <w:p>
            <w:pPr>
              <w:spacing w:after="0"/>
              <w:ind w:right="-70" w:rightChars="-27"/>
              <w:rPr>
                <w:rFonts w:asciiTheme="minorEastAsia" w:hAnsiTheme="minorEastAsia" w:eastAsiaTheme="minorEastAsia"/>
                <w:sz w:val="21"/>
                <w:szCs w:val="21"/>
              </w:rPr>
            </w:pPr>
            <w:r>
              <w:rPr>
                <w:rFonts w:hint="eastAsia" w:asciiTheme="minorEastAsia" w:hAnsiTheme="minorEastAsia" w:eastAsiaTheme="minorEastAsia"/>
                <w:sz w:val="21"/>
                <w:szCs w:val="21"/>
              </w:rPr>
              <w:t>(允许偏差±2%)。</w:t>
            </w:r>
          </w:p>
          <w:p>
            <w:pPr>
              <w:spacing w:after="0"/>
              <w:ind w:right="-78" w:rightChars="-30"/>
              <w:rPr>
                <w:rFonts w:asciiTheme="minorEastAsia" w:hAnsiTheme="minorEastAsia" w:eastAsiaTheme="minorEastAsia"/>
                <w:sz w:val="21"/>
                <w:szCs w:val="21"/>
              </w:rPr>
            </w:pPr>
            <w:r>
              <w:rPr>
                <w:rFonts w:hint="eastAsia" w:asciiTheme="minorEastAsia" w:hAnsiTheme="minorEastAsia" w:eastAsiaTheme="minorEastAsia"/>
                <w:sz w:val="21"/>
                <w:szCs w:val="21"/>
              </w:rPr>
              <w:t>3. 耐光色牢度≥4 级，耐摩擦色牢度≥4 级，耐汗渍色牢度≥4 级，耐洗色牢度≥4 级。</w:t>
            </w:r>
          </w:p>
        </w:tc>
        <w:tc>
          <w:tcPr>
            <w:tcW w:w="555" w:type="dxa"/>
            <w:vAlign w:val="center"/>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3210" w:type="dxa"/>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drawing>
                <wp:inline distT="0" distB="0" distL="0" distR="0">
                  <wp:extent cx="937895" cy="1332230"/>
                  <wp:effectExtent l="0" t="0" r="14605"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cstate="print"/>
                          <a:srcRect/>
                          <a:stretch>
                            <a:fillRect/>
                          </a:stretch>
                        </pic:blipFill>
                        <pic:spPr>
                          <a:xfrm>
                            <a:off x="0" y="0"/>
                            <a:ext cx="936806" cy="1330033"/>
                          </a:xfrm>
                          <a:prstGeom prst="rect">
                            <a:avLst/>
                          </a:prstGeom>
                          <a:noFill/>
                          <a:ln w="9525">
                            <a:noFill/>
                            <a:miter lim="800000"/>
                            <a:headEnd/>
                            <a:tailEnd/>
                          </a:ln>
                        </pic:spPr>
                      </pic:pic>
                    </a:graphicData>
                  </a:graphic>
                </wp:inline>
              </w:drawing>
            </w:r>
          </w:p>
        </w:tc>
        <w:tc>
          <w:tcPr>
            <w:tcW w:w="746" w:type="dxa"/>
            <w:vAlign w:val="center"/>
          </w:tcPr>
          <w:p>
            <w:pPr>
              <w:spacing w:after="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出样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2" w:type="dxa"/>
            <w:vAlign w:val="center"/>
          </w:tcPr>
          <w:p>
            <w:pPr>
              <w:spacing w:after="0"/>
              <w:jc w:val="center"/>
              <w:rPr>
                <w:rFonts w:asciiTheme="minorEastAsia" w:hAnsiTheme="minorEastAsia" w:eastAsiaTheme="minorEastAsia"/>
                <w:sz w:val="21"/>
                <w:szCs w:val="21"/>
              </w:rPr>
            </w:pPr>
            <w:r>
              <w:rPr>
                <w:rFonts w:asciiTheme="minorEastAsia" w:hAnsiTheme="minorEastAsia" w:eastAsiaTheme="minorEastAsia"/>
                <w:sz w:val="21"/>
                <w:szCs w:val="21"/>
              </w:rPr>
              <w:t>3</w:t>
            </w:r>
          </w:p>
        </w:tc>
        <w:tc>
          <w:tcPr>
            <w:tcW w:w="743" w:type="dxa"/>
            <w:vAlign w:val="center"/>
          </w:tcPr>
          <w:p>
            <w:pPr>
              <w:spacing w:after="0"/>
              <w:rPr>
                <w:rFonts w:asciiTheme="minorEastAsia" w:hAnsiTheme="minorEastAsia" w:eastAsiaTheme="minorEastAsia"/>
                <w:sz w:val="21"/>
                <w:szCs w:val="21"/>
              </w:rPr>
            </w:pPr>
            <w:r>
              <w:rPr>
                <w:rFonts w:hint="eastAsia" w:asciiTheme="minorEastAsia" w:hAnsiTheme="minorEastAsia" w:eastAsiaTheme="minorEastAsia"/>
                <w:sz w:val="21"/>
                <w:szCs w:val="21"/>
              </w:rPr>
              <w:t>多功能棉服</w:t>
            </w:r>
          </w:p>
        </w:tc>
        <w:tc>
          <w:tcPr>
            <w:tcW w:w="4127" w:type="dxa"/>
            <w:vAlign w:val="center"/>
          </w:tcPr>
          <w:p>
            <w:pPr>
              <w:spacing w:after="0"/>
              <w:ind w:right="-70" w:rightChars="-27"/>
              <w:rPr>
                <w:rFonts w:asciiTheme="minorEastAsia" w:hAnsiTheme="minorEastAsia" w:eastAsiaTheme="minorEastAsia"/>
                <w:sz w:val="21"/>
                <w:szCs w:val="21"/>
              </w:rPr>
            </w:pPr>
            <w:r>
              <w:rPr>
                <w:rFonts w:hint="eastAsia" w:asciiTheme="minorEastAsia" w:hAnsiTheme="minorEastAsia" w:eastAsiaTheme="minorEastAsia"/>
                <w:sz w:val="21"/>
                <w:szCs w:val="21"/>
              </w:rPr>
              <w:t>1. 面料：精梳涤棉混纺加厚格子布，成份：35%棉、65%涤纶</w:t>
            </w:r>
          </w:p>
          <w:p>
            <w:pPr>
              <w:spacing w:after="0"/>
              <w:ind w:right="-70" w:rightChars="-27"/>
              <w:rPr>
                <w:rFonts w:asciiTheme="minorEastAsia" w:hAnsiTheme="minorEastAsia" w:eastAsiaTheme="minorEastAsia"/>
                <w:sz w:val="21"/>
                <w:szCs w:val="21"/>
              </w:rPr>
            </w:pPr>
            <w:r>
              <w:rPr>
                <w:rFonts w:hint="eastAsia" w:asciiTheme="minorEastAsia" w:hAnsiTheme="minorEastAsia" w:eastAsiaTheme="minorEastAsia"/>
                <w:sz w:val="21"/>
                <w:szCs w:val="21"/>
              </w:rPr>
              <w:t>2. 单位面积质量：250g/</w:t>
            </w:r>
            <w:r>
              <w:rPr>
                <w:rFonts w:hint="eastAsia" w:cs="宋体" w:asciiTheme="minorEastAsia" w:hAnsiTheme="minorEastAsia" w:eastAsiaTheme="minorEastAsia"/>
                <w:sz w:val="21"/>
                <w:szCs w:val="21"/>
              </w:rPr>
              <w:t>㎡</w:t>
            </w:r>
          </w:p>
          <w:p>
            <w:pPr>
              <w:spacing w:after="0"/>
              <w:ind w:right="-70" w:rightChars="-27"/>
              <w:rPr>
                <w:rFonts w:asciiTheme="minorEastAsia" w:hAnsiTheme="minorEastAsia" w:eastAsiaTheme="minorEastAsia"/>
                <w:sz w:val="21"/>
                <w:szCs w:val="21"/>
              </w:rPr>
            </w:pPr>
            <w:r>
              <w:rPr>
                <w:rFonts w:hint="eastAsia" w:asciiTheme="minorEastAsia" w:hAnsiTheme="minorEastAsia" w:eastAsiaTheme="minorEastAsia"/>
                <w:sz w:val="21"/>
                <w:szCs w:val="21"/>
              </w:rPr>
              <w:t>3.耐光色牢度≥4 级，耐摩擦色牢度≥4 级，耐刷洗色牢度≥4 级</w:t>
            </w:r>
          </w:p>
        </w:tc>
        <w:tc>
          <w:tcPr>
            <w:tcW w:w="555" w:type="dxa"/>
            <w:vAlign w:val="center"/>
          </w:tcPr>
          <w:p>
            <w:pPr>
              <w:spacing w:after="0"/>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3210" w:type="dxa"/>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drawing>
                <wp:inline distT="0" distB="0" distL="0" distR="0">
                  <wp:extent cx="1178560" cy="1720215"/>
                  <wp:effectExtent l="0" t="0" r="2540" b="133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cstate="print"/>
                          <a:srcRect/>
                          <a:stretch>
                            <a:fillRect/>
                          </a:stretch>
                        </pic:blipFill>
                        <pic:spPr>
                          <a:xfrm>
                            <a:off x="0" y="0"/>
                            <a:ext cx="1179343" cy="1721401"/>
                          </a:xfrm>
                          <a:prstGeom prst="rect">
                            <a:avLst/>
                          </a:prstGeom>
                          <a:noFill/>
                          <a:ln w="9525">
                            <a:noFill/>
                            <a:miter lim="800000"/>
                            <a:headEnd/>
                            <a:tailEnd/>
                          </a:ln>
                        </pic:spPr>
                      </pic:pic>
                    </a:graphicData>
                  </a:graphic>
                </wp:inline>
              </w:drawing>
            </w:r>
          </w:p>
        </w:tc>
        <w:tc>
          <w:tcPr>
            <w:tcW w:w="746" w:type="dxa"/>
            <w:vAlign w:val="center"/>
          </w:tcPr>
          <w:p>
            <w:pPr>
              <w:spacing w:after="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出样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2" w:type="dxa"/>
            <w:vAlign w:val="center"/>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w:t>
            </w:r>
          </w:p>
        </w:tc>
        <w:tc>
          <w:tcPr>
            <w:tcW w:w="743" w:type="dxa"/>
            <w:vAlign w:val="center"/>
          </w:tcPr>
          <w:p>
            <w:pPr>
              <w:spacing w:after="0"/>
              <w:rPr>
                <w:rFonts w:asciiTheme="minorEastAsia" w:hAnsiTheme="minorEastAsia" w:eastAsiaTheme="minorEastAsia"/>
                <w:sz w:val="21"/>
                <w:szCs w:val="21"/>
              </w:rPr>
            </w:pPr>
            <w:r>
              <w:rPr>
                <w:rFonts w:hint="eastAsia" w:asciiTheme="minorEastAsia" w:hAnsiTheme="minorEastAsia" w:eastAsiaTheme="minorEastAsia"/>
                <w:sz w:val="21"/>
                <w:szCs w:val="21"/>
              </w:rPr>
              <w:t>执勤帽</w:t>
            </w:r>
          </w:p>
        </w:tc>
        <w:tc>
          <w:tcPr>
            <w:tcW w:w="4127" w:type="dxa"/>
            <w:vAlign w:val="center"/>
          </w:tcPr>
          <w:p>
            <w:pPr>
              <w:spacing w:after="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同春秋服面料 </w:t>
            </w:r>
          </w:p>
        </w:tc>
        <w:tc>
          <w:tcPr>
            <w:tcW w:w="555" w:type="dxa"/>
            <w:vAlign w:val="center"/>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顶</w:t>
            </w:r>
          </w:p>
        </w:tc>
        <w:tc>
          <w:tcPr>
            <w:tcW w:w="3210" w:type="dxa"/>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drawing>
                <wp:inline distT="0" distB="0" distL="0" distR="0">
                  <wp:extent cx="973455" cy="904875"/>
                  <wp:effectExtent l="0" t="0" r="1714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cstate="print"/>
                          <a:srcRect/>
                          <a:stretch>
                            <a:fillRect/>
                          </a:stretch>
                        </pic:blipFill>
                        <pic:spPr>
                          <a:xfrm>
                            <a:off x="0" y="0"/>
                            <a:ext cx="974037" cy="904875"/>
                          </a:xfrm>
                          <a:prstGeom prst="rect">
                            <a:avLst/>
                          </a:prstGeom>
                          <a:noFill/>
                          <a:ln w="9525">
                            <a:noFill/>
                            <a:miter lim="800000"/>
                            <a:headEnd/>
                            <a:tailEnd/>
                          </a:ln>
                        </pic:spPr>
                      </pic:pic>
                    </a:graphicData>
                  </a:graphic>
                </wp:inline>
              </w:drawing>
            </w:r>
          </w:p>
        </w:tc>
        <w:tc>
          <w:tcPr>
            <w:tcW w:w="746" w:type="dxa"/>
            <w:vAlign w:val="center"/>
          </w:tcPr>
          <w:p>
            <w:pPr>
              <w:spacing w:after="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出样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2" w:type="dxa"/>
            <w:vAlign w:val="center"/>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w:t>
            </w:r>
          </w:p>
        </w:tc>
        <w:tc>
          <w:tcPr>
            <w:tcW w:w="743" w:type="dxa"/>
            <w:vAlign w:val="center"/>
          </w:tcPr>
          <w:p>
            <w:pPr>
              <w:spacing w:after="0"/>
              <w:rPr>
                <w:rFonts w:asciiTheme="minorEastAsia" w:hAnsiTheme="minorEastAsia" w:eastAsiaTheme="minorEastAsia"/>
                <w:sz w:val="21"/>
                <w:szCs w:val="21"/>
              </w:rPr>
            </w:pPr>
            <w:r>
              <w:rPr>
                <w:rFonts w:hint="eastAsia" w:asciiTheme="minorEastAsia" w:hAnsiTheme="minorEastAsia" w:eastAsiaTheme="minorEastAsia"/>
                <w:sz w:val="21"/>
                <w:szCs w:val="21"/>
              </w:rPr>
              <w:t>皮靴</w:t>
            </w:r>
          </w:p>
        </w:tc>
        <w:tc>
          <w:tcPr>
            <w:tcW w:w="4127" w:type="dxa"/>
            <w:vAlign w:val="center"/>
          </w:tcPr>
          <w:p>
            <w:pPr>
              <w:spacing w:after="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警用防暴皮靴，推荐 3515 型。 </w:t>
            </w:r>
          </w:p>
        </w:tc>
        <w:tc>
          <w:tcPr>
            <w:tcW w:w="555" w:type="dxa"/>
            <w:vAlign w:val="center"/>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双</w:t>
            </w:r>
          </w:p>
        </w:tc>
        <w:tc>
          <w:tcPr>
            <w:tcW w:w="3210" w:type="dxa"/>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drawing>
                <wp:inline distT="0" distB="0" distL="0" distR="0">
                  <wp:extent cx="1003935" cy="1171575"/>
                  <wp:effectExtent l="0" t="0" r="571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4" cstate="print"/>
                          <a:srcRect/>
                          <a:stretch>
                            <a:fillRect/>
                          </a:stretch>
                        </pic:blipFill>
                        <pic:spPr>
                          <a:xfrm>
                            <a:off x="0" y="0"/>
                            <a:ext cx="1004207" cy="1171575"/>
                          </a:xfrm>
                          <a:prstGeom prst="rect">
                            <a:avLst/>
                          </a:prstGeom>
                          <a:noFill/>
                          <a:ln w="9525">
                            <a:noFill/>
                            <a:miter lim="800000"/>
                            <a:headEnd/>
                            <a:tailEnd/>
                          </a:ln>
                        </pic:spPr>
                      </pic:pic>
                    </a:graphicData>
                  </a:graphic>
                </wp:inline>
              </w:drawing>
            </w:r>
          </w:p>
        </w:tc>
        <w:tc>
          <w:tcPr>
            <w:tcW w:w="746" w:type="dxa"/>
            <w:vAlign w:val="center"/>
          </w:tcPr>
          <w:p>
            <w:pPr>
              <w:spacing w:after="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出样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2" w:type="dxa"/>
            <w:vAlign w:val="center"/>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w:t>
            </w:r>
          </w:p>
        </w:tc>
        <w:tc>
          <w:tcPr>
            <w:tcW w:w="743" w:type="dxa"/>
            <w:vAlign w:val="center"/>
          </w:tcPr>
          <w:p>
            <w:pPr>
              <w:spacing w:after="0"/>
              <w:ind w:right="-127" w:rightChars="-49"/>
              <w:rPr>
                <w:rFonts w:asciiTheme="minorEastAsia" w:hAnsiTheme="minorEastAsia" w:eastAsiaTheme="minorEastAsia"/>
                <w:sz w:val="21"/>
                <w:szCs w:val="21"/>
              </w:rPr>
            </w:pPr>
            <w:r>
              <w:rPr>
                <w:rFonts w:hint="eastAsia" w:asciiTheme="minorEastAsia" w:hAnsiTheme="minorEastAsia" w:eastAsiaTheme="minorEastAsia"/>
                <w:sz w:val="21"/>
                <w:szCs w:val="21"/>
              </w:rPr>
              <w:t>帆布腰带</w:t>
            </w:r>
          </w:p>
        </w:tc>
        <w:tc>
          <w:tcPr>
            <w:tcW w:w="4127" w:type="dxa"/>
            <w:vAlign w:val="center"/>
          </w:tcPr>
          <w:p>
            <w:pPr>
              <w:spacing w:after="0"/>
              <w:rPr>
                <w:rFonts w:asciiTheme="minorEastAsia" w:hAnsiTheme="minorEastAsia" w:eastAsiaTheme="minorEastAsia"/>
                <w:sz w:val="21"/>
                <w:szCs w:val="21"/>
              </w:rPr>
            </w:pPr>
            <w:r>
              <w:rPr>
                <w:rFonts w:hint="eastAsia" w:asciiTheme="minorEastAsia" w:hAnsiTheme="minorEastAsia" w:eastAsiaTheme="minorEastAsia"/>
                <w:sz w:val="21"/>
                <w:szCs w:val="21"/>
              </w:rPr>
              <w:t>坦克纹丙纶织带高密帆布高强塑料材质扣头，耐磨，耐刮，抗氧化，防过敏,耐腐蚀，强度高，不变形，安全耐用，手感平滑舒适</w:t>
            </w:r>
          </w:p>
        </w:tc>
        <w:tc>
          <w:tcPr>
            <w:tcW w:w="555" w:type="dxa"/>
            <w:vAlign w:val="center"/>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条</w:t>
            </w:r>
          </w:p>
        </w:tc>
        <w:tc>
          <w:tcPr>
            <w:tcW w:w="3210" w:type="dxa"/>
            <w:vAlign w:val="center"/>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drawing>
                <wp:inline distT="0" distB="0" distL="0" distR="0">
                  <wp:extent cx="1450975" cy="694690"/>
                  <wp:effectExtent l="0" t="0" r="15875" b="1016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5" cstate="print"/>
                          <a:srcRect/>
                          <a:stretch>
                            <a:fillRect/>
                          </a:stretch>
                        </pic:blipFill>
                        <pic:spPr>
                          <a:xfrm>
                            <a:off x="0" y="0"/>
                            <a:ext cx="1461000" cy="700118"/>
                          </a:xfrm>
                          <a:prstGeom prst="rect">
                            <a:avLst/>
                          </a:prstGeom>
                          <a:noFill/>
                          <a:ln w="9525">
                            <a:noFill/>
                            <a:miter lim="800000"/>
                            <a:headEnd/>
                            <a:tailEnd/>
                          </a:ln>
                        </pic:spPr>
                      </pic:pic>
                    </a:graphicData>
                  </a:graphic>
                </wp:inline>
              </w:drawing>
            </w:r>
          </w:p>
        </w:tc>
        <w:tc>
          <w:tcPr>
            <w:tcW w:w="746" w:type="dxa"/>
            <w:vAlign w:val="center"/>
          </w:tcPr>
          <w:p>
            <w:pPr>
              <w:spacing w:after="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出样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5" w:hRule="atLeast"/>
        </w:trPr>
        <w:tc>
          <w:tcPr>
            <w:tcW w:w="472" w:type="dxa"/>
            <w:vAlign w:val="center"/>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w:t>
            </w:r>
          </w:p>
        </w:tc>
        <w:tc>
          <w:tcPr>
            <w:tcW w:w="743" w:type="dxa"/>
            <w:vAlign w:val="center"/>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胸徽</w:t>
            </w:r>
          </w:p>
        </w:tc>
        <w:tc>
          <w:tcPr>
            <w:tcW w:w="4127" w:type="dxa"/>
            <w:vAlign w:val="center"/>
          </w:tcPr>
          <w:p>
            <w:pPr>
              <w:spacing w:after="0"/>
              <w:rPr>
                <w:rFonts w:asciiTheme="minorEastAsia" w:hAnsiTheme="minorEastAsia" w:eastAsiaTheme="minorEastAsia"/>
                <w:sz w:val="21"/>
                <w:szCs w:val="21"/>
              </w:rPr>
            </w:pPr>
            <w:r>
              <w:rPr>
                <w:rFonts w:hint="eastAsia" w:asciiTheme="minorEastAsia" w:hAnsiTheme="minorEastAsia" w:eastAsiaTheme="minorEastAsia"/>
                <w:sz w:val="21"/>
                <w:szCs w:val="21"/>
              </w:rPr>
              <w:t>涤纶、织唛、魔术贴式</w:t>
            </w:r>
          </w:p>
          <w:p>
            <w:pPr>
              <w:spacing w:after="0"/>
              <w:rPr>
                <w:rFonts w:asciiTheme="minorEastAsia" w:hAnsiTheme="minorEastAsia" w:eastAsiaTheme="minorEastAsia"/>
                <w:sz w:val="21"/>
                <w:szCs w:val="21"/>
              </w:rPr>
            </w:pPr>
          </w:p>
        </w:tc>
        <w:tc>
          <w:tcPr>
            <w:tcW w:w="555" w:type="dxa"/>
            <w:vAlign w:val="center"/>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枚</w:t>
            </w:r>
          </w:p>
        </w:tc>
        <w:tc>
          <w:tcPr>
            <w:tcW w:w="3210" w:type="dxa"/>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drawing>
                <wp:inline distT="0" distB="0" distL="0" distR="0">
                  <wp:extent cx="1590675" cy="1590675"/>
                  <wp:effectExtent l="0" t="0" r="9525" b="9525"/>
                  <wp:docPr id="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9"/>
                          <pic:cNvPicPr>
                            <a:picLocks noChangeAspect="1" noChangeArrowheads="1"/>
                          </pic:cNvPicPr>
                        </pic:nvPicPr>
                        <pic:blipFill>
                          <a:blip r:embed="rId16" cstate="print"/>
                          <a:srcRect/>
                          <a:stretch>
                            <a:fillRect/>
                          </a:stretch>
                        </pic:blipFill>
                        <pic:spPr>
                          <a:xfrm>
                            <a:off x="0" y="0"/>
                            <a:ext cx="1590675" cy="1590675"/>
                          </a:xfrm>
                          <a:prstGeom prst="rect">
                            <a:avLst/>
                          </a:prstGeom>
                          <a:noFill/>
                          <a:ln w="9525">
                            <a:noFill/>
                            <a:miter lim="800000"/>
                            <a:headEnd/>
                            <a:tailEnd/>
                          </a:ln>
                        </pic:spPr>
                      </pic:pic>
                    </a:graphicData>
                  </a:graphic>
                </wp:inline>
              </w:drawing>
            </w:r>
          </w:p>
        </w:tc>
        <w:tc>
          <w:tcPr>
            <w:tcW w:w="746" w:type="dxa"/>
            <w:vAlign w:val="center"/>
          </w:tcPr>
          <w:p>
            <w:pPr>
              <w:spacing w:after="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出样</w:t>
            </w:r>
          </w:p>
        </w:tc>
      </w:tr>
    </w:tbl>
    <w:p>
      <w:pPr>
        <w:spacing w:line="420" w:lineRule="exact"/>
        <w:ind w:firstLine="480" w:firstLineChars="200"/>
        <w:rPr>
          <w:rFonts w:hint="default" w:ascii="宋体" w:hAnsi="宋体" w:eastAsia="宋体"/>
          <w:bCs/>
          <w:color w:val="000000"/>
          <w:sz w:val="24"/>
          <w:szCs w:val="24"/>
          <w:lang w:val="en-US" w:eastAsia="zh-CN"/>
        </w:rPr>
      </w:pPr>
      <w:r>
        <w:rPr>
          <w:rFonts w:hint="eastAsia" w:ascii="宋体" w:hAnsi="宋体" w:eastAsia="宋体"/>
          <w:bCs/>
          <w:color w:val="000000"/>
          <w:sz w:val="24"/>
          <w:szCs w:val="24"/>
          <w:lang w:val="en-US" w:eastAsia="zh-CN"/>
        </w:rPr>
        <w:t>二、样品</w:t>
      </w:r>
    </w:p>
    <w:p>
      <w:pPr>
        <w:spacing w:line="420" w:lineRule="exact"/>
        <w:ind w:firstLine="480" w:firstLineChars="200"/>
        <w:rPr>
          <w:rFonts w:ascii="宋体" w:hAnsi="宋体" w:eastAsia="宋体"/>
          <w:bCs/>
          <w:color w:val="000000"/>
          <w:sz w:val="24"/>
          <w:szCs w:val="24"/>
          <w:u w:val="single"/>
        </w:rPr>
      </w:pPr>
      <w:r>
        <w:rPr>
          <w:rFonts w:hint="eastAsia" w:ascii="宋体" w:hAnsi="宋体" w:eastAsia="宋体"/>
          <w:bCs/>
          <w:color w:val="000000"/>
          <w:sz w:val="24"/>
          <w:szCs w:val="24"/>
        </w:rPr>
        <w:t>1、需按照招标清单提供</w:t>
      </w:r>
      <w:r>
        <w:rPr>
          <w:rFonts w:hint="eastAsia" w:ascii="宋体" w:hAnsi="宋体" w:eastAsia="宋体"/>
          <w:bCs/>
          <w:color w:val="000000"/>
          <w:sz w:val="24"/>
          <w:szCs w:val="24"/>
          <w:u w:val="single"/>
        </w:rPr>
        <w:t>“特勤服”</w:t>
      </w:r>
      <w:r>
        <w:rPr>
          <w:rFonts w:hint="eastAsia" w:ascii="宋体" w:hAnsi="宋体" w:eastAsia="宋体"/>
          <w:bCs/>
          <w:color w:val="000000"/>
          <w:sz w:val="24"/>
          <w:szCs w:val="24"/>
        </w:rPr>
        <w:t>的样品。</w:t>
      </w:r>
    </w:p>
    <w:p>
      <w:pPr>
        <w:spacing w:line="420" w:lineRule="exact"/>
        <w:ind w:firstLine="480" w:firstLineChars="200"/>
        <w:rPr>
          <w:rFonts w:ascii="宋体" w:hAnsi="宋体" w:eastAsia="宋体"/>
          <w:bCs/>
          <w:color w:val="000000"/>
          <w:sz w:val="24"/>
          <w:szCs w:val="24"/>
          <w:u w:val="double" w:color="FF0000"/>
        </w:rPr>
      </w:pPr>
      <w:r>
        <w:rPr>
          <w:rFonts w:hint="eastAsia" w:ascii="宋体" w:hAnsi="宋体" w:eastAsia="宋体"/>
          <w:bCs/>
          <w:color w:val="000000"/>
          <w:sz w:val="24"/>
          <w:szCs w:val="24"/>
          <w:u w:val="double" w:color="FF0000"/>
        </w:rPr>
        <w:t>【特别提醒】样品不能出现该产品制造商的任何标志、标记如：品牌、制造商、型号等，否则作废标处理。</w:t>
      </w:r>
    </w:p>
    <w:p>
      <w:pPr>
        <w:spacing w:line="420" w:lineRule="exact"/>
        <w:ind w:firstLine="480" w:firstLineChars="200"/>
        <w:rPr>
          <w:rFonts w:ascii="宋体" w:hAnsi="宋体" w:eastAsia="宋体"/>
          <w:bCs/>
          <w:color w:val="000000"/>
          <w:sz w:val="24"/>
          <w:szCs w:val="24"/>
        </w:rPr>
      </w:pPr>
      <w:r>
        <w:rPr>
          <w:rFonts w:hint="eastAsia" w:ascii="宋体" w:hAnsi="宋体" w:eastAsia="宋体"/>
          <w:bCs/>
          <w:color w:val="000000"/>
          <w:sz w:val="24"/>
          <w:szCs w:val="24"/>
        </w:rPr>
        <w:t>2、样品的外观、材质及技术要求见本章节第三条“项目需求”中的表述，每套样品均用防尘袋装好。</w:t>
      </w:r>
    </w:p>
    <w:p>
      <w:pPr>
        <w:spacing w:line="420" w:lineRule="exact"/>
        <w:ind w:firstLine="480" w:firstLineChars="200"/>
        <w:rPr>
          <w:rFonts w:ascii="宋体" w:hAnsi="宋体" w:eastAsia="宋体"/>
          <w:bCs/>
          <w:color w:val="000000"/>
          <w:sz w:val="24"/>
          <w:szCs w:val="24"/>
        </w:rPr>
      </w:pPr>
      <w:r>
        <w:rPr>
          <w:rFonts w:hint="eastAsia" w:ascii="宋体" w:hAnsi="宋体" w:eastAsia="宋体"/>
          <w:bCs/>
          <w:color w:val="000000"/>
          <w:sz w:val="24"/>
          <w:szCs w:val="24"/>
        </w:rPr>
        <w:t>3、中标人的样品将“封样”不退回，并以此作为该产品供货进场查验核实的依据,中标人需将样品送至招标方指定的存放地点封样。未中标人的样品由各投标人自行领回。投标人自行承担相关样品制作、运输等费用。</w:t>
      </w:r>
    </w:p>
    <w:p>
      <w:pPr>
        <w:spacing w:line="420" w:lineRule="exact"/>
        <w:ind w:firstLine="480" w:firstLineChars="200"/>
        <w:rPr>
          <w:rFonts w:ascii="宋体" w:hAnsi="宋体" w:eastAsia="宋体"/>
          <w:bCs/>
          <w:color w:val="000000"/>
          <w:sz w:val="24"/>
          <w:szCs w:val="24"/>
        </w:rPr>
      </w:pPr>
      <w:r>
        <w:rPr>
          <w:rFonts w:hint="eastAsia" w:ascii="宋体" w:hAnsi="宋体" w:eastAsia="宋体"/>
          <w:bCs/>
          <w:color w:val="000000"/>
          <w:sz w:val="24"/>
          <w:szCs w:val="24"/>
        </w:rPr>
        <w:t>4、最终中标人提供的所有产品必须满足招标文件中项目需求的规定。</w:t>
      </w:r>
    </w:p>
    <w:p>
      <w:pPr>
        <w:spacing w:line="420" w:lineRule="exact"/>
        <w:ind w:firstLine="480" w:firstLineChars="200"/>
        <w:rPr>
          <w:rFonts w:ascii="宋体" w:hAnsi="宋体" w:eastAsia="宋体"/>
          <w:bCs/>
          <w:color w:val="000000"/>
          <w:sz w:val="24"/>
          <w:szCs w:val="24"/>
        </w:rPr>
      </w:pPr>
      <w:r>
        <w:rPr>
          <w:rFonts w:hint="eastAsia" w:ascii="宋体" w:hAnsi="宋体" w:eastAsia="宋体"/>
          <w:bCs/>
          <w:color w:val="000000"/>
          <w:sz w:val="24"/>
          <w:szCs w:val="24"/>
        </w:rPr>
        <w:t>5、投标人未按时提供样品的，其递交的投标响文件将被拒绝。所有投标人自行承担相关样品制作、运输等全部费用。</w:t>
      </w:r>
    </w:p>
    <w:p>
      <w:pPr>
        <w:spacing w:line="420" w:lineRule="exact"/>
        <w:ind w:firstLine="480" w:firstLineChars="200"/>
        <w:rPr>
          <w:rFonts w:ascii="宋体" w:hAnsi="宋体" w:eastAsia="宋体"/>
          <w:color w:val="000000"/>
          <w:sz w:val="24"/>
          <w:szCs w:val="24"/>
        </w:rPr>
      </w:pPr>
      <w:r>
        <w:rPr>
          <w:rFonts w:hint="eastAsia" w:ascii="宋体" w:hAnsi="宋体" w:eastAsia="宋体"/>
          <w:bCs/>
          <w:color w:val="000000"/>
          <w:sz w:val="24"/>
          <w:szCs w:val="24"/>
          <w:lang w:val="en-US" w:eastAsia="zh-CN"/>
        </w:rPr>
        <w:t>6、</w:t>
      </w:r>
      <w:r>
        <w:rPr>
          <w:rFonts w:hint="eastAsia" w:ascii="宋体" w:hAnsi="宋体" w:eastAsia="宋体"/>
          <w:bCs/>
          <w:color w:val="000000"/>
          <w:sz w:val="24"/>
          <w:szCs w:val="24"/>
        </w:rPr>
        <w:t>样品递交截止时间：</w:t>
      </w:r>
      <w:r>
        <w:rPr>
          <w:rFonts w:hint="eastAsia" w:asciiTheme="minorEastAsia" w:hAnsiTheme="minorEastAsia" w:eastAsiaTheme="minorEastAsia"/>
          <w:b/>
          <w:sz w:val="24"/>
          <w:szCs w:val="24"/>
          <w:u w:val="thick" w:color="FF0000"/>
        </w:rPr>
        <w:t>2022年</w:t>
      </w:r>
      <w:r>
        <w:rPr>
          <w:rFonts w:hint="eastAsia" w:asciiTheme="minorEastAsia" w:hAnsiTheme="minorEastAsia" w:eastAsiaTheme="minorEastAsia"/>
          <w:b/>
          <w:sz w:val="24"/>
          <w:szCs w:val="24"/>
          <w:u w:val="thick" w:color="FF0000"/>
          <w:lang w:val="en-US" w:eastAsia="zh-CN"/>
        </w:rPr>
        <w:t>12</w:t>
      </w:r>
      <w:r>
        <w:rPr>
          <w:rFonts w:hint="eastAsia" w:asciiTheme="minorEastAsia" w:hAnsiTheme="minorEastAsia" w:eastAsiaTheme="minorEastAsia"/>
          <w:b/>
          <w:sz w:val="24"/>
          <w:szCs w:val="24"/>
          <w:u w:val="thick" w:color="FF0000"/>
        </w:rPr>
        <w:t>月</w:t>
      </w:r>
      <w:r>
        <w:rPr>
          <w:rFonts w:hint="eastAsia" w:asciiTheme="minorEastAsia" w:hAnsiTheme="minorEastAsia" w:eastAsiaTheme="minorEastAsia"/>
          <w:b/>
          <w:sz w:val="24"/>
          <w:szCs w:val="24"/>
          <w:u w:val="thick" w:color="FF0000"/>
          <w:lang w:val="en-US" w:eastAsia="zh-CN"/>
        </w:rPr>
        <w:t>14</w:t>
      </w:r>
      <w:r>
        <w:rPr>
          <w:rFonts w:hint="eastAsia" w:asciiTheme="minorEastAsia" w:hAnsiTheme="minorEastAsia" w:eastAsiaTheme="minorEastAsia"/>
          <w:b/>
          <w:sz w:val="24"/>
          <w:szCs w:val="24"/>
          <w:u w:val="thick" w:color="FF0000"/>
        </w:rPr>
        <w:t>日下午14点30分</w:t>
      </w:r>
      <w:r>
        <w:rPr>
          <w:rFonts w:hint="eastAsia" w:ascii="宋体" w:hAnsi="宋体" w:eastAsia="宋体"/>
          <w:b/>
          <w:color w:val="000000"/>
          <w:sz w:val="24"/>
          <w:szCs w:val="24"/>
          <w:u w:val="thick" w:color="FF0000"/>
        </w:rPr>
        <w:t>前</w:t>
      </w:r>
      <w:r>
        <w:rPr>
          <w:rFonts w:hint="eastAsia" w:ascii="宋体" w:hAnsi="宋体" w:eastAsia="宋体"/>
          <w:color w:val="000000"/>
          <w:sz w:val="24"/>
          <w:szCs w:val="24"/>
        </w:rPr>
        <w:t>；</w:t>
      </w:r>
    </w:p>
    <w:p>
      <w:pPr>
        <w:spacing w:line="420" w:lineRule="exact"/>
        <w:ind w:firstLine="480" w:firstLineChars="200"/>
        <w:rPr>
          <w:rFonts w:hint="eastAsia" w:cs="Times New Roman" w:asciiTheme="minorEastAsia" w:hAnsiTheme="minorEastAsia" w:eastAsiaTheme="minorEastAsia"/>
          <w:b/>
          <w:sz w:val="24"/>
          <w:szCs w:val="24"/>
          <w:u w:val="thick" w:color="FF0000"/>
        </w:rPr>
      </w:pPr>
      <w:r>
        <w:rPr>
          <w:rFonts w:hint="eastAsia" w:ascii="宋体" w:hAnsi="宋体" w:eastAsia="宋体"/>
          <w:color w:val="000000"/>
          <w:sz w:val="24"/>
          <w:szCs w:val="24"/>
          <w:lang w:val="en-US" w:eastAsia="zh-CN"/>
        </w:rPr>
        <w:t>7</w:t>
      </w:r>
      <w:r>
        <w:rPr>
          <w:rFonts w:hint="eastAsia" w:ascii="宋体" w:hAnsi="宋体" w:eastAsia="宋体"/>
          <w:color w:val="000000"/>
          <w:sz w:val="24"/>
          <w:szCs w:val="24"/>
        </w:rPr>
        <w:t>、</w:t>
      </w:r>
      <w:r>
        <w:rPr>
          <w:rFonts w:ascii="宋体" w:hAnsi="宋体" w:eastAsia="宋体"/>
          <w:color w:val="000000"/>
          <w:sz w:val="24"/>
          <w:szCs w:val="24"/>
        </w:rPr>
        <w:t>样品</w:t>
      </w:r>
      <w:r>
        <w:rPr>
          <w:rFonts w:hint="eastAsia" w:ascii="宋体" w:hAnsi="宋体" w:eastAsia="宋体"/>
          <w:bCs/>
          <w:color w:val="000000"/>
          <w:sz w:val="24"/>
          <w:szCs w:val="24"/>
        </w:rPr>
        <w:t>递交</w:t>
      </w:r>
      <w:r>
        <w:rPr>
          <w:rFonts w:ascii="宋体" w:hAnsi="宋体" w:eastAsia="宋体"/>
          <w:color w:val="000000"/>
          <w:sz w:val="24"/>
          <w:szCs w:val="24"/>
        </w:rPr>
        <w:t>地点</w:t>
      </w:r>
      <w:r>
        <w:rPr>
          <w:rFonts w:hint="eastAsia" w:ascii="宋体" w:hAnsi="宋体" w:eastAsia="宋体"/>
          <w:color w:val="000000"/>
          <w:sz w:val="24"/>
          <w:szCs w:val="24"/>
        </w:rPr>
        <w:t>：</w:t>
      </w:r>
      <w:r>
        <w:rPr>
          <w:rFonts w:hint="eastAsia" w:ascii="宋体" w:hAnsi="宋体" w:eastAsia="宋体"/>
          <w:b/>
          <w:sz w:val="24"/>
          <w:szCs w:val="24"/>
          <w:u w:val="thick" w:color="FF0000"/>
        </w:rPr>
        <w:t>南通市恒隆国际B座</w:t>
      </w:r>
      <w:r>
        <w:rPr>
          <w:rFonts w:hint="eastAsia" w:ascii="宋体" w:hAnsi="宋体" w:eastAsia="宋体"/>
          <w:b/>
          <w:sz w:val="24"/>
          <w:szCs w:val="24"/>
          <w:u w:val="thick" w:color="FF0000"/>
          <w:lang w:val="en-US" w:eastAsia="zh-CN"/>
        </w:rPr>
        <w:t>9</w:t>
      </w:r>
      <w:r>
        <w:rPr>
          <w:rFonts w:hint="eastAsia" w:ascii="宋体" w:hAnsi="宋体" w:eastAsia="宋体"/>
          <w:b/>
          <w:sz w:val="24"/>
          <w:szCs w:val="24"/>
          <w:u w:val="thick" w:color="FF0000"/>
        </w:rPr>
        <w:t>楼</w:t>
      </w:r>
      <w:r>
        <w:rPr>
          <w:rFonts w:hint="eastAsia" w:ascii="宋体" w:hAnsi="宋体" w:eastAsia="宋体"/>
          <w:b/>
          <w:sz w:val="24"/>
          <w:szCs w:val="24"/>
          <w:u w:val="thick" w:color="FF0000"/>
          <w:lang w:val="en-US" w:eastAsia="zh-CN"/>
        </w:rPr>
        <w:t>903</w:t>
      </w:r>
      <w:r>
        <w:rPr>
          <w:rFonts w:hint="eastAsia" w:cs="Times New Roman" w:asciiTheme="minorEastAsia" w:hAnsiTheme="minorEastAsia" w:eastAsiaTheme="minorEastAsia"/>
          <w:b/>
          <w:sz w:val="24"/>
          <w:szCs w:val="24"/>
          <w:u w:val="thick" w:color="FF0000"/>
        </w:rPr>
        <w:t>。</w:t>
      </w:r>
    </w:p>
    <w:p>
      <w:pPr>
        <w:spacing w:line="400" w:lineRule="exact"/>
        <w:ind w:firstLine="480" w:firstLineChars="200"/>
        <w:outlineLvl w:val="2"/>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三、</w:t>
      </w:r>
      <w:r>
        <w:rPr>
          <w:rFonts w:hint="eastAsia" w:asciiTheme="minorEastAsia" w:hAnsiTheme="minorEastAsia" w:eastAsiaTheme="minorEastAsia" w:cstheme="minorEastAsia"/>
          <w:kern w:val="0"/>
          <w:sz w:val="24"/>
          <w:szCs w:val="24"/>
          <w:lang w:val="zh-CN"/>
        </w:rPr>
        <w:t>服务要求</w:t>
      </w:r>
    </w:p>
    <w:p>
      <w:pPr>
        <w:spacing w:line="400" w:lineRule="exact"/>
        <w:ind w:firstLine="480" w:firstLineChars="200"/>
        <w:outlineLvl w:val="2"/>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w:t>
      </w:r>
      <w:r>
        <w:rPr>
          <w:rFonts w:hint="eastAsia" w:asciiTheme="minorEastAsia" w:hAnsiTheme="minorEastAsia" w:eastAsiaTheme="minorEastAsia" w:cstheme="minorEastAsia"/>
          <w:kern w:val="0"/>
          <w:sz w:val="24"/>
          <w:szCs w:val="24"/>
          <w:lang w:eastAsia="zh-CN"/>
        </w:rPr>
        <w:t>中标供应商</w:t>
      </w:r>
      <w:r>
        <w:rPr>
          <w:rFonts w:hint="eastAsia" w:asciiTheme="minorEastAsia" w:hAnsiTheme="minorEastAsia" w:eastAsiaTheme="minorEastAsia" w:cstheme="minorEastAsia"/>
          <w:kern w:val="0"/>
          <w:sz w:val="24"/>
          <w:szCs w:val="24"/>
          <w:lang w:val="zh-CN"/>
        </w:rPr>
        <w:t>提供上门量体服务，对用户单量、单做，</w:t>
      </w:r>
      <w:r>
        <w:rPr>
          <w:rFonts w:hint="eastAsia" w:asciiTheme="minorEastAsia" w:hAnsiTheme="minorEastAsia" w:eastAsiaTheme="minorEastAsia" w:cstheme="minorEastAsia"/>
          <w:kern w:val="0"/>
          <w:sz w:val="24"/>
          <w:szCs w:val="24"/>
        </w:rPr>
        <w:t>并分箱独立包装免费</w:t>
      </w:r>
      <w:r>
        <w:rPr>
          <w:rFonts w:hint="eastAsia" w:asciiTheme="minorEastAsia" w:hAnsiTheme="minorEastAsia" w:eastAsiaTheme="minorEastAsia" w:cstheme="minorEastAsia"/>
          <w:kern w:val="0"/>
          <w:sz w:val="24"/>
          <w:szCs w:val="24"/>
          <w:lang w:val="zh-CN"/>
        </w:rPr>
        <w:t>送货上门和发放，实行人员服装档案集中管理，做到数据及时更新、信息完整统计。</w:t>
      </w:r>
    </w:p>
    <w:p>
      <w:pPr>
        <w:spacing w:line="400" w:lineRule="exact"/>
        <w:ind w:firstLine="480" w:firstLineChars="200"/>
        <w:outlineLvl w:val="2"/>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val="zh-CN"/>
        </w:rPr>
        <w:t>、</w:t>
      </w:r>
      <w:r>
        <w:rPr>
          <w:rFonts w:hint="eastAsia" w:asciiTheme="minorEastAsia" w:hAnsiTheme="minorEastAsia" w:eastAsiaTheme="minorEastAsia" w:cstheme="minorEastAsia"/>
          <w:kern w:val="0"/>
          <w:sz w:val="24"/>
          <w:szCs w:val="24"/>
        </w:rPr>
        <w:t>在合同履约过程中，若</w:t>
      </w:r>
      <w:r>
        <w:rPr>
          <w:rFonts w:hint="eastAsia" w:asciiTheme="minorEastAsia" w:hAnsiTheme="minorEastAsia" w:eastAsiaTheme="minorEastAsia" w:cstheme="minorEastAsia"/>
          <w:kern w:val="0"/>
          <w:sz w:val="24"/>
          <w:szCs w:val="24"/>
          <w:lang w:eastAsia="zh-CN"/>
        </w:rPr>
        <w:t>招标人</w:t>
      </w:r>
      <w:r>
        <w:rPr>
          <w:rFonts w:hint="eastAsia" w:asciiTheme="minorEastAsia" w:hAnsiTheme="minorEastAsia" w:eastAsiaTheme="minorEastAsia" w:cstheme="minorEastAsia"/>
          <w:kern w:val="0"/>
          <w:sz w:val="24"/>
          <w:szCs w:val="24"/>
        </w:rPr>
        <w:t>增补的，</w:t>
      </w:r>
      <w:r>
        <w:rPr>
          <w:rFonts w:hint="eastAsia" w:asciiTheme="minorEastAsia" w:hAnsiTheme="minorEastAsia" w:eastAsiaTheme="minorEastAsia" w:cstheme="minorEastAsia"/>
          <w:kern w:val="0"/>
          <w:sz w:val="24"/>
          <w:szCs w:val="24"/>
          <w:lang w:eastAsia="zh-CN"/>
        </w:rPr>
        <w:t>中标供应商</w:t>
      </w:r>
      <w:r>
        <w:rPr>
          <w:rFonts w:hint="eastAsia" w:asciiTheme="minorEastAsia" w:hAnsiTheme="minorEastAsia" w:eastAsiaTheme="minorEastAsia" w:cstheme="minorEastAsia"/>
          <w:kern w:val="0"/>
          <w:sz w:val="24"/>
          <w:szCs w:val="24"/>
        </w:rPr>
        <w:t>应在接到通知后3个工作日内完成量体工作，45天内完成制作并分箱独立包装免费</w:t>
      </w:r>
      <w:r>
        <w:rPr>
          <w:rFonts w:hint="eastAsia" w:asciiTheme="minorEastAsia" w:hAnsiTheme="minorEastAsia" w:eastAsiaTheme="minorEastAsia" w:cstheme="minorEastAsia"/>
          <w:kern w:val="0"/>
          <w:sz w:val="24"/>
          <w:szCs w:val="24"/>
          <w:lang w:val="zh-CN"/>
        </w:rPr>
        <w:t>送货上门和发放。</w:t>
      </w:r>
    </w:p>
    <w:p>
      <w:pPr>
        <w:spacing w:line="400" w:lineRule="exact"/>
        <w:ind w:firstLine="480" w:firstLineChars="200"/>
        <w:outlineLvl w:val="2"/>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zh-CN"/>
        </w:rPr>
        <w:t>、采购物品发放后出现质量问题和穿着不适体的应</w:t>
      </w:r>
      <w:r>
        <w:rPr>
          <w:rFonts w:hint="eastAsia" w:asciiTheme="minorEastAsia" w:hAnsiTheme="minorEastAsia" w:eastAsiaTheme="minorEastAsia" w:cstheme="minorEastAsia"/>
          <w:kern w:val="0"/>
          <w:sz w:val="24"/>
          <w:szCs w:val="24"/>
        </w:rPr>
        <w:t>由</w:t>
      </w:r>
      <w:r>
        <w:rPr>
          <w:rFonts w:hint="eastAsia" w:asciiTheme="minorEastAsia" w:hAnsiTheme="minorEastAsia" w:eastAsiaTheme="minorEastAsia" w:cstheme="minorEastAsia"/>
          <w:kern w:val="0"/>
          <w:sz w:val="24"/>
          <w:szCs w:val="24"/>
          <w:lang w:eastAsia="zh-CN"/>
        </w:rPr>
        <w:t>中标供应商</w:t>
      </w:r>
      <w:r>
        <w:rPr>
          <w:rFonts w:hint="eastAsia" w:asciiTheme="minorEastAsia" w:hAnsiTheme="minorEastAsia" w:eastAsiaTheme="minorEastAsia" w:cstheme="minorEastAsia"/>
          <w:kern w:val="0"/>
          <w:sz w:val="24"/>
          <w:szCs w:val="24"/>
          <w:lang w:val="zh-CN"/>
        </w:rPr>
        <w:t>负责包换、包退、包修。</w:t>
      </w:r>
    </w:p>
    <w:p>
      <w:pPr>
        <w:spacing w:line="400" w:lineRule="exact"/>
        <w:ind w:firstLine="480" w:firstLineChars="200"/>
        <w:outlineLvl w:val="2"/>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zh-CN"/>
        </w:rPr>
        <w:t>、</w:t>
      </w:r>
      <w:r>
        <w:rPr>
          <w:rFonts w:hint="eastAsia" w:asciiTheme="minorEastAsia" w:hAnsiTheme="minorEastAsia" w:eastAsiaTheme="minorEastAsia" w:cstheme="minorEastAsia"/>
          <w:kern w:val="0"/>
          <w:sz w:val="24"/>
          <w:szCs w:val="24"/>
          <w:lang w:eastAsia="zh-CN"/>
        </w:rPr>
        <w:t>中标供应商</w:t>
      </w:r>
      <w:r>
        <w:rPr>
          <w:rFonts w:hint="eastAsia" w:asciiTheme="minorEastAsia" w:hAnsiTheme="minorEastAsia" w:eastAsiaTheme="minorEastAsia" w:cstheme="minorEastAsia"/>
          <w:kern w:val="0"/>
          <w:sz w:val="24"/>
          <w:szCs w:val="24"/>
          <w:lang w:val="zh-CN"/>
        </w:rPr>
        <w:t>样衣需要封样留存，在批量制作时须先提供布料样品给招标人确认，招标人确认后方可制作，若不经过招标人确认后自行制作的，相应后果由</w:t>
      </w:r>
      <w:r>
        <w:rPr>
          <w:rFonts w:hint="eastAsia" w:asciiTheme="minorEastAsia" w:hAnsiTheme="minorEastAsia" w:eastAsiaTheme="minorEastAsia" w:cstheme="minorEastAsia"/>
          <w:kern w:val="0"/>
          <w:sz w:val="24"/>
          <w:szCs w:val="24"/>
          <w:lang w:eastAsia="zh-CN"/>
        </w:rPr>
        <w:t>中标供应商</w:t>
      </w:r>
      <w:r>
        <w:rPr>
          <w:rFonts w:hint="eastAsia" w:asciiTheme="minorEastAsia" w:hAnsiTheme="minorEastAsia" w:eastAsiaTheme="minorEastAsia" w:cstheme="minorEastAsia"/>
          <w:kern w:val="0"/>
          <w:sz w:val="24"/>
          <w:szCs w:val="24"/>
          <w:lang w:val="zh-CN"/>
        </w:rPr>
        <w:t>承担。</w:t>
      </w:r>
    </w:p>
    <w:p>
      <w:pPr>
        <w:spacing w:line="400" w:lineRule="exact"/>
        <w:ind w:firstLine="480" w:firstLineChars="200"/>
        <w:outlineLvl w:val="2"/>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5</w:t>
      </w:r>
      <w:r>
        <w:rPr>
          <w:rFonts w:hint="eastAsia" w:asciiTheme="minorEastAsia" w:hAnsiTheme="minorEastAsia" w:eastAsiaTheme="minorEastAsia" w:cstheme="minorEastAsia"/>
          <w:kern w:val="0"/>
          <w:sz w:val="24"/>
          <w:szCs w:val="24"/>
          <w:lang w:val="zh-CN"/>
        </w:rPr>
        <w:t>、</w:t>
      </w:r>
      <w:r>
        <w:rPr>
          <w:rFonts w:hint="eastAsia" w:asciiTheme="minorEastAsia" w:hAnsiTheme="minorEastAsia" w:eastAsiaTheme="minorEastAsia" w:cstheme="minorEastAsia"/>
          <w:sz w:val="24"/>
          <w:szCs w:val="24"/>
        </w:rPr>
        <w:t>所有服装必须在自有生产线完成生产缝合，并提供</w:t>
      </w:r>
      <w:r>
        <w:rPr>
          <w:rFonts w:hint="eastAsia" w:asciiTheme="minorEastAsia" w:hAnsiTheme="minorEastAsia" w:eastAsiaTheme="minorEastAsia" w:cstheme="minorEastAsia"/>
          <w:kern w:val="0"/>
          <w:sz w:val="24"/>
          <w:szCs w:val="24"/>
          <w:lang w:val="zh-CN"/>
        </w:rPr>
        <w:t>地址、联系方式及技术人员数量等</w:t>
      </w:r>
      <w:r>
        <w:rPr>
          <w:rFonts w:hint="eastAsia" w:asciiTheme="minorEastAsia" w:hAnsiTheme="minorEastAsia" w:eastAsiaTheme="minorEastAsia" w:cstheme="minorEastAsia"/>
          <w:kern w:val="0"/>
          <w:sz w:val="24"/>
          <w:szCs w:val="24"/>
        </w:rPr>
        <w:t>信息</w:t>
      </w:r>
      <w:r>
        <w:rPr>
          <w:rFonts w:hint="eastAsia" w:asciiTheme="minorEastAsia" w:hAnsiTheme="minorEastAsia" w:eastAsiaTheme="minorEastAsia" w:cstheme="minorEastAsia"/>
          <w:kern w:val="0"/>
          <w:sz w:val="24"/>
          <w:szCs w:val="24"/>
          <w:lang w:val="zh-CN"/>
        </w:rPr>
        <w:t>。生产中招标人可随时到生产现场进行抽检等其他监督工作。</w:t>
      </w:r>
    </w:p>
    <w:p>
      <w:pPr>
        <w:spacing w:line="400" w:lineRule="exact"/>
        <w:ind w:firstLine="480" w:firstLineChars="200"/>
        <w:outlineLvl w:val="2"/>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6</w:t>
      </w:r>
      <w:r>
        <w:rPr>
          <w:rFonts w:hint="eastAsia" w:asciiTheme="minorEastAsia" w:hAnsiTheme="minorEastAsia" w:eastAsiaTheme="minorEastAsia" w:cstheme="minorEastAsia"/>
          <w:kern w:val="0"/>
          <w:sz w:val="24"/>
          <w:szCs w:val="24"/>
          <w:lang w:val="zh-CN"/>
        </w:rPr>
        <w:t>、</w:t>
      </w:r>
      <w:r>
        <w:rPr>
          <w:rFonts w:hint="eastAsia" w:asciiTheme="minorEastAsia" w:hAnsiTheme="minorEastAsia" w:eastAsiaTheme="minorEastAsia" w:cstheme="minorEastAsia"/>
          <w:kern w:val="0"/>
          <w:sz w:val="24"/>
          <w:szCs w:val="24"/>
          <w:lang w:eastAsia="zh-CN"/>
        </w:rPr>
        <w:t>中标供应商</w:t>
      </w:r>
      <w:r>
        <w:rPr>
          <w:rFonts w:hint="eastAsia" w:asciiTheme="minorEastAsia" w:hAnsiTheme="minorEastAsia" w:eastAsiaTheme="minorEastAsia" w:cstheme="minorEastAsia"/>
          <w:kern w:val="0"/>
          <w:sz w:val="24"/>
          <w:szCs w:val="24"/>
          <w:lang w:val="zh-CN"/>
        </w:rPr>
        <w:t>提供产品不符合或抽检不符合</w:t>
      </w:r>
      <w:r>
        <w:rPr>
          <w:rFonts w:hint="eastAsia" w:asciiTheme="minorEastAsia" w:hAnsiTheme="minorEastAsia" w:eastAsiaTheme="minorEastAsia" w:cstheme="minorEastAsia"/>
          <w:kern w:val="0"/>
          <w:sz w:val="24"/>
          <w:szCs w:val="24"/>
          <w:lang w:eastAsia="zh-CN"/>
        </w:rPr>
        <w:t>招标人</w:t>
      </w:r>
      <w:r>
        <w:rPr>
          <w:rFonts w:hint="eastAsia" w:asciiTheme="minorEastAsia" w:hAnsiTheme="minorEastAsia" w:eastAsiaTheme="minorEastAsia" w:cstheme="minorEastAsia"/>
          <w:kern w:val="0"/>
          <w:sz w:val="24"/>
          <w:szCs w:val="24"/>
          <w:lang w:val="zh-CN"/>
        </w:rPr>
        <w:t>技术要求的，</w:t>
      </w:r>
      <w:r>
        <w:rPr>
          <w:rFonts w:hint="eastAsia" w:asciiTheme="minorEastAsia" w:hAnsiTheme="minorEastAsia" w:eastAsiaTheme="minorEastAsia" w:cstheme="minorEastAsia"/>
          <w:kern w:val="0"/>
          <w:sz w:val="24"/>
          <w:szCs w:val="24"/>
          <w:lang w:eastAsia="zh-CN"/>
        </w:rPr>
        <w:t>招标人</w:t>
      </w:r>
      <w:r>
        <w:rPr>
          <w:rFonts w:hint="eastAsia" w:asciiTheme="minorEastAsia" w:hAnsiTheme="minorEastAsia" w:eastAsiaTheme="minorEastAsia" w:cstheme="minorEastAsia"/>
          <w:kern w:val="0"/>
          <w:sz w:val="24"/>
          <w:szCs w:val="24"/>
          <w:lang w:val="zh-CN"/>
        </w:rPr>
        <w:t>有权终止合同且不退还履约保证金。</w:t>
      </w:r>
    </w:p>
    <w:p>
      <w:pPr>
        <w:pStyle w:val="24"/>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7、质保期：</w:t>
      </w:r>
      <w:r>
        <w:rPr>
          <w:rFonts w:hint="eastAsia" w:asciiTheme="minorEastAsia" w:hAnsiTheme="minorEastAsia" w:eastAsiaTheme="minorEastAsia" w:cstheme="minorEastAsia"/>
          <w:sz w:val="24"/>
          <w:szCs w:val="24"/>
        </w:rPr>
        <w:t>自验收合格之日起2年。</w:t>
      </w:r>
    </w:p>
    <w:p>
      <w:pPr>
        <w:spacing w:line="400" w:lineRule="exact"/>
        <w:ind w:firstLine="480" w:firstLineChars="200"/>
        <w:outlineLvl w:val="2"/>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四、</w:t>
      </w:r>
      <w:r>
        <w:rPr>
          <w:rFonts w:hint="eastAsia" w:asciiTheme="minorEastAsia" w:hAnsiTheme="minorEastAsia" w:eastAsiaTheme="minorEastAsia" w:cstheme="minorEastAsia"/>
          <w:kern w:val="0"/>
          <w:sz w:val="24"/>
          <w:szCs w:val="24"/>
          <w:lang w:val="zh-CN"/>
        </w:rPr>
        <w:t>供货要求</w:t>
      </w:r>
    </w:p>
    <w:p>
      <w:pPr>
        <w:spacing w:line="400" w:lineRule="exact"/>
        <w:ind w:firstLine="480" w:firstLineChars="200"/>
        <w:outlineLvl w:val="2"/>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供货时间：签订合同后60日内</w:t>
      </w:r>
    </w:p>
    <w:p>
      <w:pPr>
        <w:spacing w:line="400" w:lineRule="exact"/>
        <w:ind w:firstLine="480" w:firstLineChars="200"/>
        <w:outlineLvl w:val="2"/>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供货地点：招标人指定地点</w:t>
      </w:r>
    </w:p>
    <w:p>
      <w:pPr>
        <w:spacing w:line="400" w:lineRule="exact"/>
        <w:ind w:firstLine="480" w:firstLineChars="200"/>
        <w:outlineLvl w:val="2"/>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五、</w:t>
      </w:r>
      <w:r>
        <w:rPr>
          <w:rFonts w:hint="eastAsia" w:asciiTheme="minorEastAsia" w:hAnsiTheme="minorEastAsia" w:eastAsiaTheme="minorEastAsia" w:cstheme="minorEastAsia"/>
          <w:kern w:val="0"/>
          <w:sz w:val="24"/>
          <w:szCs w:val="24"/>
          <w:lang w:val="zh-CN"/>
        </w:rPr>
        <w:t>验收要求</w:t>
      </w:r>
    </w:p>
    <w:p>
      <w:pPr>
        <w:spacing w:line="400" w:lineRule="exact"/>
        <w:ind w:firstLine="480" w:firstLineChars="200"/>
        <w:outlineLvl w:val="2"/>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eastAsia="zh-CN"/>
        </w:rPr>
        <w:t>中标供应商</w:t>
      </w:r>
      <w:r>
        <w:rPr>
          <w:rFonts w:hint="eastAsia" w:asciiTheme="minorEastAsia" w:hAnsiTheme="minorEastAsia" w:eastAsiaTheme="minorEastAsia" w:cstheme="minorEastAsia"/>
          <w:kern w:val="0"/>
          <w:sz w:val="24"/>
          <w:szCs w:val="24"/>
          <w:lang w:val="zh-CN"/>
        </w:rPr>
        <w:t>有义务协助招标人对交付的工作服装进行检查与验收，提供相关技术资料、合格证明等文件，并保证文件的真实有效性。同时，招标人在交付的工作服装中委托相关部门进行抽检。</w:t>
      </w:r>
      <w:r>
        <w:rPr>
          <w:rFonts w:hint="eastAsia" w:asciiTheme="minorEastAsia" w:hAnsiTheme="minorEastAsia" w:eastAsiaTheme="minorEastAsia" w:cstheme="minorEastAsia"/>
          <w:kern w:val="0"/>
          <w:sz w:val="24"/>
          <w:szCs w:val="24"/>
        </w:rPr>
        <w:t>如出现</w:t>
      </w:r>
      <w:r>
        <w:rPr>
          <w:rFonts w:hint="eastAsia" w:asciiTheme="minorEastAsia" w:hAnsiTheme="minorEastAsia" w:eastAsiaTheme="minorEastAsia" w:cstheme="minorEastAsia"/>
          <w:kern w:val="0"/>
          <w:sz w:val="24"/>
          <w:szCs w:val="24"/>
          <w:lang w:val="zh-CN"/>
        </w:rPr>
        <w:t>抽检不合格</w:t>
      </w:r>
      <w:r>
        <w:rPr>
          <w:rFonts w:hint="eastAsia" w:asciiTheme="minorEastAsia" w:hAnsiTheme="minorEastAsia" w:eastAsiaTheme="minorEastAsia" w:cstheme="minorEastAsia"/>
          <w:kern w:val="0"/>
          <w:sz w:val="24"/>
          <w:szCs w:val="24"/>
        </w:rPr>
        <w:t>的情形</w:t>
      </w:r>
      <w:r>
        <w:rPr>
          <w:rFonts w:hint="eastAsia" w:asciiTheme="minorEastAsia" w:hAnsiTheme="minorEastAsia" w:eastAsiaTheme="minorEastAsia" w:cstheme="minorEastAsia"/>
          <w:kern w:val="0"/>
          <w:sz w:val="24"/>
          <w:szCs w:val="24"/>
          <w:lang w:val="zh-CN"/>
        </w:rPr>
        <w:t>，</w:t>
      </w:r>
      <w:r>
        <w:rPr>
          <w:rFonts w:hint="eastAsia" w:asciiTheme="minorEastAsia" w:hAnsiTheme="minorEastAsia" w:eastAsiaTheme="minorEastAsia" w:cstheme="minorEastAsia"/>
          <w:kern w:val="0"/>
          <w:sz w:val="24"/>
          <w:szCs w:val="24"/>
          <w:lang w:eastAsia="zh-CN"/>
        </w:rPr>
        <w:t>招标人</w:t>
      </w:r>
      <w:r>
        <w:rPr>
          <w:rFonts w:hint="eastAsia" w:asciiTheme="minorEastAsia" w:hAnsiTheme="minorEastAsia" w:eastAsiaTheme="minorEastAsia" w:cstheme="minorEastAsia"/>
          <w:kern w:val="0"/>
          <w:sz w:val="24"/>
          <w:szCs w:val="24"/>
        </w:rPr>
        <w:t>有权</w:t>
      </w:r>
      <w:r>
        <w:rPr>
          <w:rFonts w:hint="eastAsia" w:asciiTheme="minorEastAsia" w:hAnsiTheme="minorEastAsia" w:eastAsiaTheme="minorEastAsia" w:cstheme="minorEastAsia"/>
          <w:kern w:val="0"/>
          <w:sz w:val="24"/>
          <w:szCs w:val="24"/>
          <w:lang w:val="zh-CN"/>
        </w:rPr>
        <w:t>中止合同，取消供货资格，并没收履约保证金。抽检无论合格与否，</w:t>
      </w:r>
      <w:r>
        <w:rPr>
          <w:rFonts w:hint="eastAsia" w:asciiTheme="minorEastAsia" w:hAnsiTheme="minorEastAsia" w:eastAsiaTheme="minorEastAsia" w:cstheme="minorEastAsia"/>
          <w:kern w:val="0"/>
          <w:sz w:val="24"/>
          <w:szCs w:val="24"/>
        </w:rPr>
        <w:t>抽检物品损耗和</w:t>
      </w:r>
      <w:r>
        <w:rPr>
          <w:rFonts w:hint="eastAsia" w:asciiTheme="minorEastAsia" w:hAnsiTheme="minorEastAsia" w:eastAsiaTheme="minorEastAsia" w:cstheme="minorEastAsia"/>
          <w:kern w:val="0"/>
          <w:sz w:val="24"/>
          <w:szCs w:val="24"/>
          <w:lang w:val="zh-CN"/>
        </w:rPr>
        <w:t>抽检</w:t>
      </w:r>
      <w:r>
        <w:rPr>
          <w:rFonts w:hint="eastAsia" w:asciiTheme="minorEastAsia" w:hAnsiTheme="minorEastAsia" w:eastAsiaTheme="minorEastAsia" w:cstheme="minorEastAsia"/>
          <w:kern w:val="0"/>
          <w:sz w:val="24"/>
          <w:szCs w:val="24"/>
        </w:rPr>
        <w:t>检测</w:t>
      </w:r>
      <w:r>
        <w:rPr>
          <w:rFonts w:hint="eastAsia" w:asciiTheme="minorEastAsia" w:hAnsiTheme="minorEastAsia" w:eastAsiaTheme="minorEastAsia" w:cstheme="minorEastAsia"/>
          <w:kern w:val="0"/>
          <w:sz w:val="24"/>
          <w:szCs w:val="24"/>
          <w:lang w:val="zh-CN"/>
        </w:rPr>
        <w:t>费用由中标供应商承担。</w:t>
      </w:r>
    </w:p>
    <w:p>
      <w:pPr>
        <w:spacing w:line="420" w:lineRule="exact"/>
        <w:ind w:firstLine="707" w:firstLineChars="200"/>
        <w:rPr>
          <w:rFonts w:ascii="宋体" w:hAnsi="宋体" w:cs="宋体"/>
          <w:b/>
          <w:bCs/>
          <w:color w:val="000000"/>
          <w:w w:val="80"/>
          <w:sz w:val="44"/>
          <w:szCs w:val="44"/>
        </w:rPr>
      </w:pPr>
      <w:r>
        <w:rPr>
          <w:rFonts w:ascii="宋体" w:hAnsi="宋体" w:cs="宋体"/>
          <w:b/>
          <w:bCs/>
          <w:color w:val="000000"/>
          <w:w w:val="80"/>
          <w:sz w:val="44"/>
          <w:szCs w:val="44"/>
        </w:rPr>
        <w:br w:type="page"/>
      </w:r>
    </w:p>
    <w:p>
      <w:pPr>
        <w:tabs>
          <w:tab w:val="left" w:pos="1050"/>
          <w:tab w:val="right" w:leader="dot" w:pos="9402"/>
        </w:tabs>
        <w:spacing w:beforeLines="100" w:line="600" w:lineRule="exact"/>
        <w:jc w:val="center"/>
        <w:outlineLvl w:val="0"/>
        <w:rPr>
          <w:rFonts w:asciiTheme="minorEastAsia" w:hAnsiTheme="minorEastAsia" w:eastAsiaTheme="minorEastAsia"/>
          <w:b/>
          <w:w w:val="80"/>
          <w:sz w:val="32"/>
          <w:szCs w:val="32"/>
        </w:rPr>
      </w:pPr>
      <w:r>
        <w:rPr>
          <w:rFonts w:hint="eastAsia" w:asciiTheme="minorEastAsia" w:hAnsiTheme="minorEastAsia" w:eastAsiaTheme="minorEastAsia"/>
          <w:b/>
          <w:w w:val="80"/>
          <w:sz w:val="32"/>
          <w:szCs w:val="32"/>
        </w:rPr>
        <w:t xml:space="preserve">第四章  </w:t>
      </w:r>
      <w:bookmarkStart w:id="6" w:name="_Toc182848996"/>
      <w:r>
        <w:rPr>
          <w:rFonts w:hint="eastAsia" w:asciiTheme="minorEastAsia" w:hAnsiTheme="minorEastAsia" w:eastAsiaTheme="minorEastAsia"/>
          <w:b/>
          <w:w w:val="80"/>
          <w:sz w:val="32"/>
          <w:szCs w:val="32"/>
        </w:rPr>
        <w:t>评审程序和方法</w:t>
      </w:r>
    </w:p>
    <w:bookmarkEnd w:id="6"/>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一、评标小组组成</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1、依法成立评标委员会，成员人数为</w:t>
      </w:r>
      <w:r>
        <w:rPr>
          <w:rFonts w:hint="eastAsia" w:asciiTheme="minorEastAsia" w:hAnsiTheme="minorEastAsia" w:eastAsiaTheme="minorEastAsia"/>
          <w:b/>
          <w:sz w:val="24"/>
          <w:szCs w:val="24"/>
          <w:lang w:val="en-US" w:eastAsia="zh-CN"/>
        </w:rPr>
        <w:t>5</w:t>
      </w:r>
      <w:r>
        <w:rPr>
          <w:rFonts w:hint="eastAsia" w:asciiTheme="minorEastAsia" w:hAnsiTheme="minorEastAsia" w:eastAsiaTheme="minorEastAsia"/>
          <w:sz w:val="24"/>
          <w:szCs w:val="24"/>
        </w:rPr>
        <w:t>人或以上单数。</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二、评标小组的职责</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评标小组负责具体的评审事务，并履行以下职责：</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1、审查投标文件是否符合招标文件的要求，并做出评价；</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2、可以要求投标人对投标文件内的有关事项做出解释或澄清；</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3、推荐中标候选人或按次序排列的中标候选人名单；</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4、评标小组成员应当履行下列义务：</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（1）遵纪守法，客观、公正、廉洁地履行职责；</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（2）评标小组成员应当按照客观、公正、审慎的原则，根据招标文件规定的评审程序、评审方法和评审标准进行独立评审。</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（3）评标小组成员应当遵守评审工作纪律，不得泄露评审情况和评审中获悉的商业秘密，对个人的评审意见承担法律责任；</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（4）评审程序中的有关记录由评标小组成员签名，存档备查。</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（5）评标小组成员在评审过程中发现投标人有行贿、提供虚假材料或者串通等违法行为的，应当及时向财政部门报告。</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（6）评标小组成员在评审过程中受到非法干涉的，应当及时向财政、监察等部门举报。</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（7）评标小组成员有义务及责任配合招标人答复投标人提出的质疑，配合财政部门的投诉处理和监督检查工作。</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5、在投标文件的评审、澄清、评价和比较以及授予合同的过程中，投标人对招标人和评标小组成员有施加影响的任何行为，都将取消其中标资格。</w:t>
      </w:r>
    </w:p>
    <w:p>
      <w:pPr>
        <w:adjustRightInd w:val="0"/>
        <w:snapToGrid w:val="0"/>
        <w:spacing w:line="420" w:lineRule="exact"/>
        <w:ind w:firstLine="487" w:firstLineChars="202"/>
        <w:rPr>
          <w:rFonts w:asciiTheme="minorEastAsia" w:hAnsiTheme="minorEastAsia" w:eastAsiaTheme="minorEastAsia"/>
          <w:b/>
          <w:sz w:val="24"/>
          <w:szCs w:val="24"/>
        </w:rPr>
      </w:pPr>
      <w:r>
        <w:rPr>
          <w:rFonts w:hint="eastAsia" w:asciiTheme="minorEastAsia" w:hAnsiTheme="minorEastAsia" w:eastAsiaTheme="minorEastAsia"/>
          <w:b/>
          <w:sz w:val="24"/>
          <w:szCs w:val="24"/>
        </w:rPr>
        <w:t>三、开标</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1、招标代理机构主持开标并记录，及时处理投标人代表提出的询问或者回避申请。</w:t>
      </w:r>
    </w:p>
    <w:p>
      <w:pPr>
        <w:spacing w:line="420" w:lineRule="exact"/>
        <w:ind w:firstLine="480" w:firstLineChars="200"/>
        <w:rPr>
          <w:rFonts w:asciiTheme="minorEastAsia" w:hAnsiTheme="minorEastAsia" w:eastAsiaTheme="minorEastAsia"/>
        </w:rPr>
      </w:pPr>
      <w:r>
        <w:rPr>
          <w:rFonts w:hint="eastAsia" w:asciiTheme="minorEastAsia" w:hAnsiTheme="minorEastAsia" w:eastAsiaTheme="minorEastAsia"/>
          <w:sz w:val="24"/>
          <w:szCs w:val="24"/>
        </w:rPr>
        <w:t>2、投标人不足3家的不得开标。</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四、评审原则及方法</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1、评审程序：资格符合性评审→技术标评审→商务标评审→确定中标候选人</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2、本项目采用</w:t>
      </w:r>
      <w:r>
        <w:rPr>
          <w:rFonts w:hint="eastAsia" w:asciiTheme="minorEastAsia" w:hAnsiTheme="minorEastAsia" w:eastAsiaTheme="minorEastAsia"/>
          <w:sz w:val="24"/>
          <w:szCs w:val="24"/>
          <w:u w:val="single"/>
        </w:rPr>
        <w:t xml:space="preserve">  综合评分法  </w:t>
      </w:r>
      <w:r>
        <w:rPr>
          <w:rFonts w:hint="eastAsia" w:asciiTheme="minorEastAsia" w:hAnsiTheme="minorEastAsia" w:eastAsiaTheme="minorEastAsia"/>
          <w:sz w:val="24"/>
          <w:szCs w:val="24"/>
        </w:rPr>
        <w:t>，即指投标文件满足本项目招标文件全部实质性要求，且按照评审因素的量化指标，经评审后得分最高的投标人推荐为中标人的评标方法。</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3、评标委员会成员：对符合资格的投标人的投标文件进行符合性审查，以确定其是否满足招标文件的实质性要求；按照招标文件中规定的评标方法和标准，对符合性审查合格的投标文件进行技术和商务评估，综合比较与评价。</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4、对投标文件的评审判定，只依据投标文件内容本身，不依靠开标后任何外来证明文件。</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5、本次项目技术标和价格标评审总分值为100分。评审因素比重如下：</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（1）“技术标分值”占总分值的比重为</w:t>
      </w:r>
      <w:r>
        <w:rPr>
          <w:rFonts w:hint="eastAsia" w:asciiTheme="minorEastAsia" w:hAnsiTheme="minorEastAsia" w:eastAsiaTheme="minorEastAsia"/>
          <w:sz w:val="24"/>
          <w:szCs w:val="24"/>
          <w:u w:val="single"/>
          <w:lang w:val="en-US" w:eastAsia="zh-CN"/>
        </w:rPr>
        <w:t>60</w:t>
      </w:r>
      <w:r>
        <w:rPr>
          <w:rFonts w:hint="eastAsia" w:asciiTheme="minorEastAsia" w:hAnsiTheme="minorEastAsia" w:eastAsiaTheme="minorEastAsia"/>
          <w:sz w:val="24"/>
          <w:szCs w:val="24"/>
          <w:u w:val="single"/>
        </w:rPr>
        <w:t>%（权重）</w:t>
      </w:r>
      <w:r>
        <w:rPr>
          <w:rFonts w:hint="eastAsia" w:asciiTheme="minorEastAsia" w:hAnsiTheme="minorEastAsia" w:eastAsiaTheme="minorEastAsia"/>
          <w:sz w:val="24"/>
          <w:szCs w:val="24"/>
        </w:rPr>
        <w:t>（取小数点后二位）；</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（2）“价格标分值”占总分值的比重为</w:t>
      </w:r>
      <w:r>
        <w:rPr>
          <w:rFonts w:hint="eastAsia" w:asciiTheme="minorEastAsia" w:hAnsiTheme="minorEastAsia" w:eastAsiaTheme="minorEastAsia"/>
          <w:sz w:val="24"/>
          <w:szCs w:val="24"/>
          <w:u w:val="single"/>
          <w:lang w:val="en-US" w:eastAsia="zh-CN"/>
        </w:rPr>
        <w:t>40</w:t>
      </w:r>
      <w:r>
        <w:rPr>
          <w:rFonts w:hint="eastAsia" w:asciiTheme="minorEastAsia" w:hAnsiTheme="minorEastAsia" w:eastAsiaTheme="minorEastAsia"/>
          <w:sz w:val="24"/>
          <w:szCs w:val="24"/>
          <w:u w:val="single"/>
        </w:rPr>
        <w:t>%（权重）</w:t>
      </w:r>
      <w:r>
        <w:rPr>
          <w:rFonts w:hint="eastAsia" w:asciiTheme="minorEastAsia" w:hAnsiTheme="minorEastAsia" w:eastAsiaTheme="minorEastAsia"/>
          <w:sz w:val="24"/>
          <w:szCs w:val="24"/>
        </w:rPr>
        <w:t>（取小数点后二位）；</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6、评标委员会评委独立对每个进入打分程序的有效投标人的投标文件技术部分以打分的形式进行评审和评价（计算结果均四舍五入保留两位小数）。</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7、当评标委员会评委为5人以上的，技术分是在去掉一个最高分和一个最低分后均算而成，当评委少于5人（含5人）时，技术分按算术平均值计算，分值小数点后保留两位。</w:t>
      </w:r>
    </w:p>
    <w:p>
      <w:pPr>
        <w:snapToGrid w:val="0"/>
        <w:spacing w:line="420" w:lineRule="exact"/>
        <w:ind w:firstLine="484" w:firstLineChars="202"/>
        <w:rPr>
          <w:rFonts w:asciiTheme="minorEastAsia" w:hAnsiTheme="minorEastAsia" w:eastAsiaTheme="minorEastAsia"/>
          <w:sz w:val="24"/>
          <w:szCs w:val="24"/>
          <w:u w:val="thick" w:color="FF0000"/>
        </w:rPr>
      </w:pPr>
      <w:r>
        <w:rPr>
          <w:rFonts w:hint="eastAsia" w:asciiTheme="minorEastAsia" w:hAnsiTheme="minorEastAsia" w:eastAsiaTheme="minorEastAsia"/>
          <w:sz w:val="24"/>
          <w:szCs w:val="24"/>
        </w:rPr>
        <w:t>8、开启投标人的商务报价标。</w:t>
      </w:r>
    </w:p>
    <w:p>
      <w:pPr>
        <w:snapToGrid w:val="0"/>
        <w:spacing w:line="420" w:lineRule="exact"/>
        <w:ind w:firstLine="484" w:firstLineChars="202"/>
        <w:rPr>
          <w:rFonts w:ascii="宋体" w:hAnsi="宋体" w:eastAsia="宋体" w:cs="宋体"/>
          <w:bCs/>
          <w:kern w:val="0"/>
          <w:sz w:val="24"/>
          <w:szCs w:val="24"/>
        </w:rPr>
      </w:pPr>
      <w:r>
        <w:rPr>
          <w:rFonts w:hint="eastAsia" w:asciiTheme="minorEastAsia" w:hAnsiTheme="minorEastAsia" w:eastAsiaTheme="minorEastAsia"/>
          <w:sz w:val="24"/>
          <w:szCs w:val="24"/>
        </w:rPr>
        <w:t>9、</w:t>
      </w:r>
      <w:r>
        <w:rPr>
          <w:rFonts w:hint="eastAsia" w:ascii="宋体" w:hAnsi="宋体" w:eastAsia="宋体" w:cs="宋体"/>
          <w:bCs/>
          <w:kern w:val="0"/>
          <w:sz w:val="24"/>
          <w:szCs w:val="24"/>
        </w:rPr>
        <w:t>取综合得分（综合得分为技术标得分、商务标得分的总和）第一名的作为第一中标候选人，中标价为其投标报价，如有异议则增补排名靠后的中标候选人替补。综合得分相同，以投标报价低的优先；投标报价也相同的，则由招标人采取现场抽签的方式确定中标候选人。</w:t>
      </w:r>
    </w:p>
    <w:p>
      <w:pPr>
        <w:snapToGrid w:val="0"/>
        <w:spacing w:line="420" w:lineRule="exact"/>
        <w:ind w:firstLine="484" w:firstLineChars="202"/>
        <w:rPr>
          <w:rFonts w:hint="eastAsia" w:ascii="宋体" w:hAnsi="宋体" w:eastAsia="宋体" w:cs="宋体"/>
          <w:bCs/>
          <w:kern w:val="0"/>
          <w:sz w:val="24"/>
          <w:szCs w:val="24"/>
        </w:rPr>
      </w:pPr>
      <w:r>
        <w:rPr>
          <w:rFonts w:hint="eastAsia" w:ascii="宋体" w:hAnsi="宋体" w:eastAsia="宋体" w:cs="宋体"/>
          <w:bCs/>
          <w:kern w:val="0"/>
          <w:sz w:val="24"/>
          <w:szCs w:val="24"/>
        </w:rPr>
        <w:t>10、本项目第一名中标候选人原则上为中标人。当标候选人放弃中标、因不可抗力等原因不能履行合同或者被查实存在影响中标结果的违法行为等情形，不符合中标条件的，招标人可以按照评标委员会提出的中标候选人名单排序依次确定其他中标候选人为中标人，也可以重新招标。</w:t>
      </w:r>
    </w:p>
    <w:p>
      <w:pPr>
        <w:spacing w:line="420" w:lineRule="exact"/>
        <w:ind w:firstLine="480" w:firstLineChars="200"/>
        <w:rPr>
          <w:rFonts w:hint="default" w:eastAsia="宋体"/>
          <w:lang w:val="en-US" w:eastAsia="zh-CN"/>
        </w:rPr>
      </w:pPr>
      <w:r>
        <w:rPr>
          <w:rFonts w:hint="eastAsia" w:ascii="宋体" w:hAnsi="宋体" w:cs="宋体"/>
          <w:bCs/>
          <w:kern w:val="0"/>
          <w:sz w:val="24"/>
          <w:szCs w:val="24"/>
          <w:lang w:val="en-US" w:eastAsia="zh-CN"/>
        </w:rPr>
        <w:t>11、</w:t>
      </w:r>
      <w:r>
        <w:rPr>
          <w:rFonts w:hint="eastAsia" w:ascii="宋体" w:hAnsi="宋体" w:eastAsia="黑体" w:cs="宋体"/>
          <w:sz w:val="24"/>
          <w:szCs w:val="24"/>
          <w:highlight w:val="none"/>
          <w:u w:val="thick" w:color="FF0000"/>
        </w:rPr>
        <w:t>中标人必须在中标公示期满后</w:t>
      </w:r>
      <w:r>
        <w:rPr>
          <w:rFonts w:hint="eastAsia" w:ascii="宋体" w:hAnsi="宋体" w:eastAsia="黑体" w:cs="宋体"/>
          <w:sz w:val="24"/>
          <w:szCs w:val="24"/>
          <w:highlight w:val="none"/>
          <w:u w:val="thick" w:color="FF0000"/>
          <w:lang w:val="en-US" w:eastAsia="zh-CN"/>
        </w:rPr>
        <w:t>3</w:t>
      </w:r>
      <w:r>
        <w:rPr>
          <w:rFonts w:hint="eastAsia" w:ascii="宋体" w:hAnsi="宋体" w:eastAsia="黑体" w:cs="宋体"/>
          <w:sz w:val="24"/>
          <w:szCs w:val="24"/>
          <w:highlight w:val="none"/>
          <w:u w:val="thick" w:color="FF0000"/>
        </w:rPr>
        <w:t>个工作日内提供</w:t>
      </w:r>
      <w:r>
        <w:rPr>
          <w:rFonts w:hint="eastAsia" w:ascii="宋体" w:hAnsi="宋体" w:eastAsia="黑体" w:cs="宋体"/>
          <w:sz w:val="24"/>
          <w:szCs w:val="24"/>
          <w:highlight w:val="none"/>
          <w:u w:val="thick" w:color="FF0000"/>
          <w:lang w:val="en-US" w:eastAsia="zh-CN"/>
        </w:rPr>
        <w:t>原中国保安协会授权生产证书给招标人查验，</w:t>
      </w:r>
      <w:r>
        <w:rPr>
          <w:rFonts w:hint="eastAsia" w:ascii="宋体" w:hAnsi="宋体" w:eastAsia="黑体" w:cs="宋体"/>
          <w:sz w:val="24"/>
          <w:szCs w:val="24"/>
          <w:highlight w:val="none"/>
          <w:u w:val="thick" w:color="FF0000"/>
        </w:rPr>
        <w:t>若不能提供有效的材料则视为</w:t>
      </w:r>
      <w:r>
        <w:rPr>
          <w:rFonts w:hint="eastAsia" w:ascii="宋体" w:hAnsi="宋体" w:eastAsia="黑体" w:cs="宋体"/>
          <w:sz w:val="24"/>
          <w:szCs w:val="24"/>
          <w:highlight w:val="none"/>
          <w:u w:val="thick" w:color="FF0000"/>
          <w:lang w:val="en-US" w:eastAsia="zh-CN"/>
        </w:rPr>
        <w:t>投标人</w:t>
      </w:r>
      <w:r>
        <w:rPr>
          <w:rFonts w:hint="eastAsia" w:ascii="宋体" w:hAnsi="宋体" w:eastAsia="黑体" w:cs="宋体"/>
          <w:sz w:val="24"/>
          <w:szCs w:val="24"/>
          <w:highlight w:val="none"/>
          <w:u w:val="thick" w:color="FF0000"/>
        </w:rPr>
        <w:t>自动放弃</w:t>
      </w:r>
      <w:r>
        <w:rPr>
          <w:rFonts w:hint="eastAsia" w:ascii="宋体" w:hAnsi="宋体" w:eastAsia="黑体" w:cs="宋体"/>
          <w:sz w:val="24"/>
          <w:szCs w:val="24"/>
          <w:highlight w:val="none"/>
          <w:u w:val="thick" w:color="FF0000"/>
          <w:lang w:val="en-US" w:eastAsia="zh-CN"/>
        </w:rPr>
        <w:t>中标</w:t>
      </w:r>
      <w:r>
        <w:rPr>
          <w:rFonts w:hint="eastAsia" w:ascii="宋体" w:hAnsi="宋体" w:eastAsia="黑体" w:cs="宋体"/>
          <w:sz w:val="24"/>
          <w:szCs w:val="24"/>
          <w:highlight w:val="none"/>
          <w:u w:val="thick" w:color="FF0000"/>
        </w:rPr>
        <w:t>资格并承担所有的违约处理，如投标保证金不予退还</w:t>
      </w:r>
      <w:r>
        <w:rPr>
          <w:rFonts w:hint="eastAsia" w:ascii="宋体" w:hAnsi="宋体" w:eastAsia="黑体" w:cs="宋体"/>
          <w:sz w:val="24"/>
          <w:szCs w:val="24"/>
          <w:highlight w:val="none"/>
          <w:u w:val="thick" w:color="FF0000"/>
          <w:lang w:eastAsia="zh-CN"/>
        </w:rPr>
        <w:t>，</w:t>
      </w:r>
      <w:r>
        <w:rPr>
          <w:rFonts w:hint="eastAsia" w:ascii="宋体" w:hAnsi="宋体" w:eastAsia="黑体" w:cs="宋体"/>
          <w:sz w:val="24"/>
          <w:szCs w:val="24"/>
          <w:highlight w:val="none"/>
          <w:u w:val="thick" w:color="FF0000"/>
        </w:rPr>
        <w:t>招标人可以按照评标委员会提出的中标候选人名单排序依次确定其他中标候选人为中标人</w:t>
      </w:r>
      <w:r>
        <w:rPr>
          <w:rFonts w:hint="eastAsia" w:ascii="宋体" w:hAnsi="宋体" w:eastAsia="黑体" w:cs="宋体"/>
          <w:sz w:val="24"/>
          <w:szCs w:val="24"/>
          <w:highlight w:val="none"/>
          <w:u w:val="thick" w:color="FF0000"/>
          <w:lang w:eastAsia="zh-CN"/>
        </w:rPr>
        <w:t>（</w:t>
      </w:r>
      <w:r>
        <w:rPr>
          <w:rFonts w:hint="eastAsia" w:ascii="宋体" w:hAnsi="宋体" w:eastAsia="黑体" w:cs="宋体"/>
          <w:sz w:val="24"/>
          <w:szCs w:val="24"/>
          <w:highlight w:val="none"/>
          <w:u w:val="thick" w:color="FF0000"/>
          <w:lang w:val="en-US" w:eastAsia="zh-CN"/>
        </w:rPr>
        <w:t>中标人</w:t>
      </w:r>
      <w:r>
        <w:rPr>
          <w:rFonts w:hint="eastAsia" w:ascii="宋体" w:hAnsi="宋体" w:eastAsia="黑体" w:cs="宋体"/>
          <w:sz w:val="24"/>
          <w:szCs w:val="24"/>
          <w:highlight w:val="none"/>
          <w:u w:val="thick" w:color="FF0000"/>
        </w:rPr>
        <w:t>必须在</w:t>
      </w:r>
      <w:r>
        <w:rPr>
          <w:rFonts w:hint="eastAsia" w:ascii="宋体" w:hAnsi="宋体" w:eastAsia="黑体" w:cs="宋体"/>
          <w:sz w:val="24"/>
          <w:szCs w:val="24"/>
          <w:highlight w:val="none"/>
          <w:u w:val="thick" w:color="FF0000"/>
          <w:lang w:val="en-US" w:eastAsia="zh-CN"/>
        </w:rPr>
        <w:t>接到招标人通知后</w:t>
      </w:r>
      <w:r>
        <w:rPr>
          <w:rFonts w:hint="eastAsia" w:ascii="宋体" w:hAnsi="宋体" w:eastAsia="黑体" w:cs="宋体"/>
          <w:sz w:val="24"/>
          <w:szCs w:val="24"/>
          <w:highlight w:val="none"/>
          <w:u w:val="thick" w:color="FF0000"/>
        </w:rPr>
        <w:t>3个工作日内提供</w:t>
      </w:r>
      <w:r>
        <w:rPr>
          <w:rFonts w:hint="eastAsia" w:ascii="宋体" w:hAnsi="宋体" w:eastAsia="黑体" w:cs="宋体"/>
          <w:sz w:val="24"/>
          <w:szCs w:val="24"/>
          <w:highlight w:val="none"/>
          <w:u w:val="thick" w:color="FF0000"/>
          <w:lang w:val="en-US" w:eastAsia="zh-CN"/>
        </w:rPr>
        <w:t>原中国保安协会授权生产证书</w:t>
      </w:r>
      <w:r>
        <w:rPr>
          <w:rFonts w:hint="eastAsia" w:ascii="宋体" w:hAnsi="宋体" w:eastAsia="黑体" w:cs="宋体"/>
          <w:sz w:val="24"/>
          <w:szCs w:val="24"/>
          <w:highlight w:val="none"/>
          <w:u w:val="thick" w:color="FF0000"/>
        </w:rPr>
        <w:t>供</w:t>
      </w:r>
      <w:r>
        <w:rPr>
          <w:rFonts w:hint="eastAsia" w:ascii="宋体" w:hAnsi="宋体" w:eastAsia="黑体" w:cs="宋体"/>
          <w:sz w:val="24"/>
          <w:szCs w:val="24"/>
          <w:highlight w:val="none"/>
          <w:u w:val="thick" w:color="FF0000"/>
          <w:lang w:val="en-US" w:eastAsia="zh-CN"/>
        </w:rPr>
        <w:t>招标人查验</w:t>
      </w:r>
      <w:r>
        <w:rPr>
          <w:rFonts w:hint="eastAsia" w:ascii="宋体" w:hAnsi="宋体" w:eastAsia="黑体" w:cs="宋体"/>
          <w:sz w:val="24"/>
          <w:szCs w:val="24"/>
          <w:highlight w:val="none"/>
          <w:u w:val="thick" w:color="FF0000"/>
          <w:lang w:eastAsia="zh-CN"/>
        </w:rPr>
        <w:t>，如不能如期提供视为自动放弃）</w:t>
      </w:r>
      <w:r>
        <w:rPr>
          <w:rFonts w:hint="eastAsia" w:ascii="宋体" w:hAnsi="宋体" w:eastAsia="黑体" w:cs="宋体"/>
          <w:sz w:val="24"/>
          <w:szCs w:val="24"/>
          <w:highlight w:val="none"/>
          <w:u w:val="thick" w:color="FF0000"/>
        </w:rPr>
        <w:t>，也可以重新招标。</w:t>
      </w:r>
    </w:p>
    <w:p>
      <w:pPr>
        <w:pStyle w:val="24"/>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五、评审因素</w:t>
      </w:r>
    </w:p>
    <w:p>
      <w:pPr>
        <w:adjustRightInd w:val="0"/>
        <w:snapToGrid w:val="0"/>
        <w:spacing w:line="440" w:lineRule="exact"/>
        <w:outlineLvl w:val="4"/>
        <w:rPr>
          <w:rFonts w:asciiTheme="minorEastAsia" w:hAnsiTheme="minorEastAsia" w:eastAsiaTheme="minorEastAsia"/>
          <w:b/>
          <w:sz w:val="24"/>
          <w:szCs w:val="24"/>
        </w:rPr>
      </w:pPr>
      <w:r>
        <w:rPr>
          <w:rFonts w:hint="eastAsia" w:asciiTheme="minorEastAsia" w:hAnsiTheme="minorEastAsia" w:eastAsiaTheme="minorEastAsia"/>
          <w:b/>
          <w:sz w:val="24"/>
          <w:szCs w:val="24"/>
        </w:rPr>
        <w:t>（一）技术标评审：（</w:t>
      </w:r>
      <w:r>
        <w:rPr>
          <w:rFonts w:hint="eastAsia" w:asciiTheme="minorEastAsia" w:hAnsiTheme="minorEastAsia" w:eastAsiaTheme="minorEastAsia"/>
          <w:b/>
          <w:sz w:val="24"/>
          <w:szCs w:val="24"/>
          <w:lang w:val="en-US" w:eastAsia="zh-CN"/>
        </w:rPr>
        <w:t>60</w:t>
      </w:r>
      <w:r>
        <w:rPr>
          <w:rFonts w:hint="eastAsia" w:asciiTheme="minorEastAsia" w:hAnsiTheme="minorEastAsia" w:eastAsiaTheme="minorEastAsia"/>
          <w:b/>
          <w:sz w:val="24"/>
          <w:szCs w:val="24"/>
        </w:rPr>
        <w:t>分）</w:t>
      </w:r>
    </w:p>
    <w:p>
      <w:pPr>
        <w:snapToGrid w:val="0"/>
        <w:spacing w:line="420" w:lineRule="exact"/>
        <w:ind w:firstLine="487" w:firstLineChars="202"/>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1 、样品评审（20分）</w:t>
      </w:r>
    </w:p>
    <w:p>
      <w:pPr>
        <w:snapToGrid w:val="0"/>
        <w:spacing w:line="420" w:lineRule="exact"/>
        <w:ind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（1）提供服装样品、标识齐全得8分。每少一样扣1分，最高扣</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分。</w:t>
      </w:r>
    </w:p>
    <w:p>
      <w:pPr>
        <w:snapToGrid w:val="0"/>
        <w:spacing w:line="420" w:lineRule="exact"/>
        <w:ind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（2）提交的样品版型、做工、手感优劣（5分）。好</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4-5分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，较好：（2-4分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，一般：</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0-</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pPr>
        <w:snapToGrid w:val="0"/>
        <w:spacing w:line="420" w:lineRule="exact"/>
        <w:ind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（3）提供的样品成分符合招标文件要求，且提供面料、里衬的检验报告，提供齐全的得4分。每缺一份扣 0.5 分，最高扣 4 分。</w:t>
      </w:r>
    </w:p>
    <w:p>
      <w:pPr>
        <w:snapToGrid w:val="0"/>
        <w:spacing w:line="420" w:lineRule="exact"/>
        <w:ind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（4）提供面料、里衬、标识的进货产地的，得3分。提供的进货合同复印件，每少一份扣1分，最高扣3分。</w:t>
      </w:r>
    </w:p>
    <w:p>
      <w:pPr>
        <w:snapToGrid w:val="0"/>
        <w:spacing w:line="420" w:lineRule="exact"/>
        <w:ind w:firstLine="487" w:firstLineChars="202"/>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2 、企业综合实力评审（16分）</w:t>
      </w:r>
    </w:p>
    <w:p>
      <w:pPr>
        <w:snapToGrid w:val="0"/>
        <w:spacing w:line="420" w:lineRule="exact"/>
        <w:ind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（1）投标人的企业简介、企业规模及生产能力（8分），提供相关介绍及证明材料。优秀：（6-8分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，良好</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（4-6分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，一般</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0-4分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pPr>
        <w:snapToGrid w:val="0"/>
        <w:spacing w:line="420" w:lineRule="exact"/>
        <w:ind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（2）以往承接业绩打分（8分）</w:t>
      </w:r>
    </w:p>
    <w:p>
      <w:pPr>
        <w:snapToGrid w:val="0"/>
        <w:spacing w:line="420" w:lineRule="exact"/>
        <w:ind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提供近 2 年内的主要销售业绩（以本项目发布之日往前推），提供合同，时间以合同签订的时间为准（合同限保安服装，原件随身携带备查）。每有一份合同得1分，最高得8分。</w:t>
      </w:r>
    </w:p>
    <w:p>
      <w:pPr>
        <w:snapToGrid w:val="0"/>
        <w:spacing w:line="420" w:lineRule="exact"/>
        <w:ind w:firstLine="487" w:firstLineChars="202"/>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3 、投标单位综合评价（15分）</w:t>
      </w:r>
    </w:p>
    <w:p>
      <w:pPr>
        <w:snapToGrid w:val="0"/>
        <w:spacing w:line="420" w:lineRule="exact"/>
        <w:ind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（1）服务承诺事项详细、清楚、齐全（3分）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每有一项对招标方有利的有效承诺得 0.5 分，最高得3分。</w:t>
      </w:r>
    </w:p>
    <w:p>
      <w:pPr>
        <w:snapToGrid w:val="0"/>
        <w:spacing w:line="420" w:lineRule="exact"/>
        <w:ind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（2）服务质量保证措施（5分）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根据投标人对服务标准、质量标准和完成生产任务的承诺保证，对于不达标情况所承诺的赔偿条款是否合理等打分，优良</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（4-5分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，较好：（2-4分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，一般：</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0-2分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pPr>
        <w:snapToGrid w:val="0"/>
        <w:spacing w:line="420" w:lineRule="exact"/>
        <w:ind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（3）提供上一年度的财务审计报告（2分）。</w:t>
      </w:r>
    </w:p>
    <w:p>
      <w:pPr>
        <w:snapToGrid w:val="0"/>
        <w:spacing w:line="420" w:lineRule="exact"/>
        <w:ind w:firstLine="484" w:firstLineChars="202"/>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（4）供应商提供有效期内质量管理体系认证、环境管理体系认证、职业健康安全认证，每提供一个得1分，满分3分（需提供证书复印件加盖公章）</w:t>
      </w:r>
      <w:r>
        <w:rPr>
          <w:rFonts w:hint="eastAsia" w:asciiTheme="minorEastAsia" w:hAnsiTheme="minorEastAsia" w:eastAsiaTheme="minorEastAsia"/>
          <w:sz w:val="24"/>
          <w:szCs w:val="24"/>
          <w:lang w:eastAsia="zh-CN"/>
        </w:rPr>
        <w:t>。</w:t>
      </w:r>
    </w:p>
    <w:p>
      <w:pPr>
        <w:snapToGrid w:val="0"/>
        <w:spacing w:line="420" w:lineRule="exact"/>
        <w:ind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（5）其他个性化服务（2 分）。每有一项个性化服务得1分，最高得</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分。</w:t>
      </w:r>
    </w:p>
    <w:p>
      <w:pPr>
        <w:snapToGrid w:val="0"/>
        <w:spacing w:line="420" w:lineRule="exact"/>
        <w:ind w:firstLine="487" w:firstLineChars="202"/>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4 、售后服务（</w:t>
      </w:r>
      <w:r>
        <w:rPr>
          <w:rFonts w:hint="eastAsia" w:asciiTheme="minorEastAsia" w:hAnsiTheme="minorEastAsia" w:eastAsiaTheme="minorEastAsia"/>
          <w:b/>
          <w:bCs/>
          <w:sz w:val="24"/>
          <w:szCs w:val="24"/>
          <w:lang w:val="en-US" w:eastAsia="zh-CN"/>
        </w:rPr>
        <w:t>7</w:t>
      </w:r>
      <w:r>
        <w:rPr>
          <w:rFonts w:hint="eastAsia" w:asciiTheme="minorEastAsia" w:hAnsiTheme="minorEastAsia" w:eastAsiaTheme="minorEastAsia"/>
          <w:b/>
          <w:bCs/>
          <w:sz w:val="24"/>
          <w:szCs w:val="24"/>
        </w:rPr>
        <w:t>分）</w:t>
      </w:r>
    </w:p>
    <w:p>
      <w:pPr>
        <w:snapToGrid w:val="0"/>
        <w:spacing w:line="420" w:lineRule="exact"/>
        <w:ind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售后服务方案</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根据投标单位提供的方案，横向比较，好：（</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，较好：（</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，一般：</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0-2分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pPr>
        <w:snapToGrid w:val="0"/>
        <w:spacing w:line="420" w:lineRule="exact"/>
        <w:ind w:firstLine="487" w:firstLineChars="202"/>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5 、文件编制（2分）</w:t>
      </w:r>
    </w:p>
    <w:p>
      <w:pPr>
        <w:snapToGrid w:val="0"/>
        <w:spacing w:line="420" w:lineRule="exact"/>
        <w:ind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根据投标人的标书制作、页码的编排及标书规范格式运用情况，由评委酌情打分 0—2 分。</w:t>
      </w:r>
    </w:p>
    <w:p>
      <w:pPr>
        <w:adjustRightInd w:val="0"/>
        <w:snapToGrid w:val="0"/>
        <w:spacing w:line="360" w:lineRule="exact"/>
        <w:ind w:firstLine="482" w:firstLineChars="200"/>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（二）价格标评分：（</w:t>
      </w:r>
      <w:r>
        <w:rPr>
          <w:rFonts w:hint="eastAsia" w:asciiTheme="minorEastAsia" w:hAnsiTheme="minorEastAsia" w:eastAsiaTheme="minorEastAsia"/>
          <w:b/>
          <w:sz w:val="24"/>
          <w:szCs w:val="24"/>
          <w:lang w:val="en-US" w:eastAsia="zh-CN"/>
        </w:rPr>
        <w:t>40</w:t>
      </w:r>
      <w:r>
        <w:rPr>
          <w:rFonts w:hint="eastAsia" w:asciiTheme="minorEastAsia" w:hAnsiTheme="minorEastAsia" w:eastAsiaTheme="minorEastAsia"/>
          <w:b/>
          <w:sz w:val="24"/>
          <w:szCs w:val="24"/>
        </w:rPr>
        <w:t>分）</w:t>
      </w:r>
    </w:p>
    <w:p>
      <w:pPr>
        <w:adjustRightInd w:val="0"/>
        <w:snapToGrid w:val="0"/>
        <w:spacing w:line="360" w:lineRule="auto"/>
        <w:ind w:firstLine="480" w:firstLineChars="200"/>
        <w:outlineLvl w:val="2"/>
        <w:rPr>
          <w:rFonts w:ascii="宋体" w:hAnsi="宋体" w:eastAsia="宋体"/>
          <w:sz w:val="24"/>
        </w:rPr>
      </w:pPr>
      <w:r>
        <w:rPr>
          <w:rFonts w:hint="eastAsia" w:ascii="宋体" w:hAnsi="宋体" w:eastAsia="宋体"/>
          <w:sz w:val="24"/>
        </w:rPr>
        <w:t>1、</w:t>
      </w:r>
      <w:r>
        <w:rPr>
          <w:rFonts w:ascii="宋体" w:hAnsi="宋体" w:eastAsia="宋体"/>
          <w:sz w:val="24"/>
        </w:rPr>
        <w:t>确定有效报价：</w:t>
      </w:r>
      <w:r>
        <w:rPr>
          <w:rFonts w:hint="eastAsia" w:ascii="宋体" w:hAnsi="宋体" w:eastAsia="宋体"/>
          <w:sz w:val="24"/>
        </w:rPr>
        <w:t>本项目</w:t>
      </w:r>
      <w:r>
        <w:rPr>
          <w:rFonts w:ascii="宋体" w:hAnsi="宋体" w:eastAsia="宋体"/>
          <w:sz w:val="24"/>
        </w:rPr>
        <w:t>招标控制价（</w:t>
      </w:r>
      <w:r>
        <w:rPr>
          <w:rFonts w:hint="eastAsia" w:ascii="宋体" w:hAnsi="宋体" w:eastAsia="宋体"/>
          <w:sz w:val="24"/>
        </w:rPr>
        <w:t>最高限价）为:</w:t>
      </w:r>
      <w:r>
        <w:rPr>
          <w:rFonts w:hint="eastAsia" w:ascii="宋体" w:hAnsi="宋体" w:eastAsia="宋体"/>
          <w:sz w:val="24"/>
          <w:lang w:val="en-US" w:eastAsia="zh-CN"/>
        </w:rPr>
        <w:t>1300元/套</w:t>
      </w:r>
      <w:r>
        <w:rPr>
          <w:rFonts w:hint="eastAsia" w:ascii="宋体" w:hAnsi="宋体" w:eastAsia="宋体"/>
          <w:sz w:val="24"/>
        </w:rPr>
        <w:t>。</w:t>
      </w:r>
      <w:r>
        <w:rPr>
          <w:rFonts w:hint="eastAsia" w:asciiTheme="minorEastAsia" w:hAnsiTheme="minorEastAsia" w:eastAsiaTheme="minorEastAsia"/>
          <w:sz w:val="24"/>
          <w:szCs w:val="24"/>
        </w:rPr>
        <w:t>有效报价是指投标人投标报价低于或等于招标人设定的最高限价，投标报价高于最高限价的为无效报价，作废标处理。</w:t>
      </w:r>
    </w:p>
    <w:p>
      <w:pPr>
        <w:adjustRightInd w:val="0"/>
        <w:snapToGrid w:val="0"/>
        <w:spacing w:line="360" w:lineRule="auto"/>
        <w:ind w:firstLine="480" w:firstLineChars="200"/>
        <w:outlineLvl w:val="2"/>
        <w:rPr>
          <w:rFonts w:ascii="宋体" w:hAnsi="宋体" w:eastAsia="宋体"/>
          <w:sz w:val="24"/>
        </w:rPr>
      </w:pPr>
      <w:r>
        <w:rPr>
          <w:rFonts w:hint="eastAsia" w:ascii="宋体" w:hAnsi="宋体" w:eastAsia="宋体"/>
          <w:sz w:val="24"/>
        </w:rPr>
        <w:t>2、价格分采用低价优先法计算，即满足招标文件要求且</w:t>
      </w:r>
      <w:r>
        <w:rPr>
          <w:rFonts w:hint="eastAsia" w:ascii="宋体" w:hAnsi="宋体" w:eastAsia="宋体"/>
          <w:b/>
          <w:bCs/>
          <w:sz w:val="24"/>
        </w:rPr>
        <w:t>投标价格最低的投标报价</w:t>
      </w:r>
      <w:r>
        <w:rPr>
          <w:rFonts w:hint="eastAsia" w:ascii="宋体" w:hAnsi="宋体" w:eastAsia="宋体"/>
          <w:sz w:val="24"/>
        </w:rPr>
        <w:t>为评标基准价，其价格分为满分</w:t>
      </w:r>
      <w:r>
        <w:rPr>
          <w:rFonts w:hint="eastAsia" w:ascii="宋体" w:hAnsi="宋体" w:eastAsia="宋体"/>
          <w:sz w:val="24"/>
          <w:lang w:val="en-US" w:eastAsia="zh-CN"/>
        </w:rPr>
        <w:t>40</w:t>
      </w:r>
      <w:r>
        <w:rPr>
          <w:rFonts w:hint="eastAsia" w:ascii="宋体" w:hAnsi="宋体" w:eastAsia="宋体"/>
          <w:sz w:val="24"/>
        </w:rPr>
        <w:t>分。其他投标人的价格分别按照下列公式计算：</w:t>
      </w:r>
    </w:p>
    <w:p>
      <w:pPr>
        <w:adjustRightInd w:val="0"/>
        <w:snapToGrid w:val="0"/>
        <w:spacing w:line="360" w:lineRule="auto"/>
        <w:ind w:firstLine="480" w:firstLineChars="200"/>
        <w:outlineLvl w:val="2"/>
        <w:rPr>
          <w:rFonts w:asciiTheme="minorEastAsia" w:hAnsiTheme="minorEastAsia" w:eastAsiaTheme="minorEastAsia"/>
          <w:sz w:val="24"/>
        </w:rPr>
      </w:pPr>
      <w:r>
        <w:rPr>
          <w:rFonts w:hint="eastAsia" w:ascii="宋体" w:hAnsi="宋体" w:eastAsia="宋体"/>
          <w:sz w:val="24"/>
        </w:rPr>
        <w:t xml:space="preserve">   报价得分 =（评标基准价/报价）×</w:t>
      </w:r>
      <w:r>
        <w:rPr>
          <w:rFonts w:hint="eastAsia" w:ascii="宋体" w:hAnsi="宋体" w:eastAsia="宋体"/>
          <w:sz w:val="24"/>
          <w:lang w:val="en-US" w:eastAsia="zh-CN"/>
        </w:rPr>
        <w:t>40</w:t>
      </w:r>
      <w:r>
        <w:rPr>
          <w:rFonts w:hint="eastAsia" w:ascii="宋体" w:hAnsi="宋体" w:eastAsia="宋体"/>
          <w:sz w:val="24"/>
        </w:rPr>
        <w:t>%×100</w:t>
      </w:r>
    </w:p>
    <w:p>
      <w:pPr>
        <w:snapToGrid w:val="0"/>
        <w:spacing w:line="420" w:lineRule="exact"/>
        <w:ind w:firstLine="487" w:firstLineChars="202"/>
        <w:rPr>
          <w:rFonts w:asciiTheme="minorEastAsia" w:hAnsiTheme="minorEastAsia" w:eastAsiaTheme="minorEastAsia"/>
          <w:b/>
          <w:sz w:val="24"/>
          <w:szCs w:val="24"/>
        </w:rPr>
      </w:pPr>
      <w:r>
        <w:rPr>
          <w:rFonts w:hint="eastAsia" w:asciiTheme="minorEastAsia" w:hAnsiTheme="minorEastAsia" w:eastAsiaTheme="minorEastAsia"/>
          <w:b/>
          <w:sz w:val="24"/>
          <w:szCs w:val="24"/>
        </w:rPr>
        <w:t>（三）评标时评委对评标细则若有争议，由评标委员会评委集体讨论确定，并对未尽情况有最终解释权。</w:t>
      </w:r>
    </w:p>
    <w:p>
      <w:pPr>
        <w:adjustRightInd w:val="0"/>
        <w:snapToGrid w:val="0"/>
        <w:spacing w:line="420" w:lineRule="exact"/>
        <w:ind w:firstLine="482" w:firstLineChars="200"/>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（四）对落标的投标人不做落标原因的解释。</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六、出现下列情形之一的，作无效投标处理：</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未按照招标文件的规定提交投标保证金的；</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投标文件未按招标文件要求签署、盖章的；</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不具备招标文件中规定的资格要求的；</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报价超过招标文件中规定的预算金额或者最高限价的；</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投标文件含有招标人不能接受的附加条件的</w:t>
      </w:r>
      <w:r>
        <w:rPr>
          <w:rFonts w:hint="eastAsia" w:asciiTheme="minorEastAsia" w:hAnsiTheme="minorEastAsia" w:eastAsiaTheme="minorEastAsia"/>
          <w:sz w:val="24"/>
          <w:szCs w:val="24"/>
        </w:rPr>
        <w:t>；</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法律、法规和招标文件规定的其他无效情形。</w:t>
      </w:r>
    </w:p>
    <w:p>
      <w:pPr>
        <w:snapToGrid w:val="0"/>
        <w:spacing w:line="420" w:lineRule="exact"/>
        <w:ind w:firstLine="482" w:firstLineChars="200"/>
        <w:outlineLvl w:val="1"/>
        <w:rPr>
          <w:rFonts w:asciiTheme="minorEastAsia" w:hAnsiTheme="minorEastAsia" w:eastAsiaTheme="minorEastAsia"/>
          <w:sz w:val="24"/>
          <w:szCs w:val="24"/>
        </w:rPr>
      </w:pPr>
      <w:r>
        <w:rPr>
          <w:rFonts w:hint="eastAsia" w:asciiTheme="minorEastAsia" w:hAnsiTheme="minorEastAsia" w:eastAsiaTheme="minorEastAsia"/>
          <w:b/>
          <w:sz w:val="24"/>
          <w:szCs w:val="24"/>
        </w:rPr>
        <w:t>七、有下列情形之一的，视为投标人串通投标，其投标无效</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1、不同投标人的投标文件由同一单位或者个人编制；</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2、不同投标人委托同一单位或者个人办理投标事宜；</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3、不同投标人的投标文件载明的项目管理成员或者联系人员为同一人；</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4、不同投标人的投标文件异常一致或者投标报价呈规律性差异；</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5、不同投标人的投标文件相互混装；</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6、不同投标人的投标保证金从同一单位或者个人的账户转出。</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八、出现下列情形之一的，作废标处理：</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、出现影响采购公正的违法违规行为的；</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、所有投标人报价超出采购预算价的；</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、因重大变故，采购任务被取消的；</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、评标委员会依据法律法规可以认定为废标的其他情况。</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九、中标通知</w:t>
      </w:r>
    </w:p>
    <w:p>
      <w:pPr>
        <w:spacing w:line="420" w:lineRule="exact"/>
        <w:ind w:firstLine="484" w:firstLineChars="202"/>
        <w:rPr>
          <w:rFonts w:asciiTheme="minorEastAsia" w:hAnsiTheme="minorEastAsia" w:eastAsiaTheme="minorEastAsia"/>
          <w:kern w:val="0"/>
          <w:sz w:val="24"/>
          <w:szCs w:val="24"/>
        </w:rPr>
      </w:pPr>
      <w:r>
        <w:rPr>
          <w:rFonts w:asciiTheme="minorEastAsia" w:hAnsiTheme="minorEastAsia" w:eastAsiaTheme="minorEastAsia"/>
          <w:kern w:val="0"/>
          <w:sz w:val="24"/>
          <w:szCs w:val="24"/>
        </w:rPr>
        <w:t>1、开标结束后，招标</w:t>
      </w:r>
      <w:r>
        <w:rPr>
          <w:rFonts w:hint="eastAsia" w:asciiTheme="minorEastAsia" w:hAnsiTheme="minorEastAsia" w:eastAsiaTheme="minorEastAsia"/>
          <w:kern w:val="0"/>
          <w:sz w:val="24"/>
          <w:szCs w:val="24"/>
        </w:rPr>
        <w:t>采购单位自中标人确定之日起2个工作日内</w:t>
      </w:r>
      <w:r>
        <w:rPr>
          <w:rFonts w:asciiTheme="minorEastAsia" w:hAnsiTheme="minorEastAsia" w:eastAsiaTheme="minorEastAsia"/>
          <w:kern w:val="0"/>
          <w:sz w:val="24"/>
          <w:szCs w:val="24"/>
        </w:rPr>
        <w:t>在指定媒体上</w:t>
      </w:r>
      <w:r>
        <w:rPr>
          <w:rFonts w:hint="eastAsia" w:asciiTheme="minorEastAsia" w:hAnsiTheme="minorEastAsia" w:eastAsiaTheme="minorEastAsia"/>
          <w:kern w:val="0"/>
          <w:sz w:val="24"/>
          <w:szCs w:val="24"/>
        </w:rPr>
        <w:t>公告中标结果。</w:t>
      </w:r>
    </w:p>
    <w:p>
      <w:pPr>
        <w:spacing w:line="420" w:lineRule="exact"/>
        <w:ind w:firstLine="484" w:firstLineChars="202"/>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2、中标公告期限为3日，期限</w:t>
      </w:r>
      <w:r>
        <w:rPr>
          <w:rFonts w:asciiTheme="minorEastAsia" w:hAnsiTheme="minorEastAsia" w:eastAsiaTheme="minorEastAsia"/>
          <w:kern w:val="0"/>
          <w:sz w:val="24"/>
          <w:szCs w:val="24"/>
        </w:rPr>
        <w:t>结束后向中标人发出《中标通知书》。</w:t>
      </w:r>
    </w:p>
    <w:p>
      <w:pPr>
        <w:spacing w:line="420" w:lineRule="exact"/>
        <w:ind w:firstLine="484" w:firstLineChars="202"/>
        <w:rPr>
          <w:rFonts w:asciiTheme="minorEastAsia" w:hAnsiTheme="minorEastAsia" w:eastAsiaTheme="minorEastAsia"/>
          <w:b/>
          <w:kern w:val="0"/>
          <w:sz w:val="24"/>
          <w:szCs w:val="24"/>
        </w:rPr>
      </w:pPr>
      <w:r>
        <w:rPr>
          <w:rFonts w:asciiTheme="minorEastAsia" w:hAnsiTheme="minorEastAsia" w:eastAsiaTheme="minorEastAsia"/>
          <w:kern w:val="0"/>
          <w:sz w:val="24"/>
          <w:szCs w:val="24"/>
        </w:rPr>
        <w:t>3、《中标通知书》一经发出，即具有法律效力。招标人、中标人依法承担法律责任。</w:t>
      </w:r>
    </w:p>
    <w:p>
      <w:pPr>
        <w:tabs>
          <w:tab w:val="left" w:pos="1050"/>
          <w:tab w:val="right" w:leader="dot" w:pos="9402"/>
        </w:tabs>
        <w:spacing w:beforeLines="100" w:line="600" w:lineRule="exact"/>
        <w:jc w:val="center"/>
        <w:outlineLvl w:val="0"/>
        <w:rPr>
          <w:rFonts w:asciiTheme="minorEastAsia" w:hAnsiTheme="minorEastAsia" w:eastAsiaTheme="minorEastAsia"/>
          <w:b/>
          <w:w w:val="80"/>
          <w:sz w:val="32"/>
          <w:szCs w:val="32"/>
        </w:rPr>
      </w:pPr>
      <w:r>
        <w:rPr>
          <w:rFonts w:asciiTheme="minorEastAsia" w:hAnsiTheme="minorEastAsia" w:eastAsiaTheme="minorEastAsia"/>
          <w:b/>
          <w:w w:val="80"/>
          <w:sz w:val="32"/>
          <w:szCs w:val="32"/>
        </w:rPr>
        <w:br w:type="page"/>
      </w:r>
      <w:r>
        <w:rPr>
          <w:rFonts w:hint="eastAsia" w:asciiTheme="minorEastAsia" w:hAnsiTheme="minorEastAsia" w:eastAsiaTheme="minorEastAsia"/>
          <w:b/>
          <w:w w:val="80"/>
          <w:sz w:val="32"/>
          <w:szCs w:val="32"/>
        </w:rPr>
        <w:t>第五章  合同授予</w:t>
      </w:r>
      <w:bookmarkEnd w:id="5"/>
      <w:bookmarkStart w:id="7" w:name="_Toc94585343"/>
      <w:bookmarkStart w:id="8" w:name="_Toc363573858"/>
    </w:p>
    <w:p>
      <w:pPr>
        <w:spacing w:line="420" w:lineRule="exact"/>
        <w:ind w:firstLine="484" w:firstLineChars="202"/>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一、公示结束后，招标人签发入库中标通知书，合同后续按采购批次签订，合同签订后中标人方可履约，否则引起的一切后果由中标人自行承担。所签合同不得对招标文件作实质性修改。招标人不得向中标人提出不合理的要求作为签订合同的条件，不得与中标人私下订立背离招标文件实质性内容的协议。</w:t>
      </w:r>
    </w:p>
    <w:p>
      <w:pPr>
        <w:spacing w:line="420" w:lineRule="exact"/>
        <w:ind w:firstLine="484" w:firstLineChars="202"/>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二、付款具体按分批次签订的合同具体确定，每次合同签订前需缴纳合同价5%的价款作为履约保证金，具体以合同约定为准。</w:t>
      </w:r>
    </w:p>
    <w:p>
      <w:pPr>
        <w:spacing w:line="420" w:lineRule="exact"/>
        <w:ind w:firstLine="484" w:firstLineChars="202"/>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三、一旦发现中标人在投标中存在弄虚作假情形，合同立即终止，中标入围单位不得提出任何异议。</w:t>
      </w:r>
    </w:p>
    <w:p>
      <w:pPr>
        <w:spacing w:line="420" w:lineRule="exact"/>
        <w:ind w:firstLine="484" w:firstLineChars="202"/>
        <w:rPr>
          <w:rFonts w:hint="eastAsia" w:cs="Times New Roman" w:asciiTheme="minorEastAsia" w:hAnsiTheme="minorEastAsia" w:eastAsiaTheme="minorEastAsia"/>
          <w:kern w:val="0"/>
          <w:sz w:val="24"/>
          <w:szCs w:val="24"/>
        </w:rPr>
      </w:pPr>
    </w:p>
    <w:p>
      <w:pPr>
        <w:tabs>
          <w:tab w:val="left" w:pos="1050"/>
          <w:tab w:val="right" w:leader="dot" w:pos="9402"/>
        </w:tabs>
        <w:spacing w:beforeLines="100" w:line="600" w:lineRule="exact"/>
        <w:jc w:val="center"/>
        <w:outlineLvl w:val="0"/>
        <w:rPr>
          <w:rFonts w:asciiTheme="minorEastAsia" w:hAnsiTheme="minorEastAsia" w:eastAsiaTheme="minorEastAsia"/>
          <w:b/>
          <w:w w:val="80"/>
          <w:sz w:val="32"/>
          <w:szCs w:val="32"/>
        </w:rPr>
      </w:pPr>
    </w:p>
    <w:p>
      <w:pPr>
        <w:tabs>
          <w:tab w:val="left" w:pos="1050"/>
          <w:tab w:val="right" w:leader="dot" w:pos="9402"/>
        </w:tabs>
        <w:spacing w:beforeLines="100" w:line="600" w:lineRule="exact"/>
        <w:jc w:val="center"/>
        <w:outlineLvl w:val="0"/>
        <w:rPr>
          <w:rFonts w:asciiTheme="minorEastAsia" w:hAnsiTheme="minorEastAsia" w:eastAsiaTheme="minorEastAsia"/>
          <w:b/>
          <w:w w:val="80"/>
          <w:sz w:val="32"/>
          <w:szCs w:val="32"/>
        </w:rPr>
      </w:pPr>
    </w:p>
    <w:p>
      <w:pPr>
        <w:tabs>
          <w:tab w:val="left" w:pos="1050"/>
          <w:tab w:val="right" w:leader="dot" w:pos="9402"/>
        </w:tabs>
        <w:spacing w:beforeLines="100" w:line="600" w:lineRule="exact"/>
        <w:jc w:val="center"/>
        <w:outlineLvl w:val="0"/>
        <w:rPr>
          <w:rFonts w:asciiTheme="minorEastAsia" w:hAnsiTheme="minorEastAsia" w:eastAsiaTheme="minorEastAsia"/>
          <w:b/>
          <w:w w:val="80"/>
          <w:sz w:val="32"/>
          <w:szCs w:val="32"/>
        </w:rPr>
      </w:pPr>
    </w:p>
    <w:p>
      <w:pPr>
        <w:tabs>
          <w:tab w:val="left" w:pos="1050"/>
          <w:tab w:val="right" w:leader="dot" w:pos="9402"/>
        </w:tabs>
        <w:spacing w:beforeLines="100" w:line="600" w:lineRule="exact"/>
        <w:jc w:val="center"/>
        <w:outlineLvl w:val="0"/>
        <w:rPr>
          <w:rFonts w:asciiTheme="minorEastAsia" w:hAnsiTheme="minorEastAsia" w:eastAsiaTheme="minorEastAsia"/>
          <w:b/>
          <w:w w:val="80"/>
          <w:sz w:val="32"/>
          <w:szCs w:val="32"/>
        </w:rPr>
      </w:pPr>
    </w:p>
    <w:p>
      <w:pPr>
        <w:tabs>
          <w:tab w:val="left" w:pos="1050"/>
          <w:tab w:val="right" w:leader="dot" w:pos="9402"/>
        </w:tabs>
        <w:spacing w:beforeLines="100" w:line="600" w:lineRule="exact"/>
        <w:jc w:val="center"/>
        <w:outlineLvl w:val="0"/>
        <w:rPr>
          <w:rFonts w:asciiTheme="minorEastAsia" w:hAnsiTheme="minorEastAsia" w:eastAsiaTheme="minorEastAsia"/>
          <w:b/>
          <w:w w:val="80"/>
          <w:sz w:val="32"/>
          <w:szCs w:val="32"/>
        </w:rPr>
      </w:pPr>
    </w:p>
    <w:p>
      <w:pPr>
        <w:tabs>
          <w:tab w:val="left" w:pos="1050"/>
          <w:tab w:val="right" w:leader="dot" w:pos="9402"/>
        </w:tabs>
        <w:spacing w:beforeLines="100" w:line="600" w:lineRule="exact"/>
        <w:jc w:val="center"/>
        <w:outlineLvl w:val="0"/>
        <w:rPr>
          <w:rFonts w:asciiTheme="minorEastAsia" w:hAnsiTheme="minorEastAsia" w:eastAsiaTheme="minorEastAsia"/>
          <w:b/>
          <w:w w:val="80"/>
          <w:sz w:val="32"/>
          <w:szCs w:val="32"/>
        </w:rPr>
      </w:pPr>
    </w:p>
    <w:p>
      <w:pPr>
        <w:tabs>
          <w:tab w:val="left" w:pos="1050"/>
          <w:tab w:val="right" w:leader="dot" w:pos="9402"/>
        </w:tabs>
        <w:spacing w:beforeLines="100" w:line="600" w:lineRule="exact"/>
        <w:jc w:val="center"/>
        <w:outlineLvl w:val="0"/>
        <w:rPr>
          <w:rFonts w:asciiTheme="minorEastAsia" w:hAnsiTheme="minorEastAsia" w:eastAsiaTheme="minorEastAsia"/>
          <w:b/>
          <w:w w:val="80"/>
          <w:sz w:val="32"/>
          <w:szCs w:val="32"/>
        </w:rPr>
      </w:pPr>
    </w:p>
    <w:p>
      <w:pPr>
        <w:tabs>
          <w:tab w:val="left" w:pos="1050"/>
          <w:tab w:val="right" w:leader="dot" w:pos="9402"/>
        </w:tabs>
        <w:spacing w:beforeLines="100" w:line="600" w:lineRule="exact"/>
        <w:jc w:val="center"/>
        <w:outlineLvl w:val="0"/>
        <w:rPr>
          <w:rFonts w:asciiTheme="minorEastAsia" w:hAnsiTheme="minorEastAsia" w:eastAsiaTheme="minorEastAsia"/>
          <w:b/>
          <w:w w:val="80"/>
          <w:sz w:val="32"/>
          <w:szCs w:val="32"/>
        </w:rPr>
      </w:pPr>
    </w:p>
    <w:p>
      <w:pPr>
        <w:tabs>
          <w:tab w:val="left" w:pos="1050"/>
          <w:tab w:val="right" w:leader="dot" w:pos="9402"/>
        </w:tabs>
        <w:spacing w:beforeLines="100" w:line="600" w:lineRule="exact"/>
        <w:outlineLvl w:val="0"/>
        <w:rPr>
          <w:rFonts w:asciiTheme="minorEastAsia" w:hAnsiTheme="minorEastAsia" w:eastAsiaTheme="minorEastAsia"/>
          <w:b/>
          <w:w w:val="80"/>
          <w:sz w:val="32"/>
          <w:szCs w:val="32"/>
        </w:rPr>
      </w:pPr>
    </w:p>
    <w:p>
      <w:pPr>
        <w:pStyle w:val="24"/>
        <w:rPr>
          <w:rFonts w:asciiTheme="minorEastAsia" w:hAnsiTheme="minorEastAsia" w:eastAsiaTheme="minorEastAsia"/>
          <w:b/>
          <w:w w:val="80"/>
          <w:sz w:val="32"/>
          <w:szCs w:val="32"/>
        </w:rPr>
      </w:pPr>
    </w:p>
    <w:p>
      <w:pPr>
        <w:rPr>
          <w:rFonts w:asciiTheme="minorEastAsia" w:hAnsiTheme="minorEastAsia" w:eastAsiaTheme="minorEastAsia"/>
          <w:b/>
          <w:w w:val="80"/>
          <w:sz w:val="32"/>
          <w:szCs w:val="32"/>
        </w:rPr>
      </w:pPr>
    </w:p>
    <w:p>
      <w:pPr>
        <w:pStyle w:val="24"/>
        <w:rPr>
          <w:rFonts w:asciiTheme="minorEastAsia" w:hAnsiTheme="minorEastAsia" w:eastAsiaTheme="minorEastAsia"/>
          <w:b/>
          <w:w w:val="80"/>
          <w:sz w:val="32"/>
          <w:szCs w:val="32"/>
        </w:rPr>
      </w:pPr>
    </w:p>
    <w:p>
      <w:pPr>
        <w:rPr>
          <w:rFonts w:asciiTheme="minorEastAsia" w:hAnsiTheme="minorEastAsia" w:eastAsiaTheme="minorEastAsia"/>
          <w:b/>
          <w:w w:val="80"/>
          <w:sz w:val="32"/>
          <w:szCs w:val="32"/>
        </w:rPr>
      </w:pPr>
    </w:p>
    <w:p>
      <w:pPr>
        <w:pStyle w:val="24"/>
      </w:pPr>
    </w:p>
    <w:p>
      <w:pPr>
        <w:tabs>
          <w:tab w:val="left" w:pos="1050"/>
          <w:tab w:val="right" w:leader="dot" w:pos="9402"/>
        </w:tabs>
        <w:spacing w:beforeLines="100" w:line="600" w:lineRule="exact"/>
        <w:jc w:val="center"/>
        <w:outlineLvl w:val="0"/>
        <w:rPr>
          <w:rFonts w:asciiTheme="minorEastAsia" w:hAnsiTheme="minorEastAsia" w:eastAsiaTheme="minorEastAsia"/>
          <w:b/>
          <w:w w:val="80"/>
          <w:sz w:val="32"/>
          <w:szCs w:val="32"/>
        </w:rPr>
      </w:pPr>
      <w:r>
        <w:rPr>
          <w:rFonts w:hint="eastAsia" w:asciiTheme="minorEastAsia" w:hAnsiTheme="minorEastAsia" w:eastAsiaTheme="minorEastAsia"/>
          <w:b/>
          <w:w w:val="80"/>
          <w:sz w:val="32"/>
          <w:szCs w:val="32"/>
        </w:rPr>
        <w:t xml:space="preserve">第六章  </w:t>
      </w:r>
      <w:bookmarkEnd w:id="7"/>
      <w:r>
        <w:rPr>
          <w:rFonts w:hint="eastAsia" w:asciiTheme="minorEastAsia" w:hAnsiTheme="minorEastAsia" w:eastAsiaTheme="minorEastAsia"/>
          <w:b/>
          <w:w w:val="80"/>
          <w:sz w:val="32"/>
          <w:szCs w:val="32"/>
        </w:rPr>
        <w:t>履约验收及付款</w:t>
      </w:r>
      <w:bookmarkEnd w:id="8"/>
    </w:p>
    <w:p>
      <w:pPr>
        <w:spacing w:line="420" w:lineRule="exact"/>
        <w:ind w:firstLine="484" w:firstLineChars="202"/>
        <w:rPr>
          <w:rFonts w:asciiTheme="minorEastAsia" w:hAnsiTheme="minorEastAsia" w:eastAsiaTheme="minorEastAsia"/>
          <w:kern w:val="0"/>
          <w:sz w:val="24"/>
          <w:szCs w:val="24"/>
        </w:rPr>
      </w:pPr>
      <w:bookmarkStart w:id="9" w:name="_Toc363573859"/>
      <w:r>
        <w:rPr>
          <w:rFonts w:hint="eastAsia" w:asciiTheme="minorEastAsia" w:hAnsiTheme="minorEastAsia" w:eastAsiaTheme="minorEastAsia"/>
          <w:kern w:val="0"/>
          <w:sz w:val="24"/>
          <w:szCs w:val="24"/>
        </w:rPr>
        <w:t>一、招标人和中标人应相互配合，按采购合同约定积极组织本项目的实施，确保按时履约提供服务。</w:t>
      </w:r>
    </w:p>
    <w:p>
      <w:pPr>
        <w:spacing w:line="420" w:lineRule="exact"/>
        <w:ind w:firstLine="484" w:firstLineChars="202"/>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二、履约完成后，中标人应以书面形式向招标人提出验收申请，招标人接到申请后应及时组织验收。</w:t>
      </w:r>
    </w:p>
    <w:p>
      <w:pPr>
        <w:spacing w:line="420" w:lineRule="exact"/>
        <w:ind w:firstLine="484" w:firstLineChars="202"/>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三、招标人、中标人不按采购合同规定履约，出现违约情形，应当及时纠正或补偿，造成损失的，按合同约定追究违约责任；履约中发现有假冒、伪劣、走私产品、商业贿赂等违法情形的，应由招标人移交工商、质监、公安等行政执法部门依法查处。</w:t>
      </w:r>
    </w:p>
    <w:p>
      <w:pPr>
        <w:snapToGrid w:val="0"/>
        <w:spacing w:line="420" w:lineRule="exact"/>
        <w:ind w:firstLine="480" w:firstLineChars="200"/>
        <w:rPr>
          <w:rFonts w:asciiTheme="minorEastAsia" w:hAnsiTheme="minorEastAsia" w:eastAsiaTheme="minorEastAsia"/>
          <w:bCs/>
          <w:sz w:val="24"/>
          <w:szCs w:val="24"/>
          <w:highlight w:val="none"/>
          <w:lang w:val="zh-CN"/>
        </w:rPr>
      </w:pPr>
      <w:r>
        <w:rPr>
          <w:rFonts w:hint="eastAsia" w:asciiTheme="minorEastAsia" w:hAnsiTheme="minorEastAsia" w:eastAsiaTheme="minorEastAsia"/>
          <w:kern w:val="0"/>
          <w:sz w:val="24"/>
          <w:szCs w:val="24"/>
          <w:lang w:val="en-US" w:eastAsia="zh-CN"/>
        </w:rPr>
        <w:t>四</w:t>
      </w:r>
      <w:r>
        <w:rPr>
          <w:rFonts w:hint="eastAsia" w:asciiTheme="minorEastAsia" w:hAnsiTheme="minorEastAsia" w:eastAsiaTheme="minorEastAsia"/>
          <w:kern w:val="0"/>
          <w:sz w:val="24"/>
          <w:szCs w:val="24"/>
          <w:highlight w:val="none"/>
          <w:lang w:val="en-US" w:eastAsia="zh-CN"/>
        </w:rPr>
        <w:t>、</w:t>
      </w:r>
      <w:r>
        <w:rPr>
          <w:rFonts w:hint="eastAsia" w:asciiTheme="minorEastAsia" w:hAnsiTheme="minorEastAsia" w:eastAsiaTheme="minorEastAsia"/>
          <w:sz w:val="24"/>
          <w:szCs w:val="24"/>
          <w:highlight w:val="none"/>
        </w:rPr>
        <w:t>付款方</w:t>
      </w:r>
      <w:r>
        <w:rPr>
          <w:rFonts w:hint="eastAsia" w:asciiTheme="minorEastAsia" w:hAnsiTheme="minorEastAsia" w:eastAsiaTheme="minorEastAsia"/>
          <w:bCs/>
          <w:sz w:val="24"/>
          <w:szCs w:val="24"/>
          <w:highlight w:val="none"/>
          <w:lang w:val="zh-CN"/>
        </w:rPr>
        <w:t>式：</w:t>
      </w:r>
      <w:r>
        <w:rPr>
          <w:rFonts w:hint="eastAsia" w:asciiTheme="minorEastAsia" w:hAnsiTheme="minorEastAsia" w:eastAsiaTheme="minorEastAsia"/>
          <w:bCs/>
          <w:sz w:val="24"/>
          <w:szCs w:val="24"/>
          <w:highlight w:val="none"/>
          <w:lang w:val="zh-CN" w:eastAsia="zh-CN"/>
        </w:rPr>
        <w:t>交货结束，并通过正式验收、支付至该批次货款的100%。</w:t>
      </w:r>
    </w:p>
    <w:p>
      <w:pPr>
        <w:spacing w:line="420" w:lineRule="exact"/>
        <w:ind w:firstLine="484" w:firstLineChars="202"/>
        <w:rPr>
          <w:rFonts w:hint="default" w:asciiTheme="minorEastAsia" w:hAnsiTheme="minorEastAsia" w:eastAsiaTheme="minorEastAsia"/>
          <w:kern w:val="0"/>
          <w:sz w:val="24"/>
          <w:szCs w:val="24"/>
          <w:highlight w:val="none"/>
          <w:lang w:val="en-US" w:eastAsia="zh-CN"/>
        </w:rPr>
      </w:pPr>
    </w:p>
    <w:p>
      <w:pPr>
        <w:tabs>
          <w:tab w:val="left" w:pos="1050"/>
          <w:tab w:val="right" w:leader="dot" w:pos="9402"/>
        </w:tabs>
        <w:spacing w:beforeLines="100" w:line="600" w:lineRule="exact"/>
        <w:jc w:val="center"/>
        <w:outlineLvl w:val="0"/>
        <w:rPr>
          <w:rFonts w:asciiTheme="minorEastAsia" w:hAnsiTheme="minorEastAsia" w:eastAsiaTheme="minorEastAsia"/>
          <w:b/>
          <w:w w:val="80"/>
          <w:sz w:val="32"/>
          <w:szCs w:val="32"/>
        </w:rPr>
      </w:pPr>
      <w:r>
        <w:rPr>
          <w:rFonts w:asciiTheme="minorEastAsia" w:hAnsiTheme="minorEastAsia" w:eastAsiaTheme="minorEastAsia"/>
          <w:b/>
          <w:w w:val="80"/>
          <w:sz w:val="32"/>
          <w:szCs w:val="32"/>
        </w:rPr>
        <w:t>第</w:t>
      </w:r>
      <w:r>
        <w:rPr>
          <w:rFonts w:hint="eastAsia" w:asciiTheme="minorEastAsia" w:hAnsiTheme="minorEastAsia" w:eastAsiaTheme="minorEastAsia"/>
          <w:b/>
          <w:w w:val="80"/>
          <w:sz w:val="32"/>
          <w:szCs w:val="32"/>
        </w:rPr>
        <w:t>七</w:t>
      </w:r>
      <w:r>
        <w:rPr>
          <w:rFonts w:asciiTheme="minorEastAsia" w:hAnsiTheme="minorEastAsia" w:eastAsiaTheme="minorEastAsia"/>
          <w:b/>
          <w:w w:val="80"/>
          <w:sz w:val="32"/>
          <w:szCs w:val="32"/>
        </w:rPr>
        <w:t xml:space="preserve">章 </w:t>
      </w:r>
      <w:r>
        <w:rPr>
          <w:rFonts w:hint="eastAsia" w:asciiTheme="minorEastAsia" w:hAnsiTheme="minorEastAsia" w:eastAsiaTheme="minorEastAsia"/>
          <w:b/>
          <w:w w:val="80"/>
          <w:sz w:val="32"/>
          <w:szCs w:val="32"/>
        </w:rPr>
        <w:t xml:space="preserve"> 质疑与投诉</w:t>
      </w:r>
      <w:bookmarkEnd w:id="9"/>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一、质疑的提出</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1、质疑必须是直接参加本次招投标活动的当事人。</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2、取得招标文件的投标人应根据招标文件第二章 “投标人须知”中“第一条第4款”的约定提出质疑。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投标文件接收截止后未进行投标登记的投标人，不能就投标文件接收截止后的招标过程、中标结果提出质疑。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在招标过程中，凡主持人或评标委员会明确提出须由投标人确认的事项，投标人当场无异议的，事后不得提出质疑、投诉。</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3、提出质疑时，必须坚持“谁主张，谁举证”、“实事求是”的原则，不能臆测。</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属于须由法定部门调查、侦查或先行作出相关认定的事项，质疑人应当依法申请具有法定职权的部门查清、认定，并将相关结果提供给招标人、招标代理机构。</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招标人、招标代理机构不具有法定调查、认定的权限。</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4、对本次招投标有质疑的，须实名制以书面形式提出，不得进行匿名、虚假、恶意质疑。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质疑人应在质疑有效期内以书面形式提出《质疑函》。</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《质疑函》内容应包括质疑事项、主要内容、事实依据、适应法规条款、佐证材料等。</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质疑人应保证其提出的质疑内容及相关佐证材料的真实性及来源的合法性，并承担相应的法律责任。</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对不能提供相关佐证材料的、涉及商业秘密的、非书面形式的、非送达的、匿名的《质疑函》将不予受理，视作无效质疑。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相关佐证材料要具备客观性、关联性、合法性，无法查实的（如宣传册、媒体报道、猜测、推理等）不能作为佐证材料。</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招标人、招标代理机构不负责搜集相关佐证材料等工作。</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二、《质疑函》的受理和回复</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1、《质疑函》须由质疑人的法定代表人或参加本次招标授权人送达采购单位和招标人。</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对符合提出质疑要求的，招标人签收并出具《质疑受理通知书》并在7个工作日内以书面形式答复质疑人。在处理过程中，发现需要质疑人进一步补充相关佐证材料的，请质疑人在规定的时间内提供，质疑答复时间相应顺延。质疑人不能按时提供相关佐证材料的，视同放弃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3、对不符合提出质疑要求的《质疑函》，出具《质疑退回通知书》并提出相关补充材料要求，质疑人未在规定时间内提供补充佐证材料的，视同放弃质疑。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4、招标人负责将质疑人提交的质疑相关材料提供给相关专家或评标委员会审核，并将审核意见回复质疑人。</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必要时，可向被质疑投标人（以下称被质疑人）转发《质疑函》及相关佐证材料。</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被质疑人应当在要求的时间日期内，以书面形式作出说明回复，并提交相关证据。</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被质疑人在规定时间内，无正当理由未提交相关证据的，视同放弃说明权利，认可被质疑事项。</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5、因质疑情况复杂，组织论证或审查时间较长的，招标人以书面形式通知质疑人，可适当延长质疑回复处理时间。</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三、质疑处理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1、质疑成立的处理。招标人终止采购，并建议有关部门给相关当事人予以处理。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2、质疑不成立的处理：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（1）质疑人书面《申请撤回质疑函》。</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（2）质疑人在规定的时间内不配合进行质疑调查处理的，按自动撤回《质疑函》处理。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（3）质疑人不按《质疑函》格式就提出质疑的，视情列入不良投标人名单。</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质疑人不能提供相关佐证材料的，招标人已指出，质疑人仍然坚持提出质疑的，质疑人虽提供了相关佐证材料，但不能证明其质疑成立的，招标人请质疑人补充相关佐证材料，仍不能证明其质疑成立的，列入不良投标人名单。</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对明显有违背事实的、经相关专家或评委认定无依据的、经其他投标人举证无依据的质疑，列入不良投标人名单；同时，对其中每一项不成立的质疑给予质疑人1年内禁入采购活动的处理，依次类推；视情在南通市公共资源交易网、省、国家级相关媒体予以披露。</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（6）质疑人承担使用虚假材料或恶意方式质疑的法律责任。</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四、无佐证材料的举报作违约处理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投标人不得进行不提供相关佐证材料向有关部门的举报，否则对其在1至3年内禁入招标人单位的采购活动。</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无法查实的如宣传册、媒体报道、猜测、推理等，不作为相关佐证材料。</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五、投诉的提出</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质疑人对招标人的答复不满意或者招标人未在规定的时间内做出答复的，可以在答复期满后15个工作日内向招标人的上级主管部门投诉。</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六、投诉不成立的作违约处理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投标人进行质疑后，招标人回复质疑不成立，投标人仍进行投诉的，并最终投诉不成立的，对其在1至3年内禁入招标人单位的采购活动。</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七、质疑、举报、投诉不成立的等相关情况</w:t>
      </w:r>
    </w:p>
    <w:p>
      <w:pPr>
        <w:spacing w:line="420" w:lineRule="exact"/>
        <w:ind w:firstLine="484" w:firstLineChars="202"/>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《质疑函》、《质疑回复函》，质疑、举报、投诉不成立的等相关情况，视情在省市、国家级等相关媒体予以披露。并建议相关采购机构对该投标人同步实施1至3年内禁入。</w:t>
      </w:r>
    </w:p>
    <w:p>
      <w:pPr>
        <w:pStyle w:val="24"/>
        <w:rPr>
          <w:rFonts w:asciiTheme="minorEastAsia" w:hAnsiTheme="minorEastAsia" w:eastAsiaTheme="minorEastAsia"/>
          <w:kern w:val="0"/>
          <w:sz w:val="24"/>
          <w:szCs w:val="24"/>
        </w:rPr>
      </w:pPr>
    </w:p>
    <w:p>
      <w:pPr>
        <w:widowControl/>
        <w:jc w:val="left"/>
        <w:rPr>
          <w:rFonts w:asciiTheme="minorEastAsia" w:hAnsiTheme="minorEastAsia" w:eastAsiaTheme="minorEastAsia"/>
          <w:b/>
          <w:w w:val="80"/>
          <w:sz w:val="32"/>
          <w:szCs w:val="32"/>
        </w:rPr>
      </w:pPr>
      <w:bookmarkStart w:id="10" w:name="_Toc363573860"/>
      <w:r>
        <w:rPr>
          <w:rFonts w:asciiTheme="minorEastAsia" w:hAnsiTheme="minorEastAsia" w:eastAsiaTheme="minorEastAsia"/>
          <w:b/>
          <w:w w:val="80"/>
          <w:sz w:val="32"/>
          <w:szCs w:val="32"/>
        </w:rPr>
        <w:br w:type="page"/>
      </w:r>
    </w:p>
    <w:p>
      <w:pPr>
        <w:tabs>
          <w:tab w:val="left" w:pos="1050"/>
          <w:tab w:val="right" w:leader="dot" w:pos="9402"/>
        </w:tabs>
        <w:spacing w:beforeLines="100" w:line="600" w:lineRule="exact"/>
        <w:jc w:val="center"/>
        <w:outlineLvl w:val="0"/>
        <w:rPr>
          <w:rFonts w:asciiTheme="minorEastAsia" w:hAnsiTheme="minorEastAsia" w:eastAsiaTheme="minorEastAsia"/>
          <w:b/>
          <w:w w:val="80"/>
          <w:sz w:val="32"/>
          <w:szCs w:val="32"/>
        </w:rPr>
      </w:pPr>
      <w:r>
        <w:rPr>
          <w:rFonts w:hint="eastAsia" w:asciiTheme="minorEastAsia" w:hAnsiTheme="minorEastAsia" w:eastAsiaTheme="minorEastAsia"/>
          <w:b/>
          <w:w w:val="80"/>
          <w:sz w:val="32"/>
          <w:szCs w:val="32"/>
        </w:rPr>
        <w:t xml:space="preserve">第八章  </w:t>
      </w:r>
      <w:bookmarkEnd w:id="10"/>
      <w:r>
        <w:rPr>
          <w:rFonts w:hint="eastAsia" w:asciiTheme="minorEastAsia" w:hAnsiTheme="minorEastAsia" w:eastAsiaTheme="minorEastAsia"/>
          <w:b/>
          <w:w w:val="80"/>
          <w:sz w:val="32"/>
          <w:szCs w:val="32"/>
        </w:rPr>
        <w:t>投标文件的组成及格式</w:t>
      </w:r>
    </w:p>
    <w:p>
      <w:pPr>
        <w:adjustRightInd w:val="0"/>
        <w:snapToGrid w:val="0"/>
        <w:spacing w:line="420" w:lineRule="exact"/>
        <w:ind w:firstLine="487" w:firstLineChars="202"/>
        <w:jc w:val="left"/>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一、投标响应文件</w:t>
      </w:r>
    </w:p>
    <w:p>
      <w:pPr>
        <w:adjustRightInd w:val="0"/>
        <w:snapToGrid w:val="0"/>
        <w:spacing w:line="420" w:lineRule="exact"/>
        <w:ind w:firstLine="484" w:firstLineChars="202"/>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A、</w:t>
      </w:r>
      <w:r>
        <w:rPr>
          <w:rFonts w:asciiTheme="minorEastAsia" w:hAnsiTheme="minorEastAsia" w:eastAsiaTheme="minorEastAsia"/>
          <w:bCs/>
          <w:sz w:val="24"/>
          <w:szCs w:val="24"/>
        </w:rPr>
        <w:t>资格后审材料文件</w:t>
      </w:r>
      <w:r>
        <w:rPr>
          <w:rFonts w:hint="eastAsia" w:asciiTheme="minorEastAsia" w:hAnsiTheme="minorEastAsia" w:eastAsiaTheme="minorEastAsia"/>
          <w:sz w:val="24"/>
          <w:szCs w:val="24"/>
        </w:rPr>
        <w:t>（一个密封包，含一正二副文件）</w:t>
      </w:r>
    </w:p>
    <w:p>
      <w:pPr>
        <w:adjustRightInd w:val="0"/>
        <w:snapToGrid w:val="0"/>
        <w:spacing w:line="420" w:lineRule="exact"/>
        <w:ind w:firstLine="484" w:firstLineChars="202"/>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B、</w:t>
      </w:r>
      <w:r>
        <w:rPr>
          <w:rFonts w:asciiTheme="minorEastAsia" w:hAnsiTheme="minorEastAsia" w:eastAsiaTheme="minorEastAsia"/>
          <w:bCs/>
          <w:sz w:val="24"/>
          <w:szCs w:val="24"/>
        </w:rPr>
        <w:t>技术标响应文件</w:t>
      </w:r>
      <w:r>
        <w:rPr>
          <w:rFonts w:hint="eastAsia" w:asciiTheme="minorEastAsia" w:hAnsiTheme="minorEastAsia" w:eastAsiaTheme="minorEastAsia"/>
          <w:sz w:val="24"/>
          <w:szCs w:val="24"/>
        </w:rPr>
        <w:t>（一个密封包，含一正二副文件）</w:t>
      </w:r>
    </w:p>
    <w:p>
      <w:pPr>
        <w:adjustRightInd w:val="0"/>
        <w:snapToGrid w:val="0"/>
        <w:spacing w:line="420" w:lineRule="exact"/>
        <w:ind w:firstLine="484" w:firstLineChars="202"/>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C、</w:t>
      </w:r>
      <w:r>
        <w:rPr>
          <w:rFonts w:asciiTheme="minorEastAsia" w:hAnsiTheme="minorEastAsia" w:eastAsiaTheme="minorEastAsia"/>
          <w:bCs/>
          <w:sz w:val="24"/>
          <w:szCs w:val="24"/>
        </w:rPr>
        <w:t>价格标响应文件</w:t>
      </w:r>
      <w:r>
        <w:rPr>
          <w:rFonts w:hint="eastAsia" w:asciiTheme="minorEastAsia" w:hAnsiTheme="minorEastAsia" w:eastAsiaTheme="minorEastAsia"/>
          <w:sz w:val="24"/>
          <w:szCs w:val="24"/>
        </w:rPr>
        <w:t>（一个密封包，含一正二副文件）</w:t>
      </w:r>
    </w:p>
    <w:p>
      <w:pPr>
        <w:adjustRightInd w:val="0"/>
        <w:snapToGrid w:val="0"/>
        <w:spacing w:line="420" w:lineRule="exact"/>
        <w:ind w:firstLine="487" w:firstLineChars="202"/>
        <w:jc w:val="left"/>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二、投标响应文件封面范例</w:t>
      </w:r>
    </w:p>
    <w:p>
      <w:pPr>
        <w:spacing w:line="420" w:lineRule="exact"/>
        <w:jc w:val="center"/>
        <w:rPr>
          <w:rFonts w:cs="宋体" w:asciiTheme="minorEastAsia" w:hAnsiTheme="minorEastAsia" w:eastAsiaTheme="minorEastAsia"/>
          <w:bCs/>
          <w:sz w:val="24"/>
          <w:szCs w:val="24"/>
        </w:rPr>
      </w:pPr>
    </w:p>
    <w:p>
      <w:pPr>
        <w:spacing w:line="420" w:lineRule="exact"/>
        <w:jc w:val="center"/>
        <w:rPr>
          <w:rFonts w:cs="宋体" w:asciiTheme="minorEastAsia" w:hAnsiTheme="minorEastAsia" w:eastAsiaTheme="minorEastAsia"/>
          <w:bCs/>
          <w:sz w:val="24"/>
          <w:szCs w:val="24"/>
        </w:rPr>
      </w:pPr>
    </w:p>
    <w:p>
      <w:pPr>
        <w:spacing w:line="400" w:lineRule="exact"/>
        <w:jc w:val="center"/>
        <w:rPr>
          <w:rFonts w:asciiTheme="minorEastAsia" w:hAnsiTheme="minorEastAsia" w:eastAsiaTheme="minorEastAsia"/>
          <w:sz w:val="44"/>
          <w:szCs w:val="44"/>
        </w:rPr>
      </w:pPr>
      <w:r>
        <w:rPr>
          <w:rFonts w:hint="eastAsia" w:asciiTheme="minorEastAsia" w:hAnsiTheme="minorEastAsia" w:eastAsiaTheme="minorEastAsia"/>
          <w:sz w:val="36"/>
          <w:szCs w:val="22"/>
        </w:rPr>
        <w:t>项目</w:t>
      </w:r>
    </w:p>
    <w:p>
      <w:pPr>
        <w:spacing w:line="420" w:lineRule="exact"/>
        <w:jc w:val="center"/>
        <w:rPr>
          <w:rFonts w:cs="宋体" w:asciiTheme="minorEastAsia" w:hAnsiTheme="minorEastAsia" w:eastAsiaTheme="minorEastAsia"/>
          <w:bCs/>
          <w:sz w:val="24"/>
          <w:szCs w:val="24"/>
        </w:rPr>
      </w:pPr>
    </w:p>
    <w:p>
      <w:pPr>
        <w:spacing w:line="40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投标响应文件</w:t>
      </w:r>
    </w:p>
    <w:p>
      <w:pPr>
        <w:spacing w:line="420" w:lineRule="exact"/>
        <w:ind w:firstLine="1920" w:firstLineChars="800"/>
        <w:rPr>
          <w:rFonts w:asciiTheme="minorEastAsia" w:hAnsiTheme="minorEastAsia" w:eastAsiaTheme="minorEastAsia"/>
          <w:sz w:val="24"/>
          <w:szCs w:val="24"/>
        </w:rPr>
      </w:pPr>
    </w:p>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投标标文件，相应填写：</w:t>
      </w:r>
    </w:p>
    <w:p>
      <w:pPr>
        <w:spacing w:line="420" w:lineRule="exact"/>
        <w:ind w:firstLine="5040" w:firstLineChars="21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资格后审材料文件</w:t>
      </w:r>
    </w:p>
    <w:p>
      <w:pPr>
        <w:spacing w:line="420" w:lineRule="exact"/>
        <w:ind w:firstLine="5040" w:firstLineChars="21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技术标响应文件</w:t>
      </w:r>
    </w:p>
    <w:p>
      <w:pPr>
        <w:spacing w:line="420" w:lineRule="exact"/>
        <w:ind w:firstLine="5040" w:firstLineChars="21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价格标响应文件</w:t>
      </w:r>
    </w:p>
    <w:p>
      <w:pPr>
        <w:spacing w:line="420" w:lineRule="exact"/>
        <w:jc w:val="center"/>
        <w:rPr>
          <w:rFonts w:asciiTheme="minorEastAsia" w:hAnsiTheme="minorEastAsia" w:eastAsiaTheme="minorEastAsia"/>
          <w:b/>
          <w:sz w:val="24"/>
          <w:szCs w:val="24"/>
        </w:rPr>
      </w:pPr>
    </w:p>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（资格后审）</w:t>
      </w:r>
    </w:p>
    <w:p>
      <w:pPr>
        <w:spacing w:line="400" w:lineRule="exact"/>
        <w:jc w:val="center"/>
        <w:rPr>
          <w:rFonts w:asciiTheme="minorEastAsia" w:hAnsiTheme="minorEastAsia" w:eastAsiaTheme="minorEastAsia"/>
          <w:sz w:val="32"/>
          <w:szCs w:val="32"/>
        </w:rPr>
      </w:pPr>
    </w:p>
    <w:p>
      <w:pPr>
        <w:spacing w:line="420" w:lineRule="exact"/>
        <w:jc w:val="center"/>
        <w:rPr>
          <w:rFonts w:cs="宋体" w:asciiTheme="minorEastAsia" w:hAnsiTheme="minorEastAsia" w:eastAsiaTheme="minorEastAsia"/>
          <w:bCs/>
          <w:sz w:val="24"/>
          <w:szCs w:val="24"/>
        </w:rPr>
      </w:pPr>
    </w:p>
    <w:p>
      <w:pPr>
        <w:spacing w:line="400" w:lineRule="exact"/>
        <w:jc w:val="center"/>
        <w:rPr>
          <w:rFonts w:asciiTheme="minorEastAsia" w:hAnsiTheme="minorEastAsia" w:eastAsiaTheme="minorEastAsia"/>
          <w:sz w:val="32"/>
          <w:szCs w:val="32"/>
        </w:rPr>
      </w:pPr>
    </w:p>
    <w:p>
      <w:pPr>
        <w:spacing w:line="420" w:lineRule="exact"/>
        <w:jc w:val="center"/>
        <w:rPr>
          <w:rFonts w:cs="宋体" w:asciiTheme="minorEastAsia" w:hAnsiTheme="minorEastAsia" w:eastAsiaTheme="minorEastAsia"/>
          <w:bCs/>
          <w:sz w:val="24"/>
          <w:szCs w:val="24"/>
        </w:rPr>
      </w:pPr>
    </w:p>
    <w:p>
      <w:pPr>
        <w:spacing w:line="420" w:lineRule="exact"/>
        <w:jc w:val="center"/>
        <w:rPr>
          <w:rFonts w:cs="宋体" w:asciiTheme="minorEastAsia" w:hAnsiTheme="minorEastAsia" w:eastAsiaTheme="minorEastAsia"/>
          <w:bCs/>
          <w:sz w:val="24"/>
          <w:szCs w:val="24"/>
        </w:rPr>
      </w:pPr>
    </w:p>
    <w:p>
      <w:pPr>
        <w:spacing w:line="420" w:lineRule="exact"/>
        <w:jc w:val="center"/>
        <w:rPr>
          <w:rFonts w:cs="宋体" w:asciiTheme="minorEastAsia" w:hAnsiTheme="minorEastAsia" w:eastAsiaTheme="minorEastAsia"/>
          <w:bCs/>
          <w:sz w:val="24"/>
          <w:szCs w:val="24"/>
        </w:rPr>
      </w:pPr>
    </w:p>
    <w:p>
      <w:pPr>
        <w:spacing w:line="420" w:lineRule="exact"/>
        <w:jc w:val="center"/>
        <w:rPr>
          <w:rFonts w:cs="宋体" w:asciiTheme="minorEastAsia" w:hAnsiTheme="minorEastAsia" w:eastAsiaTheme="minorEastAsia"/>
          <w:bCs/>
          <w:sz w:val="24"/>
          <w:szCs w:val="24"/>
        </w:rPr>
      </w:pPr>
    </w:p>
    <w:p>
      <w:pPr>
        <w:spacing w:line="420" w:lineRule="exact"/>
        <w:jc w:val="center"/>
        <w:rPr>
          <w:rFonts w:cs="宋体" w:asciiTheme="minorEastAsia" w:hAnsiTheme="minorEastAsia" w:eastAsiaTheme="minorEastAsia"/>
          <w:bCs/>
          <w:sz w:val="24"/>
          <w:szCs w:val="24"/>
        </w:rPr>
      </w:pPr>
    </w:p>
    <w:p>
      <w:pPr>
        <w:spacing w:line="420" w:lineRule="exact"/>
        <w:jc w:val="center"/>
        <w:rPr>
          <w:rFonts w:cs="宋体" w:asciiTheme="minorEastAsia" w:hAnsiTheme="minorEastAsia" w:eastAsiaTheme="minorEastAsia"/>
          <w:bCs/>
          <w:sz w:val="24"/>
          <w:szCs w:val="24"/>
        </w:rPr>
      </w:pPr>
    </w:p>
    <w:p>
      <w:pPr>
        <w:adjustRightInd w:val="0"/>
        <w:snapToGrid w:val="0"/>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投标人：投标人全称</w:t>
      </w:r>
    </w:p>
    <w:p>
      <w:pPr>
        <w:snapToGrid w:val="0"/>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年     月     日</w:t>
      </w:r>
    </w:p>
    <w:p>
      <w:pPr>
        <w:spacing w:line="400" w:lineRule="exact"/>
        <w:jc w:val="center"/>
        <w:rPr>
          <w:rFonts w:asciiTheme="minorEastAsia" w:hAnsiTheme="minorEastAsia" w:eastAsiaTheme="minorEastAsia"/>
          <w:sz w:val="32"/>
          <w:szCs w:val="32"/>
        </w:rPr>
      </w:pPr>
    </w:p>
    <w:p>
      <w:pPr>
        <w:spacing w:line="400" w:lineRule="exact"/>
        <w:jc w:val="center"/>
        <w:rPr>
          <w:rFonts w:asciiTheme="minorEastAsia" w:hAnsiTheme="minorEastAsia" w:eastAsiaTheme="minorEastAsia"/>
          <w:sz w:val="32"/>
          <w:szCs w:val="32"/>
        </w:rPr>
      </w:pPr>
    </w:p>
    <w:p>
      <w:pPr>
        <w:spacing w:line="400" w:lineRule="exact"/>
        <w:jc w:val="center"/>
        <w:rPr>
          <w:rFonts w:asciiTheme="minorEastAsia" w:hAnsiTheme="minorEastAsia" w:eastAsiaTheme="minorEastAsia"/>
          <w:sz w:val="32"/>
          <w:szCs w:val="32"/>
        </w:rPr>
      </w:pPr>
    </w:p>
    <w:p>
      <w:pPr>
        <w:spacing w:line="400" w:lineRule="exact"/>
        <w:jc w:val="center"/>
        <w:rPr>
          <w:rFonts w:asciiTheme="minorEastAsia" w:hAnsiTheme="minorEastAsia" w:eastAsiaTheme="minorEastAsia"/>
          <w:sz w:val="32"/>
          <w:szCs w:val="32"/>
        </w:rPr>
      </w:pPr>
    </w:p>
    <w:p>
      <w:pPr>
        <w:widowControl/>
        <w:jc w:val="left"/>
        <w:rPr>
          <w:rFonts w:asciiTheme="minorEastAsia" w:hAnsiTheme="minorEastAsia" w:eastAsiaTheme="minorEastAsia"/>
          <w:b/>
          <w:sz w:val="24"/>
          <w:szCs w:val="24"/>
        </w:rPr>
      </w:pPr>
      <w:r>
        <w:rPr>
          <w:rFonts w:asciiTheme="minorEastAsia" w:hAnsiTheme="minorEastAsia" w:eastAsiaTheme="minorEastAsia"/>
          <w:b/>
          <w:sz w:val="24"/>
          <w:szCs w:val="24"/>
        </w:rPr>
        <w:br w:type="page"/>
      </w:r>
    </w:p>
    <w:p>
      <w:pPr>
        <w:adjustRightInd w:val="0"/>
        <w:snapToGrid w:val="0"/>
        <w:spacing w:line="420" w:lineRule="exact"/>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三、投标响应文件</w:t>
      </w:r>
    </w:p>
    <w:p>
      <w:pPr>
        <w:adjustRightInd w:val="0"/>
        <w:snapToGrid w:val="0"/>
        <w:spacing w:line="420" w:lineRule="exact"/>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A、资格后审材料文件</w:t>
      </w:r>
      <w:r>
        <w:rPr>
          <w:rFonts w:hint="eastAsia" w:asciiTheme="minorEastAsia" w:hAnsiTheme="minorEastAsia" w:eastAsiaTheme="minorEastAsia"/>
          <w:sz w:val="24"/>
          <w:szCs w:val="24"/>
        </w:rPr>
        <w:t>（一个密封包，含一正二副文件）</w:t>
      </w:r>
    </w:p>
    <w:p>
      <w:pPr>
        <w:snapToGrid w:val="0"/>
        <w:spacing w:line="420" w:lineRule="exact"/>
        <w:ind w:firstLine="491" w:firstLineChars="205"/>
        <w:rPr>
          <w:rFonts w:asciiTheme="minorEastAsia" w:hAnsiTheme="minorEastAsia" w:eastAsiaTheme="minorEastAsia"/>
          <w:sz w:val="24"/>
          <w:szCs w:val="24"/>
        </w:rPr>
      </w:pPr>
      <w:r>
        <w:rPr>
          <w:rFonts w:hint="eastAsia" w:asciiTheme="minorEastAsia" w:hAnsiTheme="minorEastAsia" w:eastAsiaTheme="minorEastAsia"/>
          <w:sz w:val="24"/>
          <w:szCs w:val="24"/>
        </w:rPr>
        <w:t>【特别提醒】单位负责人为同一人或者存在直接控股、管理关系的不同投标人，不得同时参与同一采购项目相同标段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招标人有权取消其中标资格，并由该投标人承担由此带来可能的一切责任和损失。</w:t>
      </w:r>
    </w:p>
    <w:p>
      <w:pPr>
        <w:adjustRightInd w:val="0"/>
        <w:snapToGrid w:val="0"/>
        <w:spacing w:line="420" w:lineRule="exact"/>
        <w:jc w:val="left"/>
        <w:outlineLvl w:val="3"/>
        <w:rPr>
          <w:rFonts w:asciiTheme="minorEastAsia" w:hAnsiTheme="minorEastAsia" w:eastAsiaTheme="minorEastAsia"/>
          <w:b/>
          <w:sz w:val="24"/>
          <w:szCs w:val="24"/>
        </w:rPr>
      </w:pPr>
      <w:r>
        <w:rPr>
          <w:rFonts w:hint="eastAsia" w:asciiTheme="minorEastAsia" w:hAnsiTheme="minorEastAsia" w:eastAsiaTheme="minorEastAsia"/>
          <w:b/>
          <w:sz w:val="24"/>
          <w:szCs w:val="24"/>
        </w:rPr>
        <w:t>A.1、目录</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51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blHeader/>
        </w:trPr>
        <w:tc>
          <w:tcPr>
            <w:tcW w:w="567"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7513"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资格后审材料文件 清单</w:t>
            </w:r>
          </w:p>
        </w:tc>
        <w:tc>
          <w:tcPr>
            <w:tcW w:w="1559"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自行判断有否提供（√）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67"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7513" w:type="dxa"/>
            <w:vAlign w:val="center"/>
          </w:tcPr>
          <w:p>
            <w:pPr>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提供投标人的《企业法人营业执照》（副本）及《税务登记证》（副本）（提供新版“三证合一”企业法人营业执照的除外）原件的复印件或（须加盖公章）。</w:t>
            </w:r>
          </w:p>
        </w:tc>
        <w:tc>
          <w:tcPr>
            <w:tcW w:w="1559" w:type="dxa"/>
            <w:vAlign w:val="center"/>
          </w:tcPr>
          <w:p>
            <w:pPr>
              <w:spacing w:line="42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67"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7513" w:type="dxa"/>
            <w:vAlign w:val="center"/>
          </w:tcPr>
          <w:p>
            <w:pPr>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参加投标的，必须提供本人身份证原件的复印件（须加盖公章）；非法定代表人参加的，必须提供法定代表人身份证明及其签名或盖章的授权委托书及被委托受权人身份证这3项材料的原件的复印件（须加盖公章）。</w:t>
            </w:r>
          </w:p>
        </w:tc>
        <w:tc>
          <w:tcPr>
            <w:tcW w:w="1559" w:type="dxa"/>
            <w:vAlign w:val="center"/>
          </w:tcPr>
          <w:p>
            <w:pPr>
              <w:spacing w:line="42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567" w:type="dxa"/>
            <w:vAlign w:val="center"/>
          </w:tcPr>
          <w:p>
            <w:pPr>
              <w:spacing w:line="42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3</w:t>
            </w:r>
          </w:p>
        </w:tc>
        <w:tc>
          <w:tcPr>
            <w:tcW w:w="7513" w:type="dxa"/>
            <w:vAlign w:val="center"/>
          </w:tcPr>
          <w:p>
            <w:pPr>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投标人还须提供本招标文件第八章投标文件的组成及格式中的“资格后审材料相关格式文件”内的：关于资格文件的声明函、投标人一般情况表。</w:t>
            </w:r>
          </w:p>
        </w:tc>
        <w:tc>
          <w:tcPr>
            <w:tcW w:w="1559" w:type="dxa"/>
            <w:vAlign w:val="center"/>
          </w:tcPr>
          <w:p>
            <w:pPr>
              <w:spacing w:line="420" w:lineRule="exact"/>
              <w:jc w:val="center"/>
              <w:rPr>
                <w:rFonts w:asciiTheme="minorEastAsia" w:hAnsiTheme="minorEastAsia" w:eastAsiaTheme="minorEastAsia"/>
                <w:sz w:val="24"/>
                <w:szCs w:val="24"/>
              </w:rPr>
            </w:pPr>
          </w:p>
        </w:tc>
      </w:tr>
    </w:tbl>
    <w:p>
      <w:pPr>
        <w:adjustRightInd w:val="0"/>
        <w:snapToGrid w:val="0"/>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法定代表人或被委托受权人签字：</w:t>
      </w:r>
    </w:p>
    <w:p>
      <w:pPr>
        <w:adjustRightInd w:val="0"/>
        <w:snapToGrid w:val="0"/>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（加盖投标人公章）</w:t>
      </w:r>
    </w:p>
    <w:p>
      <w:pPr>
        <w:adjustRightInd w:val="0"/>
        <w:snapToGrid w:val="0"/>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adjustRightInd w:val="0"/>
        <w:snapToGrid w:val="0"/>
        <w:spacing w:line="420" w:lineRule="exact"/>
        <w:ind w:left="1" w:firstLine="564" w:firstLineChars="235"/>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adjustRightInd w:val="0"/>
        <w:snapToGrid w:val="0"/>
        <w:spacing w:line="420" w:lineRule="exact"/>
        <w:ind w:left="1" w:firstLine="564" w:firstLineChars="235"/>
        <w:rPr>
          <w:rFonts w:asciiTheme="minorEastAsia" w:hAnsiTheme="minorEastAsia" w:eastAsiaTheme="minorEastAsia"/>
          <w:sz w:val="24"/>
          <w:szCs w:val="24"/>
        </w:rPr>
      </w:pPr>
      <w:r>
        <w:rPr>
          <w:rFonts w:hint="eastAsia" w:asciiTheme="minorEastAsia" w:hAnsiTheme="minorEastAsia" w:eastAsiaTheme="minorEastAsia"/>
          <w:sz w:val="24"/>
          <w:szCs w:val="24"/>
        </w:rPr>
        <w:t>（1）以上由投标人填写，作为提供的资格后审资料包内的资料首页清单目录。</w:t>
      </w:r>
    </w:p>
    <w:p>
      <w:pPr>
        <w:adjustRightInd w:val="0"/>
        <w:snapToGrid w:val="0"/>
        <w:spacing w:line="420" w:lineRule="exact"/>
        <w:ind w:left="1" w:firstLine="564" w:firstLineChars="235"/>
        <w:rPr>
          <w:rFonts w:asciiTheme="minorEastAsia" w:hAnsiTheme="minorEastAsia" w:eastAsiaTheme="minorEastAsia"/>
          <w:sz w:val="24"/>
          <w:szCs w:val="24"/>
        </w:rPr>
      </w:pPr>
      <w:r>
        <w:rPr>
          <w:rFonts w:hint="eastAsia" w:asciiTheme="minorEastAsia" w:hAnsiTheme="minorEastAsia" w:eastAsiaTheme="minorEastAsia"/>
          <w:sz w:val="24"/>
          <w:szCs w:val="24"/>
        </w:rPr>
        <w:t>（2）所有资格证明复印件、相关的格式文件及表格，须加盖公章装订成册，正本1份副本2份，供审查及留存！</w:t>
      </w:r>
    </w:p>
    <w:p>
      <w:pPr>
        <w:adjustRightInd w:val="0"/>
        <w:snapToGrid w:val="0"/>
        <w:spacing w:line="42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A.2、</w:t>
      </w:r>
      <w:r>
        <w:rPr>
          <w:rFonts w:asciiTheme="minorEastAsia" w:hAnsiTheme="minorEastAsia" w:eastAsiaTheme="minorEastAsia"/>
          <w:b/>
          <w:sz w:val="24"/>
          <w:szCs w:val="24"/>
        </w:rPr>
        <w:t>资格</w:t>
      </w:r>
      <w:r>
        <w:rPr>
          <w:rFonts w:hint="eastAsia" w:asciiTheme="minorEastAsia" w:hAnsiTheme="minorEastAsia" w:eastAsiaTheme="minorEastAsia"/>
          <w:b/>
          <w:sz w:val="24"/>
          <w:szCs w:val="24"/>
        </w:rPr>
        <w:t>后</w:t>
      </w:r>
      <w:r>
        <w:rPr>
          <w:rFonts w:asciiTheme="minorEastAsia" w:hAnsiTheme="minorEastAsia" w:eastAsiaTheme="minorEastAsia"/>
          <w:b/>
          <w:sz w:val="24"/>
          <w:szCs w:val="24"/>
        </w:rPr>
        <w:t>审</w:t>
      </w:r>
      <w:r>
        <w:rPr>
          <w:rFonts w:hint="eastAsia" w:asciiTheme="minorEastAsia" w:hAnsiTheme="minorEastAsia" w:eastAsiaTheme="minorEastAsia"/>
          <w:b/>
          <w:sz w:val="24"/>
          <w:szCs w:val="24"/>
        </w:rPr>
        <w:t>材料相关格式文件</w:t>
      </w:r>
    </w:p>
    <w:p>
      <w:pPr>
        <w:snapToGrid w:val="0"/>
        <w:spacing w:beforeLines="100" w:line="420" w:lineRule="exact"/>
        <w:jc w:val="center"/>
        <w:outlineLvl w:val="3"/>
        <w:rPr>
          <w:rFonts w:asciiTheme="minorEastAsia" w:hAnsiTheme="minorEastAsia" w:eastAsiaTheme="minorEastAsia"/>
          <w:b/>
          <w:bCs/>
          <w:sz w:val="24"/>
          <w:szCs w:val="24"/>
        </w:rPr>
      </w:pPr>
      <w:r>
        <w:rPr>
          <w:rFonts w:asciiTheme="minorEastAsia" w:hAnsiTheme="minorEastAsia" w:eastAsiaTheme="minorEastAsia"/>
          <w:b/>
          <w:bCs/>
          <w:sz w:val="24"/>
          <w:szCs w:val="24"/>
        </w:rPr>
        <w:t>1</w:t>
      </w:r>
      <w:r>
        <w:rPr>
          <w:rFonts w:hint="eastAsia" w:asciiTheme="minorEastAsia" w:hAnsiTheme="minorEastAsia" w:eastAsiaTheme="minorEastAsia"/>
          <w:b/>
          <w:bCs/>
          <w:sz w:val="24"/>
          <w:szCs w:val="24"/>
        </w:rPr>
        <w:t>、法定代表人身份证明</w:t>
      </w:r>
    </w:p>
    <w:p>
      <w:pPr>
        <w:snapToGrid w:val="0"/>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南通市保安服务有限公司</w:t>
      </w:r>
      <w:r>
        <w:rPr>
          <w:rFonts w:hint="eastAsia" w:asciiTheme="minorEastAsia" w:hAnsiTheme="minorEastAsia" w:eastAsiaTheme="minorEastAsia"/>
          <w:sz w:val="24"/>
          <w:szCs w:val="24"/>
        </w:rPr>
        <w:t>：</w:t>
      </w:r>
    </w:p>
    <w:p>
      <w:pPr>
        <w:snapToGrid w:val="0"/>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先生／女士：</w:t>
      </w:r>
      <w:r>
        <w:rPr>
          <w:rFonts w:hint="eastAsia" w:asciiTheme="minorEastAsia" w:hAnsiTheme="minorEastAsia" w:eastAsiaTheme="minorEastAsia"/>
          <w:sz w:val="24"/>
          <w:szCs w:val="24"/>
        </w:rPr>
        <w:t>现任我单位</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职务，为法定代表人，特此证明。</w:t>
      </w:r>
    </w:p>
    <w:p>
      <w:pPr>
        <w:snapToGrid w:val="0"/>
        <w:spacing w:line="42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p>
      <w:pPr>
        <w:snapToGrid w:val="0"/>
        <w:spacing w:line="420" w:lineRule="exact"/>
        <w:jc w:val="center"/>
        <w:rPr>
          <w:rFonts w:asciiTheme="minorEastAsia" w:hAnsiTheme="minorEastAsia" w:eastAsiaTheme="minorEastAsia"/>
          <w:sz w:val="24"/>
          <w:szCs w:val="24"/>
        </w:rPr>
      </w:pPr>
    </w:p>
    <w:p>
      <w:pPr>
        <w:snapToGrid w:val="0"/>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注：提供法定代表人的身份证复印件并加盖公章</w:t>
      </w:r>
    </w:p>
    <w:p>
      <w:pPr>
        <w:snapToGrid w:val="0"/>
        <w:spacing w:line="420" w:lineRule="exact"/>
        <w:jc w:val="center"/>
        <w:outlineLvl w:val="3"/>
        <w:rPr>
          <w:rFonts w:asciiTheme="minorEastAsia" w:hAnsiTheme="minorEastAsia" w:eastAsiaTheme="minorEastAsia"/>
          <w:b/>
          <w:bCs/>
          <w:sz w:val="24"/>
          <w:szCs w:val="24"/>
        </w:rPr>
      </w:pPr>
      <w:r>
        <w:rPr>
          <w:rFonts w:asciiTheme="minorEastAsia" w:hAnsiTheme="minorEastAsia" w:eastAsiaTheme="minorEastAsia"/>
          <w:b/>
          <w:bCs/>
          <w:sz w:val="24"/>
          <w:szCs w:val="24"/>
        </w:rPr>
        <w:t>2</w:t>
      </w:r>
      <w:r>
        <w:rPr>
          <w:rFonts w:hint="eastAsia" w:asciiTheme="minorEastAsia" w:hAnsiTheme="minorEastAsia" w:eastAsiaTheme="minorEastAsia"/>
          <w:b/>
          <w:bCs/>
          <w:sz w:val="24"/>
          <w:szCs w:val="24"/>
        </w:rPr>
        <w:t>、法定代表人授权委托书</w:t>
      </w:r>
    </w:p>
    <w:p>
      <w:pPr>
        <w:snapToGrid w:val="0"/>
        <w:spacing w:line="42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lang w:eastAsia="zh-CN"/>
        </w:rPr>
        <w:t>南通市保安服务有限公司</w:t>
      </w:r>
      <w:r>
        <w:rPr>
          <w:rFonts w:hint="eastAsia" w:asciiTheme="minorEastAsia" w:hAnsiTheme="minorEastAsia" w:eastAsiaTheme="minorEastAsia"/>
          <w:bCs/>
          <w:sz w:val="24"/>
          <w:szCs w:val="24"/>
        </w:rPr>
        <w:t>：</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（姓名）系</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（投标人名称）的法定代表人，现授权委托　　   （姓名）为我公司代理人，以本公司的名义参加本项目的投标活动。代理人在开标、评标、合同谈判过程中所签署的一切文件和处理与之有关的一切事务，我均予以承认。</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被委托受权人无转委权。</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特此委托。</w:t>
      </w:r>
    </w:p>
    <w:p>
      <w:pPr>
        <w:snapToGrid w:val="0"/>
        <w:spacing w:line="420" w:lineRule="exact"/>
        <w:ind w:firstLine="972" w:firstLineChars="405"/>
        <w:rPr>
          <w:rFonts w:asciiTheme="minorEastAsia" w:hAnsiTheme="minorEastAsia" w:eastAsiaTheme="minorEastAsia"/>
          <w:sz w:val="24"/>
          <w:szCs w:val="24"/>
        </w:rPr>
      </w:pPr>
    </w:p>
    <w:p>
      <w:pPr>
        <w:snapToGrid w:val="0"/>
        <w:spacing w:line="420" w:lineRule="exact"/>
        <w:ind w:firstLine="972" w:firstLineChars="405"/>
        <w:rPr>
          <w:rFonts w:asciiTheme="minorEastAsia" w:hAnsiTheme="minorEastAsia" w:eastAsiaTheme="minorEastAsia"/>
          <w:sz w:val="24"/>
          <w:szCs w:val="24"/>
        </w:rPr>
      </w:pPr>
      <w:r>
        <w:rPr>
          <w:rFonts w:hint="eastAsia" w:asciiTheme="minorEastAsia" w:hAnsiTheme="minorEastAsia" w:eastAsiaTheme="minorEastAsia"/>
          <w:sz w:val="24"/>
          <w:szCs w:val="24"/>
        </w:rPr>
        <w:t>被委托受权人身份证号：</w:t>
      </w:r>
    </w:p>
    <w:p>
      <w:pPr>
        <w:snapToGrid w:val="0"/>
        <w:spacing w:line="420" w:lineRule="exact"/>
        <w:ind w:firstLine="972" w:firstLineChars="405"/>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w:t>
      </w:r>
    </w:p>
    <w:p>
      <w:pPr>
        <w:snapToGrid w:val="0"/>
        <w:spacing w:line="420" w:lineRule="exact"/>
        <w:ind w:firstLine="972" w:firstLineChars="405"/>
        <w:rPr>
          <w:rFonts w:asciiTheme="minorEastAsia" w:hAnsiTheme="minorEastAsia" w:eastAsiaTheme="minorEastAsia"/>
          <w:sz w:val="24"/>
          <w:szCs w:val="24"/>
        </w:rPr>
      </w:pPr>
      <w:r>
        <w:rPr>
          <w:rFonts w:hint="eastAsia" w:asciiTheme="minorEastAsia" w:hAnsiTheme="minorEastAsia" w:eastAsiaTheme="minorEastAsia"/>
          <w:sz w:val="24"/>
          <w:szCs w:val="24"/>
        </w:rPr>
        <w:t>被委托受权人签字：</w:t>
      </w:r>
    </w:p>
    <w:p>
      <w:pPr>
        <w:snapToGrid w:val="0"/>
        <w:spacing w:line="420" w:lineRule="exact"/>
        <w:ind w:firstLine="484" w:firstLineChars="202"/>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snapToGrid w:val="0"/>
        <w:spacing w:line="420" w:lineRule="exact"/>
        <w:ind w:firstLine="484" w:firstLineChars="202"/>
        <w:jc w:val="right"/>
        <w:rPr>
          <w:rFonts w:asciiTheme="minorEastAsia" w:hAnsiTheme="minorEastAsia" w:eastAsiaTheme="minorEastAsia"/>
          <w:bCs/>
          <w:sz w:val="24"/>
          <w:szCs w:val="24"/>
        </w:rPr>
      </w:pPr>
      <w:r>
        <w:rPr>
          <w:rFonts w:hint="eastAsia" w:asciiTheme="minorEastAsia" w:hAnsiTheme="minorEastAsia" w:eastAsiaTheme="minorEastAsia"/>
          <w:bCs/>
          <w:sz w:val="24"/>
          <w:szCs w:val="24"/>
        </w:rPr>
        <w:t>年    月    日</w:t>
      </w:r>
    </w:p>
    <w:p>
      <w:pPr>
        <w:snapToGrid w:val="0"/>
        <w:spacing w:line="420" w:lineRule="exact"/>
        <w:ind w:firstLine="321" w:firstLineChars="134"/>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注：提供被委托受权人的身份证复印件盖公章</w:t>
      </w:r>
    </w:p>
    <w:p>
      <w:pPr>
        <w:snapToGrid w:val="0"/>
        <w:spacing w:line="420" w:lineRule="exact"/>
        <w:ind w:firstLine="321" w:firstLineChars="134"/>
        <w:jc w:val="center"/>
        <w:rPr>
          <w:rFonts w:asciiTheme="minorEastAsia" w:hAnsiTheme="minorEastAsia" w:eastAsiaTheme="minorEastAsia"/>
          <w:sz w:val="24"/>
          <w:szCs w:val="24"/>
        </w:rPr>
      </w:pPr>
    </w:p>
    <w:p>
      <w:pPr>
        <w:pStyle w:val="24"/>
      </w:pPr>
    </w:p>
    <w:p>
      <w:pPr>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声明人：（公章）</w:t>
      </w:r>
    </w:p>
    <w:p>
      <w:pPr>
        <w:spacing w:line="420" w:lineRule="exact"/>
        <w:jc w:val="righ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w:t>
      </w:r>
    </w:p>
    <w:p>
      <w:pPr>
        <w:spacing w:line="420" w:lineRule="exact"/>
        <w:rPr>
          <w:rFonts w:asciiTheme="minorEastAsia" w:hAnsiTheme="minorEastAsia" w:eastAsiaTheme="minorEastAsia"/>
          <w:sz w:val="24"/>
          <w:szCs w:val="24"/>
        </w:rPr>
      </w:pPr>
    </w:p>
    <w:p>
      <w:pPr>
        <w:snapToGrid w:val="0"/>
        <w:spacing w:line="420" w:lineRule="exact"/>
        <w:jc w:val="center"/>
        <w:outlineLvl w:val="3"/>
        <w:rPr>
          <w:rFonts w:asciiTheme="minorEastAsia" w:hAnsiTheme="minorEastAsia" w:eastAsiaTheme="minorEastAsia"/>
          <w:sz w:val="24"/>
          <w:szCs w:val="24"/>
        </w:rPr>
      </w:pPr>
      <w:r>
        <w:rPr>
          <w:rFonts w:hint="eastAsia" w:asciiTheme="minorEastAsia" w:hAnsiTheme="minorEastAsia" w:eastAsiaTheme="minorEastAsia"/>
          <w:b/>
          <w:bCs/>
          <w:sz w:val="24"/>
          <w:szCs w:val="24"/>
        </w:rPr>
        <w:t>3、关于资格文件的声明函</w:t>
      </w:r>
    </w:p>
    <w:p>
      <w:pPr>
        <w:snapToGrid w:val="0"/>
        <w:spacing w:line="42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lang w:eastAsia="zh-CN"/>
        </w:rPr>
        <w:t>南通市保安服务有限公司</w:t>
      </w:r>
      <w:r>
        <w:rPr>
          <w:rFonts w:hint="eastAsia" w:asciiTheme="minorEastAsia" w:hAnsiTheme="minorEastAsia" w:eastAsiaTheme="minorEastAsia"/>
          <w:bCs/>
          <w:sz w:val="24"/>
          <w:szCs w:val="24"/>
        </w:rPr>
        <w:t>：</w:t>
      </w:r>
    </w:p>
    <w:p>
      <w:pPr>
        <w:overflowPunct w:val="0"/>
        <w:adjustRightInd w:val="0"/>
        <w:spacing w:line="420" w:lineRule="exact"/>
        <w:ind w:firstLine="660"/>
        <w:jc w:val="lef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本公司愿就由贵公司组织实施的的招标活动进行投标。本公司所提交的投标文件中所有关于投标资格的文件、证明和陈述均是真实的、准确的。若与真实情况不符，本公司愿意承担由此而产生的一切后果。</w:t>
      </w:r>
    </w:p>
    <w:p>
      <w:pPr>
        <w:snapToGrid w:val="0"/>
        <w:spacing w:line="420" w:lineRule="exact"/>
        <w:ind w:firstLine="2400" w:firstLineChars="10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：（加盖公章）</w:t>
      </w:r>
    </w:p>
    <w:p>
      <w:pPr>
        <w:snapToGrid w:val="0"/>
        <w:spacing w:line="420" w:lineRule="exact"/>
        <w:ind w:firstLine="2400" w:firstLineChars="1000"/>
        <w:jc w:val="right"/>
        <w:rPr>
          <w:rFonts w:asciiTheme="minorEastAsia" w:hAnsiTheme="minorEastAsia" w:eastAsiaTheme="minorEastAsia"/>
          <w:sz w:val="24"/>
          <w:szCs w:val="24"/>
        </w:rPr>
      </w:pPr>
      <w:r>
        <w:rPr>
          <w:rFonts w:asciiTheme="minorEastAsia" w:hAnsiTheme="minorEastAsia" w:eastAsiaTheme="minorEastAsia"/>
          <w:sz w:val="24"/>
          <w:szCs w:val="24"/>
        </w:rPr>
        <w:t>法定代表人或</w:t>
      </w:r>
      <w:r>
        <w:rPr>
          <w:rFonts w:hint="eastAsia" w:asciiTheme="minorEastAsia" w:hAnsiTheme="minorEastAsia" w:eastAsiaTheme="minorEastAsia"/>
          <w:sz w:val="24"/>
          <w:szCs w:val="24"/>
        </w:rPr>
        <w:t>被委托受权人</w:t>
      </w:r>
      <w:r>
        <w:rPr>
          <w:rFonts w:asciiTheme="minorEastAsia" w:hAnsiTheme="minorEastAsia" w:eastAsiaTheme="minorEastAsia"/>
          <w:sz w:val="24"/>
          <w:szCs w:val="24"/>
        </w:rPr>
        <w:t>：（签字）</w:t>
      </w:r>
    </w:p>
    <w:p>
      <w:pPr>
        <w:overflowPunct w:val="0"/>
        <w:adjustRightInd w:val="0"/>
        <w:spacing w:line="420" w:lineRule="exact"/>
        <w:ind w:left="1700" w:firstLine="425"/>
        <w:jc w:val="right"/>
        <w:textAlignment w:val="baseline"/>
        <w:rPr>
          <w:rFonts w:asciiTheme="minorEastAsia" w:hAnsiTheme="minorEastAsia" w:eastAsiaTheme="minorEastAsia"/>
          <w:sz w:val="24"/>
          <w:szCs w:val="24"/>
        </w:rPr>
      </w:pPr>
    </w:p>
    <w:p>
      <w:pPr>
        <w:wordWrap w:val="0"/>
        <w:overflowPunct w:val="0"/>
        <w:adjustRightInd w:val="0"/>
        <w:spacing w:line="420" w:lineRule="exact"/>
        <w:ind w:firstLine="425"/>
        <w:jc w:val="righ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月 </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日</w:t>
      </w:r>
    </w:p>
    <w:p>
      <w:pPr>
        <w:snapToGrid w:val="0"/>
        <w:spacing w:line="420" w:lineRule="exact"/>
        <w:jc w:val="center"/>
        <w:outlineLvl w:val="3"/>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4、投标人一般情况</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10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企业名称</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地址</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当地</w:t>
            </w:r>
            <w:r>
              <w:rPr>
                <w:rFonts w:hint="eastAsia" w:asciiTheme="minorEastAsia" w:hAnsiTheme="minorEastAsia" w:eastAsiaTheme="minorEastAsia"/>
                <w:sz w:val="24"/>
                <w:szCs w:val="24"/>
              </w:rPr>
              <w:t>分支机构</w:t>
            </w:r>
            <w:r>
              <w:rPr>
                <w:rFonts w:asciiTheme="minorEastAsia" w:hAnsiTheme="minorEastAsia" w:eastAsiaTheme="minorEastAsia"/>
                <w:sz w:val="24"/>
                <w:szCs w:val="24"/>
              </w:rPr>
              <w:t>地址</w:t>
            </w:r>
            <w:r>
              <w:rPr>
                <w:rFonts w:hint="eastAsia" w:asciiTheme="minorEastAsia" w:hAnsiTheme="minorEastAsia" w:eastAsiaTheme="minorEastAsia"/>
                <w:sz w:val="24"/>
                <w:szCs w:val="24"/>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510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电话</w:t>
            </w:r>
            <w:r>
              <w:rPr>
                <w:rFonts w:hint="eastAsia" w:asciiTheme="minorEastAsia" w:hAnsiTheme="minorEastAsia" w:eastAsiaTheme="minorEastAsia"/>
                <w:sz w:val="24"/>
                <w:szCs w:val="24"/>
              </w:rPr>
              <w:t>：</w:t>
            </w:r>
          </w:p>
        </w:tc>
        <w:tc>
          <w:tcPr>
            <w:tcW w:w="354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联系人</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510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传真</w:t>
            </w:r>
            <w:r>
              <w:rPr>
                <w:rFonts w:hint="eastAsia" w:asciiTheme="minorEastAsia" w:hAnsiTheme="minorEastAsia" w:eastAsiaTheme="minorEastAsia"/>
                <w:sz w:val="24"/>
                <w:szCs w:val="24"/>
              </w:rPr>
              <w:t>：</w:t>
            </w:r>
          </w:p>
        </w:tc>
        <w:tc>
          <w:tcPr>
            <w:tcW w:w="354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电子邮件</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6</w:t>
            </w:r>
          </w:p>
        </w:tc>
        <w:tc>
          <w:tcPr>
            <w:tcW w:w="510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注册地</w:t>
            </w:r>
            <w:r>
              <w:rPr>
                <w:rFonts w:hint="eastAsia" w:asciiTheme="minorEastAsia" w:hAnsiTheme="minorEastAsia" w:eastAsiaTheme="minorEastAsia"/>
                <w:sz w:val="24"/>
                <w:szCs w:val="24"/>
              </w:rPr>
              <w:t>：</w:t>
            </w:r>
          </w:p>
        </w:tc>
        <w:tc>
          <w:tcPr>
            <w:tcW w:w="354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注册年份</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7</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公司资质等级证书号（请附有关证书的复印件）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8</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公司</w:t>
            </w:r>
            <w:r>
              <w:rPr>
                <w:rFonts w:asciiTheme="minorEastAsia" w:hAnsiTheme="minorEastAsia" w:eastAsiaTheme="minorEastAsia"/>
                <w:sz w:val="24"/>
                <w:szCs w:val="24"/>
                <w:u w:val="single"/>
              </w:rPr>
              <w:t xml:space="preserve">   （是否通过，何种）   </w:t>
            </w:r>
            <w:r>
              <w:rPr>
                <w:rFonts w:asciiTheme="minorEastAsia" w:hAnsiTheme="minorEastAsia" w:eastAsiaTheme="minorEastAsia"/>
                <w:sz w:val="24"/>
                <w:szCs w:val="24"/>
              </w:rPr>
              <w:t>质量保证体系认证（如通过请附相关证书复印件）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9</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经</w:t>
            </w:r>
            <w:r>
              <w:rPr>
                <w:rFonts w:asciiTheme="minorEastAsia" w:hAnsiTheme="minorEastAsia" w:eastAsiaTheme="minorEastAsia"/>
                <w:sz w:val="24"/>
                <w:szCs w:val="24"/>
              </w:rPr>
              <w:t>营范围</w:t>
            </w:r>
            <w:r>
              <w:rPr>
                <w:rFonts w:hint="eastAsia" w:asciiTheme="minorEastAsia" w:hAnsiTheme="minorEastAsia" w:eastAsiaTheme="minorEastAsia"/>
                <w:sz w:val="24"/>
                <w:szCs w:val="24"/>
              </w:rPr>
              <w:t>：</w:t>
            </w:r>
          </w:p>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；2.；</w:t>
            </w: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10</w:t>
            </w:r>
          </w:p>
        </w:tc>
        <w:tc>
          <w:tcPr>
            <w:tcW w:w="5103" w:type="dxa"/>
            <w:vAlign w:val="center"/>
          </w:tcPr>
          <w:p>
            <w:pPr>
              <w:tabs>
                <w:tab w:val="left" w:pos="993"/>
              </w:tabs>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投标人从事投标项目的</w:t>
            </w:r>
            <w:r>
              <w:rPr>
                <w:rFonts w:asciiTheme="minorEastAsia" w:hAnsiTheme="minorEastAsia" w:eastAsiaTheme="minorEastAsia"/>
                <w:sz w:val="24"/>
                <w:szCs w:val="24"/>
              </w:rPr>
              <w:t>年数</w:t>
            </w:r>
          </w:p>
        </w:tc>
        <w:tc>
          <w:tcPr>
            <w:tcW w:w="3543" w:type="dxa"/>
            <w:vAlign w:val="center"/>
          </w:tcPr>
          <w:p>
            <w:pPr>
              <w:tabs>
                <w:tab w:val="left" w:pos="993"/>
              </w:tabs>
              <w:spacing w:line="420" w:lineRule="exac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1</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其他需要说明的情况</w:t>
            </w:r>
            <w:r>
              <w:rPr>
                <w:rFonts w:hint="eastAsia" w:asciiTheme="minorEastAsia" w:hAnsiTheme="minorEastAsia" w:eastAsiaTheme="minorEastAsia"/>
                <w:sz w:val="24"/>
                <w:szCs w:val="24"/>
              </w:rPr>
              <w:t>，可自行添加</w:t>
            </w:r>
          </w:p>
        </w:tc>
      </w:tr>
    </w:tbl>
    <w:p>
      <w:pPr>
        <w:pStyle w:val="6"/>
        <w:overflowPunct w:val="0"/>
        <w:spacing w:line="420" w:lineRule="exact"/>
        <w:ind w:firstLine="0"/>
        <w:rPr>
          <w:rFonts w:asciiTheme="minorEastAsia" w:hAnsiTheme="minorEastAsia" w:eastAsiaTheme="minorEastAsia"/>
          <w:szCs w:val="24"/>
        </w:rPr>
      </w:pPr>
      <w:r>
        <w:rPr>
          <w:rFonts w:hint="eastAsia" w:asciiTheme="minorEastAsia" w:hAnsiTheme="minorEastAsia" w:eastAsiaTheme="minorEastAsia"/>
          <w:szCs w:val="24"/>
        </w:rPr>
        <w:t xml:space="preserve">投标人：（盖章）             </w:t>
      </w:r>
    </w:p>
    <w:p>
      <w:pPr>
        <w:pStyle w:val="6"/>
        <w:overflowPunct w:val="0"/>
        <w:spacing w:line="420" w:lineRule="exact"/>
        <w:ind w:firstLine="0"/>
        <w:rPr>
          <w:rFonts w:asciiTheme="minorEastAsia" w:hAnsiTheme="minorEastAsia" w:eastAsiaTheme="minorEastAsia"/>
          <w:szCs w:val="24"/>
        </w:rPr>
      </w:pPr>
      <w:r>
        <w:rPr>
          <w:rFonts w:hint="eastAsia" w:asciiTheme="minorEastAsia" w:hAnsiTheme="minorEastAsia" w:eastAsiaTheme="minorEastAsia"/>
          <w:szCs w:val="24"/>
        </w:rPr>
        <w:t>法定代表人或被委托受权人（签字）：</w:t>
      </w:r>
    </w:p>
    <w:p>
      <w:pPr>
        <w:pStyle w:val="6"/>
        <w:overflowPunct w:val="0"/>
        <w:spacing w:line="420" w:lineRule="exact"/>
        <w:ind w:firstLine="0"/>
        <w:rPr>
          <w:rFonts w:asciiTheme="minorEastAsia" w:hAnsiTheme="minorEastAsia" w:eastAsiaTheme="minorEastAsia"/>
          <w:szCs w:val="24"/>
        </w:rPr>
      </w:pPr>
      <w:r>
        <w:rPr>
          <w:rFonts w:hint="eastAsia" w:asciiTheme="minorEastAsia" w:hAnsiTheme="minorEastAsia" w:eastAsiaTheme="minorEastAsia"/>
          <w:szCs w:val="24"/>
        </w:rPr>
        <w:t>日期：</w:t>
      </w:r>
    </w:p>
    <w:p>
      <w:pPr>
        <w:adjustRightInd w:val="0"/>
        <w:snapToGrid w:val="0"/>
        <w:spacing w:line="420" w:lineRule="exact"/>
        <w:ind w:left="1159" w:leftChars="1" w:hanging="1156" w:hangingChars="482"/>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注：本表不是格式化表格，投标人可根据需要，自行添加删除。</w:t>
      </w:r>
    </w:p>
    <w:p>
      <w:pPr>
        <w:snapToGrid w:val="0"/>
        <w:spacing w:line="420" w:lineRule="exact"/>
        <w:jc w:val="center"/>
        <w:outlineLvl w:val="3"/>
        <w:rPr>
          <w:rFonts w:asciiTheme="minorEastAsia" w:hAnsiTheme="minorEastAsia" w:eastAsiaTheme="minorEastAsia"/>
          <w:b/>
          <w:bCs/>
          <w:sz w:val="24"/>
          <w:szCs w:val="24"/>
        </w:rPr>
      </w:pPr>
    </w:p>
    <w:p>
      <w:pPr>
        <w:snapToGrid w:val="0"/>
        <w:spacing w:line="420" w:lineRule="exact"/>
        <w:jc w:val="center"/>
        <w:outlineLvl w:val="3"/>
        <w:rPr>
          <w:rFonts w:asciiTheme="minorEastAsia" w:hAnsiTheme="minorEastAsia" w:eastAsiaTheme="minorEastAsia"/>
          <w:b/>
          <w:bCs/>
          <w:sz w:val="24"/>
          <w:szCs w:val="24"/>
        </w:rPr>
      </w:pPr>
    </w:p>
    <w:p>
      <w:pPr>
        <w:adjustRightInd w:val="0"/>
        <w:snapToGrid w:val="0"/>
        <w:spacing w:line="420" w:lineRule="exact"/>
        <w:ind w:left="1159" w:leftChars="1" w:hanging="1156" w:hangingChars="482"/>
        <w:jc w:val="left"/>
        <w:rPr>
          <w:rFonts w:asciiTheme="minorEastAsia" w:hAnsiTheme="minorEastAsia" w:eastAsiaTheme="minorEastAsia"/>
          <w:sz w:val="24"/>
          <w:szCs w:val="24"/>
        </w:rPr>
      </w:pPr>
    </w:p>
    <w:p>
      <w:pPr>
        <w:adjustRightInd w:val="0"/>
        <w:snapToGrid w:val="0"/>
        <w:spacing w:line="420" w:lineRule="exact"/>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B</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技术招标响应文件</w:t>
      </w:r>
      <w:r>
        <w:rPr>
          <w:rFonts w:hint="eastAsia" w:asciiTheme="minorEastAsia" w:hAnsiTheme="minorEastAsia" w:eastAsiaTheme="minorEastAsia"/>
          <w:sz w:val="24"/>
          <w:szCs w:val="24"/>
        </w:rPr>
        <w:t>（一个密封包，含一正二副文件）</w:t>
      </w:r>
    </w:p>
    <w:p>
      <w:pPr>
        <w:snapToGrid w:val="0"/>
        <w:spacing w:line="420" w:lineRule="exact"/>
        <w:ind w:firstLine="491" w:firstLineChars="205"/>
        <w:rPr>
          <w:rFonts w:asciiTheme="minorEastAsia" w:hAnsiTheme="minorEastAsia" w:eastAsiaTheme="minorEastAsia"/>
          <w:sz w:val="24"/>
          <w:szCs w:val="24"/>
          <w:u w:val="thick" w:color="FF0000"/>
        </w:rPr>
      </w:pPr>
      <w:r>
        <w:rPr>
          <w:rFonts w:hint="eastAsia" w:asciiTheme="minorEastAsia" w:hAnsiTheme="minorEastAsia" w:eastAsiaTheme="minorEastAsia"/>
          <w:sz w:val="24"/>
          <w:szCs w:val="24"/>
        </w:rPr>
        <w:t>【特别提醒】</w:t>
      </w:r>
      <w:r>
        <w:rPr>
          <w:rFonts w:hint="eastAsia" w:asciiTheme="minorEastAsia" w:hAnsiTheme="minorEastAsia" w:eastAsiaTheme="minorEastAsia"/>
          <w:sz w:val="24"/>
          <w:szCs w:val="24"/>
          <w:u w:color="FF0000"/>
        </w:rPr>
        <w:t>投标人应根据本标书第三章“项目需求”提供的主要技术规范要求和服务标准等，仔细阅读并在理解的基础上</w:t>
      </w:r>
      <w:r>
        <w:rPr>
          <w:rFonts w:hint="eastAsia" w:asciiTheme="minorEastAsia" w:hAnsiTheme="minorEastAsia" w:eastAsiaTheme="minorEastAsia"/>
          <w:sz w:val="24"/>
          <w:szCs w:val="24"/>
          <w:u w:val="thick" w:color="FF0000"/>
        </w:rPr>
        <w:t>结合第四章评审方法内的评审细则</w:t>
      </w:r>
      <w:r>
        <w:rPr>
          <w:rFonts w:hint="eastAsia" w:asciiTheme="minorEastAsia" w:hAnsiTheme="minorEastAsia" w:eastAsiaTheme="minorEastAsia"/>
          <w:sz w:val="24"/>
          <w:szCs w:val="24"/>
          <w:u w:color="FF0000"/>
        </w:rPr>
        <w:t>，编写编制技术响应文件</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u w:color="FF0000"/>
        </w:rPr>
        <w:t>以下技术标响应文件的内容，不得有缺项或漏项，否则将有可能被视为未实质性响应招标文件要求而作无效投标处理，或可能直接影响技术标评审的得分。</w:t>
      </w:r>
    </w:p>
    <w:p>
      <w:pPr>
        <w:snapToGrid w:val="0"/>
        <w:spacing w:beforeLines="100" w:line="420" w:lineRule="exact"/>
        <w:jc w:val="center"/>
        <w:outlineLvl w:val="3"/>
        <w:rPr>
          <w:rFonts w:asciiTheme="minorEastAsia" w:hAnsiTheme="minorEastAsia" w:eastAsiaTheme="minorEastAsia"/>
          <w:b/>
          <w:bCs/>
          <w:sz w:val="24"/>
          <w:szCs w:val="24"/>
        </w:rPr>
      </w:pPr>
      <w:r>
        <w:rPr>
          <w:rFonts w:hint="eastAsia" w:asciiTheme="minorEastAsia" w:hAnsiTheme="minorEastAsia" w:eastAsiaTheme="minorEastAsia"/>
          <w:b/>
          <w:sz w:val="24"/>
          <w:szCs w:val="24"/>
        </w:rPr>
        <w:t>1</w:t>
      </w:r>
      <w:r>
        <w:rPr>
          <w:rFonts w:asciiTheme="minorEastAsia" w:hAnsiTheme="minorEastAsia" w:eastAsiaTheme="minorEastAsia"/>
          <w:b/>
          <w:bCs/>
          <w:sz w:val="24"/>
          <w:szCs w:val="24"/>
        </w:rPr>
        <w:t>、</w:t>
      </w:r>
      <w:r>
        <w:rPr>
          <w:rFonts w:hint="eastAsia" w:asciiTheme="minorEastAsia" w:hAnsiTheme="minorEastAsia" w:eastAsiaTheme="minorEastAsia"/>
          <w:b/>
          <w:bCs/>
          <w:sz w:val="24"/>
          <w:szCs w:val="24"/>
        </w:rPr>
        <w:t>投标</w:t>
      </w:r>
      <w:r>
        <w:rPr>
          <w:rFonts w:asciiTheme="minorEastAsia" w:hAnsiTheme="minorEastAsia" w:eastAsiaTheme="minorEastAsia"/>
          <w:b/>
          <w:bCs/>
          <w:sz w:val="24"/>
          <w:szCs w:val="24"/>
        </w:rPr>
        <w:t>响应函</w:t>
      </w:r>
    </w:p>
    <w:p>
      <w:pPr>
        <w:snapToGrid w:val="0"/>
        <w:spacing w:beforeLines="100" w:afterLines="100"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南通市保安服务有限公司</w:t>
      </w:r>
      <w:r>
        <w:rPr>
          <w:rFonts w:asciiTheme="minorEastAsia" w:hAnsiTheme="minorEastAsia" w:eastAsiaTheme="minorEastAsia"/>
          <w:sz w:val="24"/>
          <w:szCs w:val="24"/>
        </w:rPr>
        <w:t>：</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依据贵单位（</w:t>
      </w:r>
      <w:r>
        <w:rPr>
          <w:rFonts w:hint="eastAsia" w:asciiTheme="minorEastAsia" w:hAnsiTheme="minorEastAsia" w:eastAsiaTheme="minorEastAsia"/>
          <w:sz w:val="24"/>
          <w:szCs w:val="24"/>
        </w:rPr>
        <w:t>招标</w:t>
      </w:r>
      <w:r>
        <w:rPr>
          <w:rFonts w:asciiTheme="minorEastAsia" w:hAnsiTheme="minorEastAsia" w:eastAsiaTheme="minorEastAsia"/>
          <w:sz w:val="24"/>
          <w:szCs w:val="24"/>
        </w:rPr>
        <w:t>项目名称)项目</w:t>
      </w:r>
      <w:r>
        <w:rPr>
          <w:rFonts w:hint="eastAsia" w:asciiTheme="minorEastAsia" w:hAnsiTheme="minorEastAsia" w:eastAsiaTheme="minorEastAsia"/>
          <w:sz w:val="24"/>
          <w:szCs w:val="24"/>
        </w:rPr>
        <w:t>公开招标</w:t>
      </w:r>
      <w:r>
        <w:rPr>
          <w:rFonts w:asciiTheme="minorEastAsia" w:hAnsiTheme="minorEastAsia" w:eastAsiaTheme="minorEastAsia"/>
          <w:sz w:val="24"/>
          <w:szCs w:val="24"/>
        </w:rPr>
        <w:t>的邀请，我方授权（姓名）（职务）为全权代表参加该项目的投标工作，全权处理本次</w:t>
      </w:r>
      <w:r>
        <w:rPr>
          <w:rFonts w:hint="eastAsia" w:asciiTheme="minorEastAsia" w:hAnsiTheme="minorEastAsia" w:eastAsiaTheme="minorEastAsia"/>
          <w:sz w:val="24"/>
          <w:szCs w:val="24"/>
        </w:rPr>
        <w:t>投标</w:t>
      </w:r>
      <w:r>
        <w:rPr>
          <w:rFonts w:asciiTheme="minorEastAsia" w:hAnsiTheme="minorEastAsia" w:eastAsiaTheme="minorEastAsia"/>
          <w:sz w:val="24"/>
          <w:szCs w:val="24"/>
        </w:rPr>
        <w:t>的有关事宜。同时，我公司声明如下：</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1、我方愿意按照招标文件的一切要求，提供完成该项目的全部内容，我方的投标总价是根据招标文件所确定的</w:t>
      </w:r>
      <w:r>
        <w:rPr>
          <w:rFonts w:hint="eastAsia" w:asciiTheme="minorEastAsia" w:hAnsiTheme="minorEastAsia" w:eastAsiaTheme="minorEastAsia"/>
          <w:sz w:val="24"/>
          <w:szCs w:val="24"/>
          <w:lang w:eastAsia="zh-CN"/>
        </w:rPr>
        <w:t>南通市保安服务有限公司2023-2025年度特勤服供应商库采购项目</w:t>
      </w:r>
      <w:r>
        <w:rPr>
          <w:rFonts w:hint="eastAsia" w:asciiTheme="minorEastAsia" w:hAnsiTheme="minorEastAsia" w:eastAsiaTheme="minorEastAsia"/>
          <w:sz w:val="24"/>
          <w:szCs w:val="24"/>
        </w:rPr>
        <w:t>范围内的全部工作人员和内容的价格体现，是为完成招标文件规定的工作所涉及到的一切费用。</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2、我方已经详细审查了全部招标文件，我方已完全清晰理解招标文件的要求，不存在任何含糊不清和误解之处，同意放弃对这些文件所提出的异议和质疑的权利。</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3、我方愿意提供招标文件中要求的所有资料。承诺所有资料文件均真实有效，绝无任何虚假、伪造和夸大的成份。否则，愿承担相应的后果和法律责任。</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4、我方提供的投标文件从接收截止之日算起，45个日历天内有效。</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、我方尊重评审小组所作的评定结果，认为你方有权决定中标人，还认为你方有权接受或拒绝所有的投标人，同时也清楚理解到投标报价最低并非意味着必定获得中标资格。</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、我方愿意按招标文件的规定交纳投标保证金，并同意投标人须知中关于没收投标保证金的规定。</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7</w:t>
      </w:r>
      <w:r>
        <w:rPr>
          <w:rFonts w:hint="eastAsia" w:asciiTheme="minorEastAsia" w:hAnsiTheme="minorEastAsia" w:eastAsiaTheme="minorEastAsia"/>
          <w:sz w:val="24"/>
          <w:szCs w:val="24"/>
        </w:rPr>
        <w:t>、一旦我方中标，我方将根据招标文件的规定，严格履行招标文件中规定的每一项要求，按期、按质、按量履行合同的义务。</w:t>
      </w:r>
    </w:p>
    <w:p>
      <w:pPr>
        <w:snapToGrid w:val="0"/>
        <w:spacing w:line="420" w:lineRule="exact"/>
        <w:ind w:firstLine="480" w:firstLineChars="200"/>
        <w:rPr>
          <w:rFonts w:asciiTheme="minorEastAsia" w:hAnsiTheme="minorEastAsia" w:eastAsiaTheme="minorEastAsia"/>
          <w:sz w:val="24"/>
          <w:szCs w:val="24"/>
        </w:rPr>
      </w:pPr>
    </w:p>
    <w:p>
      <w:pPr>
        <w:snapToGrid w:val="0"/>
        <w:spacing w:line="420" w:lineRule="exact"/>
        <w:ind w:firstLine="2400" w:firstLineChars="10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：（加盖公章）</w:t>
      </w:r>
    </w:p>
    <w:p>
      <w:pPr>
        <w:snapToGrid w:val="0"/>
        <w:spacing w:line="420" w:lineRule="exact"/>
        <w:ind w:firstLine="2400" w:firstLineChars="1000"/>
        <w:jc w:val="right"/>
        <w:rPr>
          <w:rFonts w:asciiTheme="minorEastAsia" w:hAnsiTheme="minorEastAsia" w:eastAsiaTheme="minorEastAsia"/>
          <w:sz w:val="24"/>
          <w:szCs w:val="24"/>
        </w:rPr>
      </w:pPr>
      <w:r>
        <w:rPr>
          <w:rFonts w:asciiTheme="minorEastAsia" w:hAnsiTheme="minorEastAsia" w:eastAsiaTheme="minorEastAsia"/>
          <w:sz w:val="24"/>
          <w:szCs w:val="24"/>
        </w:rPr>
        <w:t>法定代表人或</w:t>
      </w:r>
      <w:r>
        <w:rPr>
          <w:rFonts w:hint="eastAsia" w:asciiTheme="minorEastAsia" w:hAnsiTheme="minorEastAsia" w:eastAsiaTheme="minorEastAsia"/>
          <w:sz w:val="24"/>
          <w:szCs w:val="24"/>
        </w:rPr>
        <w:t>被委托受权人</w:t>
      </w:r>
      <w:r>
        <w:rPr>
          <w:rFonts w:asciiTheme="minorEastAsia" w:hAnsiTheme="minorEastAsia" w:eastAsiaTheme="minorEastAsia"/>
          <w:sz w:val="24"/>
          <w:szCs w:val="24"/>
        </w:rPr>
        <w:t>：（签字）</w:t>
      </w:r>
    </w:p>
    <w:p>
      <w:pPr>
        <w:snapToGrid w:val="0"/>
        <w:spacing w:line="420" w:lineRule="exact"/>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年      月     日</w:t>
      </w:r>
    </w:p>
    <w:p>
      <w:pPr>
        <w:spacing w:line="420" w:lineRule="exact"/>
        <w:outlineLvl w:val="3"/>
        <w:rPr>
          <w:rFonts w:ascii="宋体" w:hAnsi="宋体" w:eastAsia="宋体"/>
          <w:b/>
          <w:sz w:val="24"/>
          <w:szCs w:val="24"/>
        </w:rPr>
      </w:pPr>
    </w:p>
    <w:p>
      <w:pPr>
        <w:spacing w:line="420" w:lineRule="exact"/>
        <w:ind w:firstLine="487" w:firstLineChars="202"/>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lang w:val="en-US" w:eastAsia="zh-CN"/>
        </w:rPr>
        <w:t>2</w:t>
      </w:r>
      <w:r>
        <w:rPr>
          <w:rFonts w:hint="eastAsia" w:asciiTheme="minorEastAsia" w:hAnsiTheme="minorEastAsia" w:eastAsiaTheme="minorEastAsia"/>
          <w:b/>
          <w:sz w:val="24"/>
          <w:szCs w:val="24"/>
        </w:rPr>
        <w:t>、招标文件第四章评审程序和方法要求提交的其它材料</w:t>
      </w:r>
    </w:p>
    <w:p>
      <w:pPr>
        <w:snapToGrid w:val="0"/>
        <w:spacing w:line="420" w:lineRule="exact"/>
        <w:outlineLvl w:val="2"/>
        <w:rPr>
          <w:rFonts w:asciiTheme="minorEastAsia" w:hAnsiTheme="minorEastAsia" w:eastAsiaTheme="minorEastAsia"/>
          <w:b/>
          <w:sz w:val="24"/>
          <w:szCs w:val="24"/>
        </w:rPr>
      </w:pPr>
    </w:p>
    <w:p>
      <w:pPr>
        <w:snapToGrid w:val="0"/>
        <w:spacing w:line="420" w:lineRule="exact"/>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C、价格标响应文件</w:t>
      </w:r>
      <w:r>
        <w:rPr>
          <w:rFonts w:hint="eastAsia" w:asciiTheme="minorEastAsia" w:hAnsiTheme="minorEastAsia" w:eastAsiaTheme="minorEastAsia"/>
          <w:sz w:val="24"/>
          <w:szCs w:val="24"/>
        </w:rPr>
        <w:t>（一个密封包，含一正二副文件）</w:t>
      </w:r>
    </w:p>
    <w:p>
      <w:pPr>
        <w:snapToGrid w:val="0"/>
        <w:spacing w:line="420" w:lineRule="exact"/>
        <w:jc w:val="center"/>
        <w:outlineLvl w:val="3"/>
        <w:rPr>
          <w:rFonts w:asciiTheme="minorEastAsia" w:hAnsiTheme="minorEastAsia" w:eastAsiaTheme="minorEastAsia"/>
          <w:b/>
          <w:sz w:val="24"/>
          <w:szCs w:val="24"/>
        </w:rPr>
      </w:pPr>
    </w:p>
    <w:p>
      <w:pPr>
        <w:snapToGrid w:val="0"/>
        <w:spacing w:line="420" w:lineRule="exact"/>
        <w:jc w:val="center"/>
        <w:outlineLvl w:val="3"/>
        <w:rPr>
          <w:rFonts w:asciiTheme="minorEastAsia" w:hAnsiTheme="minorEastAsia" w:eastAsiaTheme="minorEastAsia"/>
          <w:b/>
          <w:bCs/>
          <w:sz w:val="24"/>
          <w:szCs w:val="24"/>
        </w:rPr>
      </w:pPr>
      <w:r>
        <w:rPr>
          <w:rFonts w:asciiTheme="minorEastAsia" w:hAnsiTheme="minorEastAsia" w:eastAsiaTheme="minorEastAsia"/>
          <w:b/>
          <w:sz w:val="24"/>
          <w:szCs w:val="24"/>
        </w:rPr>
        <w:t>1</w:t>
      </w:r>
      <w:r>
        <w:rPr>
          <w:rFonts w:hint="eastAsia" w:asciiTheme="minorEastAsia" w:hAnsiTheme="minorEastAsia" w:eastAsiaTheme="minorEastAsia"/>
          <w:b/>
          <w:sz w:val="24"/>
          <w:szCs w:val="24"/>
        </w:rPr>
        <w:t>、投标响应报价总表</w:t>
      </w:r>
    </w:p>
    <w:p>
      <w:pPr>
        <w:snapToGrid w:val="0"/>
        <w:spacing w:line="420" w:lineRule="exact"/>
        <w:ind w:left="1133" w:hanging="1132" w:hangingChars="472"/>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项目名称： </w:t>
      </w:r>
    </w:p>
    <w:tbl>
      <w:tblPr>
        <w:tblStyle w:val="57"/>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7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934"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ind w:left="1133" w:hanging="1132" w:hangingChars="472"/>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7564"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ind w:left="1133" w:hanging="1132" w:hangingChars="472"/>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934"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ind w:left="2"/>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南通市保安服务有限公司 2023-2025 年度特勤服供应商库采购项目</w:t>
            </w:r>
          </w:p>
        </w:tc>
        <w:tc>
          <w:tcPr>
            <w:tcW w:w="7564"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34"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ind w:left="2"/>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商务付款条件</w:t>
            </w:r>
          </w:p>
        </w:tc>
        <w:tc>
          <w:tcPr>
            <w:tcW w:w="7564"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ind w:left="1133" w:hanging="1132" w:hangingChars="472"/>
              <w:rPr>
                <w:rFonts w:asciiTheme="minorEastAsia" w:hAnsiTheme="minorEastAsia" w:eastAsiaTheme="minorEastAsia"/>
                <w:sz w:val="24"/>
                <w:szCs w:val="24"/>
              </w:rPr>
            </w:pPr>
            <w:r>
              <w:rPr>
                <w:rFonts w:hint="eastAsia" w:asciiTheme="minorEastAsia" w:hAnsiTheme="minorEastAsia" w:eastAsiaTheme="minorEastAsia"/>
                <w:sz w:val="24"/>
                <w:szCs w:val="24"/>
              </w:rPr>
              <w:t>完全接受并响应本项目招标文件的要求。</w:t>
            </w:r>
          </w:p>
        </w:tc>
      </w:tr>
    </w:tbl>
    <w:p>
      <w:pPr>
        <w:snapToGrid w:val="0"/>
        <w:spacing w:line="420" w:lineRule="exact"/>
        <w:ind w:left="1133" w:hanging="1132" w:hangingChars="472"/>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投标人：（盖章）             </w:t>
      </w:r>
    </w:p>
    <w:p>
      <w:pPr>
        <w:snapToGrid w:val="0"/>
        <w:spacing w:line="420" w:lineRule="exact"/>
        <w:ind w:left="1133" w:hanging="1132" w:hangingChars="472"/>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法定代表人或被委托受权人（签字）：</w:t>
      </w:r>
    </w:p>
    <w:p>
      <w:pPr>
        <w:snapToGrid w:val="0"/>
        <w:spacing w:line="420" w:lineRule="exact"/>
        <w:ind w:left="1133" w:hanging="1132" w:hangingChars="472"/>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snapToGrid w:val="0"/>
        <w:spacing w:line="420" w:lineRule="exact"/>
        <w:ind w:firstLine="566" w:firstLineChars="236"/>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pStyle w:val="202"/>
        <w:numPr>
          <w:ilvl w:val="0"/>
          <w:numId w:val="3"/>
        </w:numPr>
        <w:snapToGrid w:val="0"/>
        <w:spacing w:line="420" w:lineRule="exact"/>
        <w:ind w:firstLineChars="0"/>
        <w:rPr>
          <w:rFonts w:asciiTheme="minorEastAsia" w:hAnsiTheme="minorEastAsia" w:eastAsiaTheme="minorEastAsia"/>
          <w:sz w:val="24"/>
        </w:rPr>
      </w:pPr>
      <w:r>
        <w:rPr>
          <w:rFonts w:hint="eastAsia" w:asciiTheme="minorEastAsia" w:hAnsiTheme="minorEastAsia" w:eastAsiaTheme="minorEastAsia"/>
          <w:sz w:val="24"/>
        </w:rPr>
        <w:t>本表为格式表，不得自行改动，必须提供，否则视为未实质性响应招标文件。</w:t>
      </w:r>
    </w:p>
    <w:p>
      <w:pPr>
        <w:pStyle w:val="202"/>
        <w:numPr>
          <w:ilvl w:val="0"/>
          <w:numId w:val="3"/>
        </w:numPr>
        <w:snapToGrid w:val="0"/>
        <w:spacing w:line="420" w:lineRule="exact"/>
        <w:ind w:firstLineChars="0"/>
        <w:rPr>
          <w:rFonts w:asciiTheme="minorEastAsia" w:hAnsiTheme="minorEastAsia" w:eastAsiaTheme="minorEastAsia"/>
          <w:sz w:val="24"/>
        </w:rPr>
      </w:pPr>
      <w:r>
        <w:rPr>
          <w:rFonts w:hint="eastAsia" w:asciiTheme="minorEastAsia" w:hAnsiTheme="minorEastAsia" w:eastAsiaTheme="minorEastAsia"/>
          <w:sz w:val="24"/>
        </w:rPr>
        <w:t>说明：本项目</w:t>
      </w:r>
      <w:r>
        <w:rPr>
          <w:rFonts w:cs="宋体" w:asciiTheme="minorEastAsia" w:hAnsiTheme="minorEastAsia" w:eastAsiaTheme="minorEastAsia"/>
          <w:kern w:val="0"/>
          <w:sz w:val="24"/>
        </w:rPr>
        <w:t>最高限价</w:t>
      </w:r>
      <w:r>
        <w:rPr>
          <w:rFonts w:hint="eastAsia" w:ascii="宋体" w:hAnsi="宋体" w:cs="宋体" w:eastAsiaTheme="minorEastAsia"/>
          <w:sz w:val="24"/>
          <w:lang w:val="en-US" w:eastAsia="zh-CN"/>
        </w:rPr>
        <w:t>1300</w:t>
      </w:r>
      <w:r>
        <w:rPr>
          <w:rFonts w:hint="eastAsia" w:ascii="宋体" w:hAnsi="宋体" w:cs="宋体"/>
          <w:sz w:val="24"/>
        </w:rPr>
        <w:t>元</w:t>
      </w:r>
      <w:r>
        <w:rPr>
          <w:rFonts w:hint="eastAsia" w:ascii="宋体" w:hAnsi="宋体" w:cs="宋体"/>
          <w:sz w:val="24"/>
          <w:lang w:val="en-US" w:eastAsia="zh-CN"/>
        </w:rPr>
        <w:t>/套</w:t>
      </w:r>
      <w:r>
        <w:rPr>
          <w:rFonts w:cs="宋体" w:asciiTheme="minorEastAsia" w:hAnsiTheme="minorEastAsia" w:eastAsiaTheme="minorEastAsia"/>
          <w:kern w:val="0"/>
          <w:sz w:val="24"/>
        </w:rPr>
        <w:t>，</w:t>
      </w:r>
      <w:r>
        <w:rPr>
          <w:rFonts w:hint="eastAsia" w:asciiTheme="minorEastAsia" w:hAnsiTheme="minorEastAsia" w:eastAsiaTheme="minorEastAsia"/>
          <w:sz w:val="24"/>
        </w:rPr>
        <w:t>各投标人的报价不得高于最高限价，超过该限价作无效投标处理。</w:t>
      </w:r>
    </w:p>
    <w:p>
      <w:pPr>
        <w:snapToGrid w:val="0"/>
        <w:spacing w:line="420" w:lineRule="exact"/>
        <w:jc w:val="center"/>
        <w:outlineLvl w:val="3"/>
        <w:rPr>
          <w:rFonts w:hint="eastAsia" w:asciiTheme="minorEastAsia" w:hAnsiTheme="minorEastAsia" w:eastAsiaTheme="minorEastAsia"/>
          <w:b/>
          <w:sz w:val="24"/>
          <w:szCs w:val="24"/>
        </w:rPr>
      </w:pPr>
    </w:p>
    <w:p>
      <w:pPr>
        <w:snapToGrid w:val="0"/>
        <w:spacing w:line="420" w:lineRule="exact"/>
        <w:jc w:val="center"/>
        <w:outlineLvl w:val="3"/>
        <w:rPr>
          <w:rFonts w:asciiTheme="minorEastAsia" w:hAnsiTheme="minorEastAsia" w:eastAsiaTheme="minorEastAsia"/>
          <w:b/>
          <w:sz w:val="24"/>
          <w:szCs w:val="24"/>
        </w:rPr>
      </w:pPr>
      <w:r>
        <w:rPr>
          <w:rFonts w:hint="eastAsia" w:asciiTheme="minorEastAsia" w:hAnsiTheme="minorEastAsia" w:eastAsiaTheme="minorEastAsia"/>
          <w:b/>
          <w:sz w:val="24"/>
          <w:szCs w:val="24"/>
        </w:rPr>
        <w:t>2、投标报价明细表</w:t>
      </w:r>
    </w:p>
    <w:p>
      <w:pPr>
        <w:snapToGrid w:val="0"/>
        <w:spacing w:line="520" w:lineRule="exact"/>
        <w:ind w:left="1214" w:hanging="1214" w:hangingChars="50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项目名称： </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119"/>
        <w:gridCol w:w="4285"/>
        <w:gridCol w:w="868"/>
        <w:gridCol w:w="917"/>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36" w:type="dxa"/>
            <w:vAlign w:val="center"/>
          </w:tcPr>
          <w:p>
            <w:pPr>
              <w:spacing w:after="0"/>
              <w:rPr>
                <w:rFonts w:ascii="宋体" w:hAnsi="宋体" w:eastAsia="宋体" w:cs="宋体"/>
                <w:b/>
                <w:bCs/>
                <w:sz w:val="24"/>
                <w:szCs w:val="24"/>
              </w:rPr>
            </w:pPr>
            <w:r>
              <w:rPr>
                <w:rFonts w:hint="eastAsia" w:ascii="宋体" w:hAnsi="宋体" w:eastAsia="宋体" w:cs="宋体"/>
                <w:b/>
                <w:bCs/>
                <w:sz w:val="24"/>
                <w:szCs w:val="24"/>
              </w:rPr>
              <w:t>序号</w:t>
            </w:r>
          </w:p>
        </w:tc>
        <w:tc>
          <w:tcPr>
            <w:tcW w:w="1119" w:type="dxa"/>
            <w:vAlign w:val="center"/>
          </w:tcPr>
          <w:p>
            <w:pPr>
              <w:spacing w:after="0"/>
              <w:rPr>
                <w:rFonts w:ascii="宋体" w:hAnsi="宋体" w:eastAsia="宋体" w:cs="宋体"/>
                <w:b/>
                <w:bCs/>
                <w:sz w:val="24"/>
                <w:szCs w:val="24"/>
              </w:rPr>
            </w:pPr>
            <w:r>
              <w:rPr>
                <w:rFonts w:hint="eastAsia" w:ascii="宋体" w:hAnsi="宋体" w:eastAsia="宋体" w:cs="宋体"/>
                <w:b/>
                <w:bCs/>
                <w:sz w:val="24"/>
                <w:szCs w:val="24"/>
              </w:rPr>
              <w:t>服装种类</w:t>
            </w:r>
          </w:p>
        </w:tc>
        <w:tc>
          <w:tcPr>
            <w:tcW w:w="4285" w:type="dxa"/>
            <w:vAlign w:val="center"/>
          </w:tcPr>
          <w:p>
            <w:pPr>
              <w:spacing w:after="0"/>
              <w:jc w:val="center"/>
              <w:rPr>
                <w:rFonts w:ascii="宋体" w:hAnsi="宋体" w:eastAsia="宋体" w:cs="宋体"/>
                <w:b/>
                <w:bCs/>
                <w:sz w:val="24"/>
                <w:szCs w:val="24"/>
              </w:rPr>
            </w:pPr>
            <w:r>
              <w:rPr>
                <w:rFonts w:hint="eastAsia" w:ascii="宋体" w:hAnsi="宋体" w:eastAsia="宋体" w:cs="宋体"/>
                <w:b/>
                <w:bCs/>
                <w:sz w:val="24"/>
                <w:szCs w:val="24"/>
              </w:rPr>
              <w:t>参数</w:t>
            </w:r>
          </w:p>
        </w:tc>
        <w:tc>
          <w:tcPr>
            <w:tcW w:w="868" w:type="dxa"/>
            <w:vAlign w:val="center"/>
          </w:tcPr>
          <w:p>
            <w:pPr>
              <w:spacing w:after="0"/>
              <w:rPr>
                <w:rFonts w:ascii="宋体" w:hAnsi="宋体" w:eastAsia="宋体" w:cs="宋体"/>
                <w:b/>
                <w:bCs/>
                <w:sz w:val="24"/>
                <w:szCs w:val="24"/>
              </w:rPr>
            </w:pPr>
            <w:r>
              <w:rPr>
                <w:rFonts w:hint="eastAsia" w:ascii="宋体" w:hAnsi="宋体" w:eastAsia="宋体" w:cs="宋体"/>
                <w:b/>
                <w:bCs/>
                <w:sz w:val="24"/>
                <w:szCs w:val="24"/>
              </w:rPr>
              <w:t>单位</w:t>
            </w:r>
          </w:p>
        </w:tc>
        <w:tc>
          <w:tcPr>
            <w:tcW w:w="917" w:type="dxa"/>
            <w:vAlign w:val="center"/>
          </w:tcPr>
          <w:p>
            <w:pPr>
              <w:spacing w:after="0"/>
              <w:rPr>
                <w:rFonts w:ascii="宋体" w:hAnsi="宋体" w:eastAsia="宋体" w:cs="宋体"/>
                <w:b/>
                <w:bCs/>
                <w:sz w:val="24"/>
                <w:szCs w:val="24"/>
              </w:rPr>
            </w:pPr>
            <w:r>
              <w:rPr>
                <w:rFonts w:hint="eastAsia" w:ascii="宋体" w:hAnsi="宋体" w:eastAsia="宋体" w:cs="宋体"/>
                <w:b/>
                <w:bCs/>
                <w:sz w:val="24"/>
                <w:szCs w:val="24"/>
              </w:rPr>
              <w:t>数量</w:t>
            </w:r>
          </w:p>
        </w:tc>
        <w:tc>
          <w:tcPr>
            <w:tcW w:w="1023" w:type="dxa"/>
            <w:vAlign w:val="center"/>
          </w:tcPr>
          <w:p>
            <w:pPr>
              <w:spacing w:after="0"/>
              <w:rPr>
                <w:rFonts w:ascii="宋体" w:hAnsi="宋体" w:eastAsia="宋体" w:cs="宋体"/>
                <w:b/>
                <w:bCs/>
                <w:sz w:val="24"/>
                <w:szCs w:val="24"/>
              </w:rPr>
            </w:pPr>
            <w:r>
              <w:rPr>
                <w:rFonts w:hint="eastAsia" w:ascii="宋体" w:hAnsi="宋体" w:eastAsia="宋体" w:cs="宋体"/>
                <w:b/>
                <w:bCs/>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jc w:val="center"/>
        </w:trPr>
        <w:tc>
          <w:tcPr>
            <w:tcW w:w="836"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1</w:t>
            </w:r>
          </w:p>
        </w:tc>
        <w:tc>
          <w:tcPr>
            <w:tcW w:w="1119"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夏季特勤服（长袖或短袖）</w:t>
            </w:r>
          </w:p>
        </w:tc>
        <w:tc>
          <w:tcPr>
            <w:tcW w:w="4285"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1.面料：芳粘格子布，</w:t>
            </w:r>
          </w:p>
          <w:p>
            <w:pPr>
              <w:spacing w:after="0"/>
              <w:rPr>
                <w:rFonts w:ascii="宋体" w:hAnsi="宋体" w:eastAsia="宋体" w:cs="宋体"/>
                <w:bCs/>
                <w:sz w:val="24"/>
                <w:szCs w:val="24"/>
              </w:rPr>
            </w:pPr>
            <w:r>
              <w:rPr>
                <w:rFonts w:hint="eastAsia" w:ascii="宋体" w:hAnsi="宋体" w:eastAsia="宋体" w:cs="宋体"/>
                <w:bCs/>
                <w:sz w:val="24"/>
                <w:szCs w:val="24"/>
              </w:rPr>
              <w:t>2.单位面积质量：145g/㎡，允许偏差±2%。</w:t>
            </w:r>
          </w:p>
          <w:p>
            <w:pPr>
              <w:spacing w:after="0"/>
              <w:rPr>
                <w:rFonts w:ascii="宋体" w:hAnsi="宋体" w:eastAsia="宋体" w:cs="宋体"/>
                <w:bCs/>
                <w:sz w:val="24"/>
                <w:szCs w:val="24"/>
              </w:rPr>
            </w:pPr>
            <w:r>
              <w:rPr>
                <w:rFonts w:hint="eastAsia" w:ascii="宋体" w:hAnsi="宋体" w:eastAsia="宋体" w:cs="宋体"/>
                <w:bCs/>
                <w:sz w:val="24"/>
                <w:szCs w:val="24"/>
              </w:rPr>
              <w:t>3.甲醛含量：B类≤75mg/kg。</w:t>
            </w:r>
          </w:p>
          <w:p>
            <w:pPr>
              <w:spacing w:after="0"/>
              <w:rPr>
                <w:rFonts w:ascii="宋体" w:hAnsi="宋体" w:eastAsia="宋体" w:cs="宋体"/>
                <w:bCs/>
                <w:sz w:val="24"/>
                <w:szCs w:val="24"/>
              </w:rPr>
            </w:pPr>
            <w:r>
              <w:rPr>
                <w:rFonts w:hint="eastAsia" w:ascii="宋体" w:hAnsi="宋体" w:eastAsia="宋体" w:cs="宋体"/>
                <w:bCs/>
                <w:sz w:val="24"/>
                <w:szCs w:val="24"/>
              </w:rPr>
              <w:t>4.PH值：在4.0-8.5区间。</w:t>
            </w:r>
          </w:p>
          <w:p>
            <w:pPr>
              <w:spacing w:after="0"/>
              <w:rPr>
                <w:rFonts w:ascii="宋体" w:hAnsi="宋体" w:eastAsia="宋体" w:cs="宋体"/>
                <w:bCs/>
                <w:sz w:val="24"/>
                <w:szCs w:val="24"/>
              </w:rPr>
            </w:pPr>
            <w:r>
              <w:rPr>
                <w:rFonts w:hint="eastAsia" w:ascii="宋体" w:hAnsi="宋体" w:eastAsia="宋体" w:cs="宋体"/>
                <w:bCs/>
                <w:sz w:val="24"/>
                <w:szCs w:val="24"/>
              </w:rPr>
              <w:t>5.起毛起球≥2级，耐光色牢度≥4级，耐摩擦色牢度≥4级，耐水色牢度≥4级，耐汗渍色牢度≥4级，耐皂洗色牢度≥4级。</w:t>
            </w:r>
          </w:p>
          <w:p>
            <w:pPr>
              <w:spacing w:after="0"/>
              <w:rPr>
                <w:rFonts w:ascii="宋体" w:hAnsi="宋体" w:eastAsia="宋体" w:cs="宋体"/>
                <w:bCs/>
                <w:sz w:val="24"/>
                <w:szCs w:val="24"/>
              </w:rPr>
            </w:pPr>
            <w:r>
              <w:rPr>
                <w:rFonts w:hint="eastAsia" w:ascii="宋体" w:hAnsi="宋体" w:eastAsia="宋体" w:cs="宋体"/>
                <w:bCs/>
                <w:sz w:val="24"/>
                <w:szCs w:val="24"/>
              </w:rPr>
              <w:t>6.吸湿性：吸水率≥100%，滴水扩散时间≤5S，芯吸高度（经向、纬向）≥90mm。</w:t>
            </w:r>
          </w:p>
          <w:p>
            <w:pPr>
              <w:spacing w:after="0"/>
              <w:rPr>
                <w:rFonts w:ascii="宋体" w:hAnsi="宋体" w:eastAsia="宋体" w:cs="宋体"/>
                <w:bCs/>
                <w:sz w:val="24"/>
                <w:szCs w:val="24"/>
              </w:rPr>
            </w:pPr>
            <w:r>
              <w:rPr>
                <w:rFonts w:hint="eastAsia" w:ascii="宋体" w:hAnsi="宋体" w:eastAsia="宋体" w:cs="宋体"/>
                <w:bCs/>
                <w:sz w:val="24"/>
                <w:szCs w:val="24"/>
              </w:rPr>
              <w:t>7.速干性：蒸发速率≥0.18g/h,</w:t>
            </w:r>
          </w:p>
        </w:tc>
        <w:tc>
          <w:tcPr>
            <w:tcW w:w="868"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套</w:t>
            </w:r>
          </w:p>
        </w:tc>
        <w:tc>
          <w:tcPr>
            <w:tcW w:w="917"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1</w:t>
            </w:r>
          </w:p>
        </w:tc>
        <w:tc>
          <w:tcPr>
            <w:tcW w:w="1023" w:type="dxa"/>
            <w:vAlign w:val="center"/>
          </w:tcPr>
          <w:p>
            <w:pPr>
              <w:spacing w:after="0"/>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36"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2</w:t>
            </w:r>
          </w:p>
        </w:tc>
        <w:tc>
          <w:tcPr>
            <w:tcW w:w="1119"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春秋执勤服</w:t>
            </w:r>
          </w:p>
        </w:tc>
        <w:tc>
          <w:tcPr>
            <w:tcW w:w="4285"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1. 面料：涤棉混纺格子布，成份：35%棉、65%涤纶，</w:t>
            </w:r>
          </w:p>
          <w:p>
            <w:pPr>
              <w:spacing w:after="0"/>
              <w:rPr>
                <w:rFonts w:ascii="宋体" w:hAnsi="宋体" w:eastAsia="宋体" w:cs="宋体"/>
                <w:bCs/>
                <w:sz w:val="24"/>
                <w:szCs w:val="24"/>
              </w:rPr>
            </w:pPr>
            <w:r>
              <w:rPr>
                <w:rFonts w:hint="eastAsia" w:ascii="宋体" w:hAnsi="宋体" w:eastAsia="宋体" w:cs="宋体"/>
                <w:bCs/>
                <w:sz w:val="24"/>
                <w:szCs w:val="24"/>
              </w:rPr>
              <w:t>2. 单位面积质量：185g/㎡(允许偏差±2%)。</w:t>
            </w:r>
          </w:p>
          <w:p>
            <w:pPr>
              <w:spacing w:after="0"/>
              <w:rPr>
                <w:rFonts w:ascii="宋体" w:hAnsi="宋体" w:eastAsia="宋体" w:cs="宋体"/>
                <w:bCs/>
                <w:sz w:val="24"/>
                <w:szCs w:val="24"/>
              </w:rPr>
            </w:pPr>
            <w:r>
              <w:rPr>
                <w:rFonts w:hint="eastAsia" w:ascii="宋体" w:hAnsi="宋体" w:eastAsia="宋体" w:cs="宋体"/>
                <w:bCs/>
                <w:sz w:val="24"/>
                <w:szCs w:val="24"/>
              </w:rPr>
              <w:t xml:space="preserve">3. 耐光色牢度≥4级，耐摩擦色牢度≥4级，耐汗渍色牢度≥4级，耐洗色牢度≥4级。 </w:t>
            </w:r>
          </w:p>
        </w:tc>
        <w:tc>
          <w:tcPr>
            <w:tcW w:w="868"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套</w:t>
            </w:r>
          </w:p>
        </w:tc>
        <w:tc>
          <w:tcPr>
            <w:tcW w:w="917"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1</w:t>
            </w:r>
          </w:p>
        </w:tc>
        <w:tc>
          <w:tcPr>
            <w:tcW w:w="1023" w:type="dxa"/>
            <w:vAlign w:val="center"/>
          </w:tcPr>
          <w:p>
            <w:pPr>
              <w:spacing w:after="0"/>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36"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3</w:t>
            </w:r>
          </w:p>
        </w:tc>
        <w:tc>
          <w:tcPr>
            <w:tcW w:w="1119"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多功能棉服</w:t>
            </w:r>
          </w:p>
        </w:tc>
        <w:tc>
          <w:tcPr>
            <w:tcW w:w="4285"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 xml:space="preserve">1. 面料：精梳涤棉混纺加厚格子布，成份：35%棉、65%涤纶 </w:t>
            </w:r>
          </w:p>
          <w:p>
            <w:pPr>
              <w:spacing w:after="0"/>
              <w:rPr>
                <w:rFonts w:ascii="宋体" w:hAnsi="宋体" w:eastAsia="宋体" w:cs="宋体"/>
                <w:bCs/>
                <w:sz w:val="24"/>
                <w:szCs w:val="24"/>
              </w:rPr>
            </w:pPr>
            <w:r>
              <w:rPr>
                <w:rFonts w:hint="eastAsia" w:ascii="宋体" w:hAnsi="宋体" w:eastAsia="宋体" w:cs="宋体"/>
                <w:bCs/>
                <w:sz w:val="24"/>
                <w:szCs w:val="24"/>
              </w:rPr>
              <w:t xml:space="preserve">2. 单位面积质量：250g/㎡ </w:t>
            </w:r>
          </w:p>
          <w:p>
            <w:pPr>
              <w:spacing w:after="0"/>
              <w:rPr>
                <w:rFonts w:ascii="宋体" w:hAnsi="宋体" w:eastAsia="宋体" w:cs="宋体"/>
                <w:bCs/>
                <w:sz w:val="24"/>
                <w:szCs w:val="24"/>
              </w:rPr>
            </w:pPr>
            <w:r>
              <w:rPr>
                <w:rFonts w:hint="eastAsia" w:ascii="宋体" w:hAnsi="宋体" w:eastAsia="宋体" w:cs="宋体"/>
                <w:bCs/>
                <w:sz w:val="24"/>
                <w:szCs w:val="24"/>
              </w:rPr>
              <w:t xml:space="preserve">3.耐光色牢度≥4级，耐摩擦色牢度≥4级，耐刷洗色牢度≥4级 </w:t>
            </w:r>
          </w:p>
        </w:tc>
        <w:tc>
          <w:tcPr>
            <w:tcW w:w="868" w:type="dxa"/>
            <w:vAlign w:val="center"/>
          </w:tcPr>
          <w:p>
            <w:pPr>
              <w:pStyle w:val="7"/>
              <w:rPr>
                <w:rFonts w:ascii="宋体" w:hAnsi="宋体" w:eastAsia="宋体" w:cs="宋体"/>
                <w:b w:val="0"/>
                <w:sz w:val="24"/>
                <w:szCs w:val="24"/>
              </w:rPr>
            </w:pPr>
            <w:r>
              <w:rPr>
                <w:rFonts w:hint="eastAsia" w:ascii="宋体" w:hAnsi="宋体" w:eastAsia="宋体" w:cs="宋体"/>
                <w:b w:val="0"/>
                <w:sz w:val="24"/>
                <w:szCs w:val="24"/>
              </w:rPr>
              <w:t>套</w:t>
            </w:r>
          </w:p>
        </w:tc>
        <w:tc>
          <w:tcPr>
            <w:tcW w:w="917" w:type="dxa"/>
            <w:vAlign w:val="center"/>
          </w:tcPr>
          <w:p>
            <w:pPr>
              <w:pStyle w:val="7"/>
              <w:rPr>
                <w:rFonts w:ascii="宋体" w:hAnsi="宋体" w:eastAsia="宋体" w:cs="宋体"/>
                <w:b w:val="0"/>
                <w:sz w:val="24"/>
                <w:szCs w:val="24"/>
              </w:rPr>
            </w:pPr>
            <w:r>
              <w:rPr>
                <w:rFonts w:hint="eastAsia" w:ascii="宋体" w:hAnsi="宋体" w:eastAsia="宋体" w:cs="宋体"/>
                <w:b w:val="0"/>
                <w:sz w:val="24"/>
                <w:szCs w:val="24"/>
              </w:rPr>
              <w:t>1</w:t>
            </w:r>
          </w:p>
        </w:tc>
        <w:tc>
          <w:tcPr>
            <w:tcW w:w="1023" w:type="dxa"/>
            <w:vAlign w:val="center"/>
          </w:tcPr>
          <w:p>
            <w:pPr>
              <w:spacing w:after="0"/>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6"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4</w:t>
            </w:r>
          </w:p>
        </w:tc>
        <w:tc>
          <w:tcPr>
            <w:tcW w:w="1119"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执勤帽</w:t>
            </w:r>
          </w:p>
        </w:tc>
        <w:tc>
          <w:tcPr>
            <w:tcW w:w="4285"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同春秋服面料</w:t>
            </w:r>
          </w:p>
        </w:tc>
        <w:tc>
          <w:tcPr>
            <w:tcW w:w="868"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顶</w:t>
            </w:r>
          </w:p>
        </w:tc>
        <w:tc>
          <w:tcPr>
            <w:tcW w:w="917"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1</w:t>
            </w:r>
          </w:p>
        </w:tc>
        <w:tc>
          <w:tcPr>
            <w:tcW w:w="1023" w:type="dxa"/>
            <w:vAlign w:val="center"/>
          </w:tcPr>
          <w:p>
            <w:pPr>
              <w:spacing w:after="0"/>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36"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5</w:t>
            </w:r>
          </w:p>
        </w:tc>
        <w:tc>
          <w:tcPr>
            <w:tcW w:w="1119"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皮靴</w:t>
            </w:r>
          </w:p>
        </w:tc>
        <w:tc>
          <w:tcPr>
            <w:tcW w:w="4285"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警用防暴皮靴，推荐3515型。</w:t>
            </w:r>
          </w:p>
        </w:tc>
        <w:tc>
          <w:tcPr>
            <w:tcW w:w="868"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双</w:t>
            </w:r>
          </w:p>
        </w:tc>
        <w:tc>
          <w:tcPr>
            <w:tcW w:w="917"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1</w:t>
            </w:r>
          </w:p>
        </w:tc>
        <w:tc>
          <w:tcPr>
            <w:tcW w:w="1023" w:type="dxa"/>
            <w:vAlign w:val="center"/>
          </w:tcPr>
          <w:p>
            <w:pPr>
              <w:spacing w:after="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36"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6</w:t>
            </w:r>
          </w:p>
        </w:tc>
        <w:tc>
          <w:tcPr>
            <w:tcW w:w="1119"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帆布腰带</w:t>
            </w:r>
          </w:p>
        </w:tc>
        <w:tc>
          <w:tcPr>
            <w:tcW w:w="4285"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坦克纹丙纶织带</w:t>
            </w:r>
          </w:p>
          <w:p>
            <w:pPr>
              <w:spacing w:after="0"/>
              <w:rPr>
                <w:rFonts w:ascii="宋体" w:hAnsi="宋体" w:eastAsia="宋体" w:cs="宋体"/>
                <w:bCs/>
                <w:sz w:val="24"/>
                <w:szCs w:val="24"/>
              </w:rPr>
            </w:pPr>
            <w:r>
              <w:rPr>
                <w:rFonts w:hint="eastAsia" w:ascii="宋体" w:hAnsi="宋体" w:eastAsia="宋体" w:cs="宋体"/>
                <w:bCs/>
                <w:sz w:val="24"/>
                <w:szCs w:val="24"/>
              </w:rPr>
              <w:t>高密帆布</w:t>
            </w:r>
          </w:p>
          <w:p>
            <w:pPr>
              <w:spacing w:after="0"/>
              <w:rPr>
                <w:rFonts w:ascii="宋体" w:hAnsi="宋体" w:eastAsia="宋体" w:cs="宋体"/>
                <w:bCs/>
                <w:sz w:val="24"/>
                <w:szCs w:val="24"/>
              </w:rPr>
            </w:pPr>
            <w:r>
              <w:rPr>
                <w:rFonts w:hint="eastAsia" w:ascii="宋体" w:hAnsi="宋体" w:eastAsia="宋体" w:cs="宋体"/>
                <w:bCs/>
                <w:sz w:val="24"/>
                <w:szCs w:val="24"/>
              </w:rPr>
              <w:t>高强塑料材质扣头，耐磨，耐刮，抗氧化，防过敏</w:t>
            </w:r>
          </w:p>
          <w:p>
            <w:pPr>
              <w:spacing w:after="0"/>
              <w:rPr>
                <w:rFonts w:ascii="宋体" w:hAnsi="宋体" w:eastAsia="宋体" w:cs="宋体"/>
                <w:bCs/>
                <w:sz w:val="24"/>
                <w:szCs w:val="24"/>
              </w:rPr>
            </w:pPr>
            <w:r>
              <w:rPr>
                <w:rFonts w:hint="eastAsia" w:ascii="宋体" w:hAnsi="宋体" w:eastAsia="宋体" w:cs="宋体"/>
                <w:bCs/>
                <w:sz w:val="24"/>
                <w:szCs w:val="24"/>
              </w:rPr>
              <w:t>耐腐蚀，强度高，不变形，安全耐用，手感平滑舒适</w:t>
            </w:r>
          </w:p>
        </w:tc>
        <w:tc>
          <w:tcPr>
            <w:tcW w:w="868"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条</w:t>
            </w:r>
          </w:p>
        </w:tc>
        <w:tc>
          <w:tcPr>
            <w:tcW w:w="917"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1</w:t>
            </w:r>
          </w:p>
        </w:tc>
        <w:tc>
          <w:tcPr>
            <w:tcW w:w="1023" w:type="dxa"/>
            <w:vAlign w:val="center"/>
          </w:tcPr>
          <w:p>
            <w:pPr>
              <w:spacing w:after="0"/>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7</w:t>
            </w:r>
          </w:p>
        </w:tc>
        <w:tc>
          <w:tcPr>
            <w:tcW w:w="1119"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胸徽</w:t>
            </w:r>
          </w:p>
        </w:tc>
        <w:tc>
          <w:tcPr>
            <w:tcW w:w="4285"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涤纶、织唛、魔术贴式</w:t>
            </w:r>
          </w:p>
        </w:tc>
        <w:tc>
          <w:tcPr>
            <w:tcW w:w="868"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枚</w:t>
            </w:r>
          </w:p>
        </w:tc>
        <w:tc>
          <w:tcPr>
            <w:tcW w:w="917"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1</w:t>
            </w:r>
          </w:p>
        </w:tc>
        <w:tc>
          <w:tcPr>
            <w:tcW w:w="1023" w:type="dxa"/>
            <w:vAlign w:val="center"/>
          </w:tcPr>
          <w:p>
            <w:pPr>
              <w:spacing w:after="0"/>
              <w:rPr>
                <w:rFonts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36"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7</w:t>
            </w:r>
          </w:p>
        </w:tc>
        <w:tc>
          <w:tcPr>
            <w:tcW w:w="1119"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胸徽</w:t>
            </w:r>
          </w:p>
        </w:tc>
        <w:tc>
          <w:tcPr>
            <w:tcW w:w="4285" w:type="dxa"/>
            <w:vMerge w:val="restart"/>
            <w:vAlign w:val="center"/>
          </w:tcPr>
          <w:p>
            <w:pPr>
              <w:spacing w:after="0"/>
              <w:rPr>
                <w:rFonts w:ascii="宋体" w:hAnsi="宋体" w:eastAsia="宋体" w:cs="宋体"/>
                <w:bCs/>
                <w:sz w:val="24"/>
                <w:szCs w:val="24"/>
              </w:rPr>
            </w:pPr>
            <w:r>
              <w:rPr>
                <w:rFonts w:hint="eastAsia" w:ascii="宋体" w:hAnsi="宋体" w:eastAsia="宋体" w:cs="宋体"/>
                <w:bCs/>
                <w:sz w:val="24"/>
                <w:szCs w:val="24"/>
              </w:rPr>
              <w:t>涤纶、织唛、魔术贴式</w:t>
            </w:r>
          </w:p>
        </w:tc>
        <w:tc>
          <w:tcPr>
            <w:tcW w:w="868"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枚</w:t>
            </w:r>
          </w:p>
        </w:tc>
        <w:tc>
          <w:tcPr>
            <w:tcW w:w="917"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1</w:t>
            </w:r>
          </w:p>
        </w:tc>
        <w:tc>
          <w:tcPr>
            <w:tcW w:w="1023" w:type="dxa"/>
            <w:vAlign w:val="center"/>
          </w:tcPr>
          <w:p>
            <w:pPr>
              <w:spacing w:after="0"/>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36"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8</w:t>
            </w:r>
          </w:p>
        </w:tc>
        <w:tc>
          <w:tcPr>
            <w:tcW w:w="1119"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胸号</w:t>
            </w:r>
          </w:p>
        </w:tc>
        <w:tc>
          <w:tcPr>
            <w:tcW w:w="4285" w:type="dxa"/>
            <w:vMerge w:val="continue"/>
            <w:vAlign w:val="center"/>
          </w:tcPr>
          <w:p>
            <w:pPr>
              <w:pStyle w:val="7"/>
              <w:rPr>
                <w:rFonts w:ascii="宋体" w:hAnsi="宋体" w:eastAsia="宋体" w:cs="宋体"/>
                <w:b w:val="0"/>
                <w:sz w:val="24"/>
                <w:szCs w:val="24"/>
              </w:rPr>
            </w:pPr>
          </w:p>
        </w:tc>
        <w:tc>
          <w:tcPr>
            <w:tcW w:w="868"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枚</w:t>
            </w:r>
          </w:p>
        </w:tc>
        <w:tc>
          <w:tcPr>
            <w:tcW w:w="917"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1</w:t>
            </w:r>
          </w:p>
        </w:tc>
        <w:tc>
          <w:tcPr>
            <w:tcW w:w="1023" w:type="dxa"/>
            <w:vAlign w:val="center"/>
          </w:tcPr>
          <w:p>
            <w:pPr>
              <w:spacing w:after="0"/>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6"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9</w:t>
            </w:r>
          </w:p>
        </w:tc>
        <w:tc>
          <w:tcPr>
            <w:tcW w:w="1119"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肩章</w:t>
            </w:r>
          </w:p>
        </w:tc>
        <w:tc>
          <w:tcPr>
            <w:tcW w:w="4285" w:type="dxa"/>
            <w:vMerge w:val="continue"/>
            <w:vAlign w:val="center"/>
          </w:tcPr>
          <w:p>
            <w:pPr>
              <w:pStyle w:val="7"/>
              <w:rPr>
                <w:rFonts w:ascii="宋体" w:hAnsi="宋体" w:eastAsia="宋体" w:cs="宋体"/>
                <w:b w:val="0"/>
                <w:sz w:val="24"/>
                <w:szCs w:val="24"/>
              </w:rPr>
            </w:pPr>
          </w:p>
        </w:tc>
        <w:tc>
          <w:tcPr>
            <w:tcW w:w="868"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副</w:t>
            </w:r>
          </w:p>
        </w:tc>
        <w:tc>
          <w:tcPr>
            <w:tcW w:w="917"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1</w:t>
            </w:r>
          </w:p>
        </w:tc>
        <w:tc>
          <w:tcPr>
            <w:tcW w:w="1023" w:type="dxa"/>
            <w:vAlign w:val="center"/>
          </w:tcPr>
          <w:p>
            <w:pPr>
              <w:spacing w:after="0"/>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36"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10</w:t>
            </w:r>
          </w:p>
        </w:tc>
        <w:tc>
          <w:tcPr>
            <w:tcW w:w="1119"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背贴</w:t>
            </w:r>
          </w:p>
        </w:tc>
        <w:tc>
          <w:tcPr>
            <w:tcW w:w="4285" w:type="dxa"/>
            <w:vMerge w:val="continue"/>
            <w:vAlign w:val="center"/>
          </w:tcPr>
          <w:p>
            <w:pPr>
              <w:pStyle w:val="7"/>
              <w:rPr>
                <w:rFonts w:ascii="宋体" w:hAnsi="宋体" w:eastAsia="宋体" w:cs="宋体"/>
                <w:sz w:val="24"/>
                <w:szCs w:val="24"/>
              </w:rPr>
            </w:pPr>
          </w:p>
        </w:tc>
        <w:tc>
          <w:tcPr>
            <w:tcW w:w="868"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枚</w:t>
            </w:r>
          </w:p>
        </w:tc>
        <w:tc>
          <w:tcPr>
            <w:tcW w:w="917"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1</w:t>
            </w:r>
          </w:p>
        </w:tc>
        <w:tc>
          <w:tcPr>
            <w:tcW w:w="1023" w:type="dxa"/>
            <w:vAlign w:val="center"/>
          </w:tcPr>
          <w:p>
            <w:pPr>
              <w:spacing w:after="0"/>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36" w:type="dxa"/>
            <w:vAlign w:val="center"/>
          </w:tcPr>
          <w:p>
            <w:pPr>
              <w:spacing w:after="0"/>
              <w:rPr>
                <w:rFonts w:ascii="宋体" w:hAnsi="宋体" w:eastAsia="宋体" w:cs="宋体"/>
                <w:bCs/>
                <w:sz w:val="24"/>
                <w:szCs w:val="24"/>
              </w:rPr>
            </w:pPr>
            <w:r>
              <w:rPr>
                <w:rFonts w:hint="eastAsia" w:ascii="宋体" w:hAnsi="宋体" w:eastAsia="宋体" w:cs="宋体"/>
                <w:bCs/>
                <w:sz w:val="24"/>
                <w:szCs w:val="24"/>
              </w:rPr>
              <w:t>11</w:t>
            </w:r>
          </w:p>
        </w:tc>
        <w:tc>
          <w:tcPr>
            <w:tcW w:w="5404" w:type="dxa"/>
            <w:gridSpan w:val="2"/>
            <w:vAlign w:val="center"/>
          </w:tcPr>
          <w:p>
            <w:pPr>
              <w:spacing w:after="0"/>
              <w:rPr>
                <w:rFonts w:ascii="宋体" w:hAnsi="宋体" w:eastAsia="宋体" w:cs="宋体"/>
                <w:bCs/>
                <w:sz w:val="24"/>
                <w:szCs w:val="24"/>
              </w:rPr>
            </w:pPr>
            <w:r>
              <w:rPr>
                <w:rFonts w:hint="eastAsia" w:ascii="宋体" w:hAnsi="宋体" w:eastAsia="宋体" w:cs="宋体"/>
                <w:bCs/>
                <w:sz w:val="24"/>
                <w:szCs w:val="24"/>
              </w:rPr>
              <w:t>合计（元</w:t>
            </w:r>
            <w:r>
              <w:rPr>
                <w:rFonts w:hint="eastAsia" w:ascii="宋体" w:hAnsi="宋体" w:eastAsia="宋体" w:cs="宋体"/>
                <w:bCs/>
                <w:sz w:val="24"/>
                <w:szCs w:val="24"/>
                <w:lang w:val="en-US" w:eastAsia="zh-CN"/>
              </w:rPr>
              <w:t>/套</w:t>
            </w:r>
            <w:r>
              <w:rPr>
                <w:rFonts w:hint="eastAsia" w:ascii="宋体" w:hAnsi="宋体" w:eastAsia="宋体" w:cs="宋体"/>
                <w:bCs/>
                <w:sz w:val="24"/>
                <w:szCs w:val="24"/>
              </w:rPr>
              <w:t>）</w:t>
            </w:r>
          </w:p>
        </w:tc>
        <w:tc>
          <w:tcPr>
            <w:tcW w:w="2808" w:type="dxa"/>
            <w:gridSpan w:val="3"/>
            <w:vAlign w:val="center"/>
          </w:tcPr>
          <w:p>
            <w:pPr>
              <w:spacing w:after="0"/>
              <w:rPr>
                <w:rFonts w:ascii="宋体" w:hAnsi="宋体" w:eastAsia="宋体" w:cs="宋体"/>
                <w:bCs/>
                <w:sz w:val="24"/>
                <w:szCs w:val="24"/>
              </w:rPr>
            </w:pPr>
          </w:p>
        </w:tc>
      </w:tr>
    </w:tbl>
    <w:p>
      <w:pPr>
        <w:kinsoku w:val="0"/>
        <w:topLinePunct/>
        <w:snapToGrid w:val="0"/>
        <w:spacing w:line="5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投标人：（盖章）             </w:t>
      </w:r>
    </w:p>
    <w:p>
      <w:pPr>
        <w:kinsoku w:val="0"/>
        <w:topLinePunct/>
        <w:snapToGrid w:val="0"/>
        <w:spacing w:line="5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法定代表人或被授权人（签字或盖章）：</w:t>
      </w:r>
    </w:p>
    <w:p>
      <w:pPr>
        <w:kinsoku w:val="0"/>
        <w:topLinePunct/>
        <w:snapToGrid w:val="0"/>
        <w:spacing w:line="5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pPr>
        <w:overflowPunct w:val="0"/>
        <w:spacing w:line="420" w:lineRule="exact"/>
        <w:jc w:val="center"/>
        <w:textAlignment w:val="baseline"/>
        <w:rPr>
          <w:rFonts w:asciiTheme="minorEastAsia" w:hAnsiTheme="minorEastAsia" w:eastAsiaTheme="minorEastAsia"/>
          <w:bCs/>
          <w:sz w:val="24"/>
          <w:szCs w:val="24"/>
        </w:rPr>
      </w:pPr>
    </w:p>
    <w:p>
      <w:pPr>
        <w:overflowPunct w:val="0"/>
        <w:spacing w:line="420" w:lineRule="exact"/>
        <w:jc w:val="center"/>
        <w:textAlignment w:val="baseline"/>
        <w:rPr>
          <w:rFonts w:asciiTheme="minorEastAsia" w:hAnsiTheme="minorEastAsia" w:eastAsiaTheme="minorEastAsia"/>
          <w:bCs/>
          <w:sz w:val="24"/>
          <w:szCs w:val="24"/>
        </w:rPr>
      </w:pPr>
      <w:r>
        <w:rPr>
          <w:rFonts w:hint="eastAsia" w:asciiTheme="minorEastAsia" w:hAnsiTheme="minorEastAsia" w:eastAsiaTheme="minorEastAsia"/>
          <w:bCs/>
          <w:sz w:val="24"/>
          <w:szCs w:val="24"/>
        </w:rPr>
        <w:t>……全文结束……</w:t>
      </w:r>
    </w:p>
    <w:sectPr>
      <w:footerReference r:id="rId8" w:type="first"/>
      <w:footerReference r:id="rId7" w:type="default"/>
      <w:pgSz w:w="11906" w:h="16838"/>
      <w:pgMar w:top="1242" w:right="850" w:bottom="850" w:left="1417" w:header="851" w:footer="522" w:gutter="0"/>
      <w:pgNumType w:fmt="decimal"/>
      <w:cols w:space="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enlo">
    <w:altName w:val="微软雅黑"/>
    <w:panose1 w:val="00000000000000000000"/>
    <w:charset w:val="00"/>
    <w:family w:val="auto"/>
    <w:pitch w:val="default"/>
    <w:sig w:usb0="00000000" w:usb1="00000000" w:usb2="00000000" w:usb3="00000000" w:csb0="00040001" w:csb1="00000000"/>
  </w:font>
  <w:font w:name="Univers">
    <w:altName w:val="Arial"/>
    <w:panose1 w:val="00000000000000000000"/>
    <w:charset w:val="00"/>
    <w:family w:val="swiss"/>
    <w:pitch w:val="default"/>
    <w:sig w:usb0="00000000" w:usb1="00000000" w:usb2="00000000" w:usb3="00000000" w:csb0="0000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4"/>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180"/>
      <w:jc w:val="center"/>
      <w:rPr>
        <w:kern w:val="0"/>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4"/>
      <w:rPr>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180"/>
      <w:jc w:val="center"/>
      <w:rPr>
        <w:rFonts w:hint="eastAsia" w:eastAsia="楷体_GB2312"/>
        <w:kern w:val="0"/>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hint="eastAsia" w:eastAsia="楷体_GB2312"/>
        <w:szCs w:val="18"/>
        <w:lang w:eastAsia="zh-CN"/>
      </w:rPr>
    </w:pPr>
    <w:r>
      <w:rPr>
        <w:rFonts w:hint="eastAsia"/>
        <w:szCs w:val="18"/>
        <w:lang w:eastAsia="zh-CN"/>
      </w:rPr>
      <w:t>南通市保安服务有限公司 2023-2025 年度特勤服供应商库采购项目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hint="eastAsia" w:eastAsia="楷体_GB2312"/>
        <w:szCs w:val="18"/>
        <w:lang w:eastAsia="zh-CN"/>
      </w:rPr>
    </w:pPr>
    <w:r>
      <w:rPr>
        <w:rFonts w:hint="eastAsia"/>
        <w:szCs w:val="18"/>
        <w:lang w:eastAsia="zh-CN"/>
      </w:rPr>
      <w:t>南通市保安服务有限公司 2023-2025 年度特勤服供应商库采购项目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suff w:val="nothing"/>
      <w:lvlText w:val="%1、"/>
      <w:lvlJc w:val="left"/>
      <w:pPr>
        <w:ind w:left="150" w:firstLine="560"/>
      </w:pPr>
      <w:rPr>
        <w:rFonts w:hint="default"/>
        <w:b w:val="0"/>
        <w:sz w:val="24"/>
        <w:szCs w:val="24"/>
      </w:r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1">
    <w:nsid w:val="0A4228F0"/>
    <w:multiLevelType w:val="multilevel"/>
    <w:tmpl w:val="0A4228F0"/>
    <w:lvl w:ilvl="0" w:tentative="0">
      <w:start w:val="1"/>
      <w:numFmt w:val="decimal"/>
      <w:lvlText w:val="（%1）"/>
      <w:lvlJc w:val="left"/>
      <w:pPr>
        <w:ind w:left="960" w:hanging="72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2">
    <w:nsid w:val="1660B5F6"/>
    <w:multiLevelType w:val="singleLevel"/>
    <w:tmpl w:val="1660B5F6"/>
    <w:lvl w:ilvl="0" w:tentative="0">
      <w:start w:val="6"/>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attachedTemplate r:id="rId1"/>
  <w:documentProtection w:enforcement="0"/>
  <w:defaultTabStop w:val="425"/>
  <w:drawingGridHorizontalSpacing w:val="0"/>
  <w:drawingGridVerticalSpacing w:val="19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mYjNkZjNmY2VmYjIxZmJmOWQwZWYxNDY0NDE1MDIifQ=="/>
  </w:docVars>
  <w:rsids>
    <w:rsidRoot w:val="00172A27"/>
    <w:rsid w:val="000023C2"/>
    <w:rsid w:val="00004177"/>
    <w:rsid w:val="000165F2"/>
    <w:rsid w:val="0002194C"/>
    <w:rsid w:val="000223F7"/>
    <w:rsid w:val="0002499A"/>
    <w:rsid w:val="0002729A"/>
    <w:rsid w:val="00030745"/>
    <w:rsid w:val="000332E4"/>
    <w:rsid w:val="000353EA"/>
    <w:rsid w:val="000374D2"/>
    <w:rsid w:val="00040B44"/>
    <w:rsid w:val="0004377F"/>
    <w:rsid w:val="00045B63"/>
    <w:rsid w:val="00052F18"/>
    <w:rsid w:val="00054574"/>
    <w:rsid w:val="00054F1E"/>
    <w:rsid w:val="00055762"/>
    <w:rsid w:val="00055E9B"/>
    <w:rsid w:val="00055EAE"/>
    <w:rsid w:val="00057B9A"/>
    <w:rsid w:val="00067E7E"/>
    <w:rsid w:val="00071298"/>
    <w:rsid w:val="0007268B"/>
    <w:rsid w:val="00072AF9"/>
    <w:rsid w:val="00081E88"/>
    <w:rsid w:val="00083EF3"/>
    <w:rsid w:val="00086343"/>
    <w:rsid w:val="0009184C"/>
    <w:rsid w:val="00091B9B"/>
    <w:rsid w:val="00092319"/>
    <w:rsid w:val="00093177"/>
    <w:rsid w:val="00097DC7"/>
    <w:rsid w:val="000A14F5"/>
    <w:rsid w:val="000A47E6"/>
    <w:rsid w:val="000A77BD"/>
    <w:rsid w:val="000B50DC"/>
    <w:rsid w:val="000B5364"/>
    <w:rsid w:val="000B5BC9"/>
    <w:rsid w:val="000C44D4"/>
    <w:rsid w:val="000C464C"/>
    <w:rsid w:val="000C6DD6"/>
    <w:rsid w:val="000D422E"/>
    <w:rsid w:val="000D6F04"/>
    <w:rsid w:val="000E0355"/>
    <w:rsid w:val="000E7035"/>
    <w:rsid w:val="000E784B"/>
    <w:rsid w:val="000F106E"/>
    <w:rsid w:val="000F2A02"/>
    <w:rsid w:val="000F5026"/>
    <w:rsid w:val="000F60F3"/>
    <w:rsid w:val="0010360A"/>
    <w:rsid w:val="001037BE"/>
    <w:rsid w:val="001043CD"/>
    <w:rsid w:val="00105021"/>
    <w:rsid w:val="001058D4"/>
    <w:rsid w:val="00111BDD"/>
    <w:rsid w:val="001165C0"/>
    <w:rsid w:val="00117CDB"/>
    <w:rsid w:val="0012163E"/>
    <w:rsid w:val="001315C1"/>
    <w:rsid w:val="00132F1B"/>
    <w:rsid w:val="00136758"/>
    <w:rsid w:val="001431C1"/>
    <w:rsid w:val="00144017"/>
    <w:rsid w:val="001525E8"/>
    <w:rsid w:val="00156E70"/>
    <w:rsid w:val="001608DD"/>
    <w:rsid w:val="001652D1"/>
    <w:rsid w:val="00172A27"/>
    <w:rsid w:val="00182FA5"/>
    <w:rsid w:val="0018334C"/>
    <w:rsid w:val="00186674"/>
    <w:rsid w:val="001914CF"/>
    <w:rsid w:val="0019184B"/>
    <w:rsid w:val="001A241E"/>
    <w:rsid w:val="001A324E"/>
    <w:rsid w:val="001A4E52"/>
    <w:rsid w:val="001A6253"/>
    <w:rsid w:val="001A69B6"/>
    <w:rsid w:val="001B0B46"/>
    <w:rsid w:val="001B776F"/>
    <w:rsid w:val="001D09C1"/>
    <w:rsid w:val="001D0ED8"/>
    <w:rsid w:val="001D24A8"/>
    <w:rsid w:val="001D38BC"/>
    <w:rsid w:val="001D3D4E"/>
    <w:rsid w:val="001D7596"/>
    <w:rsid w:val="001E0125"/>
    <w:rsid w:val="001E33FA"/>
    <w:rsid w:val="001E37AB"/>
    <w:rsid w:val="001E7111"/>
    <w:rsid w:val="001E7EDB"/>
    <w:rsid w:val="001F0E41"/>
    <w:rsid w:val="001F46CC"/>
    <w:rsid w:val="00203C97"/>
    <w:rsid w:val="00205CAD"/>
    <w:rsid w:val="00206C6F"/>
    <w:rsid w:val="00206FA3"/>
    <w:rsid w:val="00210D3F"/>
    <w:rsid w:val="00213B68"/>
    <w:rsid w:val="00215764"/>
    <w:rsid w:val="002202DA"/>
    <w:rsid w:val="00221244"/>
    <w:rsid w:val="00227BEF"/>
    <w:rsid w:val="002312C3"/>
    <w:rsid w:val="00232600"/>
    <w:rsid w:val="0023768B"/>
    <w:rsid w:val="00240452"/>
    <w:rsid w:val="0024123F"/>
    <w:rsid w:val="00241F40"/>
    <w:rsid w:val="002466F2"/>
    <w:rsid w:val="002508AF"/>
    <w:rsid w:val="00251700"/>
    <w:rsid w:val="00252CB3"/>
    <w:rsid w:val="00252CDD"/>
    <w:rsid w:val="0025403A"/>
    <w:rsid w:val="0025782C"/>
    <w:rsid w:val="00261064"/>
    <w:rsid w:val="0026630D"/>
    <w:rsid w:val="002675A1"/>
    <w:rsid w:val="0028301F"/>
    <w:rsid w:val="00284F8E"/>
    <w:rsid w:val="00290056"/>
    <w:rsid w:val="0029013A"/>
    <w:rsid w:val="00290B56"/>
    <w:rsid w:val="00292D3A"/>
    <w:rsid w:val="002A12C8"/>
    <w:rsid w:val="002A1FD2"/>
    <w:rsid w:val="002A7AF3"/>
    <w:rsid w:val="002B2BA5"/>
    <w:rsid w:val="002B2EF8"/>
    <w:rsid w:val="002B77B8"/>
    <w:rsid w:val="002C52C7"/>
    <w:rsid w:val="002D003A"/>
    <w:rsid w:val="002D4115"/>
    <w:rsid w:val="002D6864"/>
    <w:rsid w:val="002E0EB1"/>
    <w:rsid w:val="002E3E90"/>
    <w:rsid w:val="002E440F"/>
    <w:rsid w:val="002F181A"/>
    <w:rsid w:val="002F1D39"/>
    <w:rsid w:val="002F3923"/>
    <w:rsid w:val="002F392B"/>
    <w:rsid w:val="002F3A4F"/>
    <w:rsid w:val="002F48DF"/>
    <w:rsid w:val="002F4A91"/>
    <w:rsid w:val="002F6E69"/>
    <w:rsid w:val="002F7463"/>
    <w:rsid w:val="002F7716"/>
    <w:rsid w:val="003006B4"/>
    <w:rsid w:val="003010BE"/>
    <w:rsid w:val="00301FA9"/>
    <w:rsid w:val="00311551"/>
    <w:rsid w:val="00312DA9"/>
    <w:rsid w:val="00314F92"/>
    <w:rsid w:val="00315AFC"/>
    <w:rsid w:val="00317BDB"/>
    <w:rsid w:val="003211E3"/>
    <w:rsid w:val="00323C3A"/>
    <w:rsid w:val="00324B6E"/>
    <w:rsid w:val="00327DFE"/>
    <w:rsid w:val="0033769F"/>
    <w:rsid w:val="0034142B"/>
    <w:rsid w:val="0034439F"/>
    <w:rsid w:val="00346478"/>
    <w:rsid w:val="00347699"/>
    <w:rsid w:val="0035144C"/>
    <w:rsid w:val="00351C38"/>
    <w:rsid w:val="00352A1A"/>
    <w:rsid w:val="00352B9C"/>
    <w:rsid w:val="003536CC"/>
    <w:rsid w:val="00353AC5"/>
    <w:rsid w:val="00353D59"/>
    <w:rsid w:val="003541D9"/>
    <w:rsid w:val="00356480"/>
    <w:rsid w:val="00357A5B"/>
    <w:rsid w:val="00362A3A"/>
    <w:rsid w:val="0036491A"/>
    <w:rsid w:val="00365A6D"/>
    <w:rsid w:val="00365A71"/>
    <w:rsid w:val="00370FBD"/>
    <w:rsid w:val="003757EB"/>
    <w:rsid w:val="00380D2E"/>
    <w:rsid w:val="0038506E"/>
    <w:rsid w:val="00386D2E"/>
    <w:rsid w:val="00387636"/>
    <w:rsid w:val="003948C6"/>
    <w:rsid w:val="003A0BDF"/>
    <w:rsid w:val="003A0E40"/>
    <w:rsid w:val="003A2920"/>
    <w:rsid w:val="003A34AC"/>
    <w:rsid w:val="003A3B0E"/>
    <w:rsid w:val="003A5977"/>
    <w:rsid w:val="003A601C"/>
    <w:rsid w:val="003A69BD"/>
    <w:rsid w:val="003A6F91"/>
    <w:rsid w:val="003B3A31"/>
    <w:rsid w:val="003B7355"/>
    <w:rsid w:val="003C040F"/>
    <w:rsid w:val="003C0D1A"/>
    <w:rsid w:val="003C781A"/>
    <w:rsid w:val="003D1FA1"/>
    <w:rsid w:val="003D25DE"/>
    <w:rsid w:val="003E01F5"/>
    <w:rsid w:val="003E0890"/>
    <w:rsid w:val="003E0963"/>
    <w:rsid w:val="003E11A0"/>
    <w:rsid w:val="003E11AE"/>
    <w:rsid w:val="003E2522"/>
    <w:rsid w:val="003E25FF"/>
    <w:rsid w:val="003E2638"/>
    <w:rsid w:val="003E5AC2"/>
    <w:rsid w:val="003E7310"/>
    <w:rsid w:val="003F1540"/>
    <w:rsid w:val="003F1939"/>
    <w:rsid w:val="003F1BB6"/>
    <w:rsid w:val="003F2052"/>
    <w:rsid w:val="003F215A"/>
    <w:rsid w:val="003F2199"/>
    <w:rsid w:val="003F21FB"/>
    <w:rsid w:val="003F3B5E"/>
    <w:rsid w:val="00401527"/>
    <w:rsid w:val="004042FA"/>
    <w:rsid w:val="004051EC"/>
    <w:rsid w:val="00406A24"/>
    <w:rsid w:val="0041070D"/>
    <w:rsid w:val="00411FDD"/>
    <w:rsid w:val="0041260F"/>
    <w:rsid w:val="00413C1E"/>
    <w:rsid w:val="004174D8"/>
    <w:rsid w:val="00417FB8"/>
    <w:rsid w:val="0042666F"/>
    <w:rsid w:val="00433083"/>
    <w:rsid w:val="00433AD3"/>
    <w:rsid w:val="0043580F"/>
    <w:rsid w:val="00446350"/>
    <w:rsid w:val="0044779B"/>
    <w:rsid w:val="00451E84"/>
    <w:rsid w:val="00452260"/>
    <w:rsid w:val="004536DF"/>
    <w:rsid w:val="004550AB"/>
    <w:rsid w:val="0046048F"/>
    <w:rsid w:val="004643BB"/>
    <w:rsid w:val="00465C3A"/>
    <w:rsid w:val="00467378"/>
    <w:rsid w:val="00470038"/>
    <w:rsid w:val="00471499"/>
    <w:rsid w:val="00471E9A"/>
    <w:rsid w:val="00472B6E"/>
    <w:rsid w:val="004731CC"/>
    <w:rsid w:val="004749B5"/>
    <w:rsid w:val="00476F31"/>
    <w:rsid w:val="00477980"/>
    <w:rsid w:val="00481DBC"/>
    <w:rsid w:val="00482FE8"/>
    <w:rsid w:val="00484CB4"/>
    <w:rsid w:val="0048508F"/>
    <w:rsid w:val="004904C9"/>
    <w:rsid w:val="00494BCA"/>
    <w:rsid w:val="004A18E6"/>
    <w:rsid w:val="004A2674"/>
    <w:rsid w:val="004A30AD"/>
    <w:rsid w:val="004A3651"/>
    <w:rsid w:val="004A3F5B"/>
    <w:rsid w:val="004A6877"/>
    <w:rsid w:val="004B01E8"/>
    <w:rsid w:val="004B5E33"/>
    <w:rsid w:val="004B73B9"/>
    <w:rsid w:val="004C0167"/>
    <w:rsid w:val="004C3526"/>
    <w:rsid w:val="004C4B35"/>
    <w:rsid w:val="004C753D"/>
    <w:rsid w:val="004D520F"/>
    <w:rsid w:val="004D5AA7"/>
    <w:rsid w:val="004D5C11"/>
    <w:rsid w:val="004E0791"/>
    <w:rsid w:val="004E29AE"/>
    <w:rsid w:val="004E4B61"/>
    <w:rsid w:val="004E7A3A"/>
    <w:rsid w:val="004F011C"/>
    <w:rsid w:val="004F07CD"/>
    <w:rsid w:val="004F0AEA"/>
    <w:rsid w:val="004F0C65"/>
    <w:rsid w:val="004F4DE1"/>
    <w:rsid w:val="004F7C54"/>
    <w:rsid w:val="00502169"/>
    <w:rsid w:val="00506895"/>
    <w:rsid w:val="00512392"/>
    <w:rsid w:val="00514515"/>
    <w:rsid w:val="0051539A"/>
    <w:rsid w:val="005157C5"/>
    <w:rsid w:val="00515CE9"/>
    <w:rsid w:val="00517757"/>
    <w:rsid w:val="00517C56"/>
    <w:rsid w:val="00523B1D"/>
    <w:rsid w:val="005242D3"/>
    <w:rsid w:val="005251DB"/>
    <w:rsid w:val="005257FE"/>
    <w:rsid w:val="005326FB"/>
    <w:rsid w:val="00541A4E"/>
    <w:rsid w:val="00541EA5"/>
    <w:rsid w:val="00543741"/>
    <w:rsid w:val="00543A60"/>
    <w:rsid w:val="005440AB"/>
    <w:rsid w:val="00546EF0"/>
    <w:rsid w:val="00550E36"/>
    <w:rsid w:val="00551B8F"/>
    <w:rsid w:val="00552B8C"/>
    <w:rsid w:val="005543DA"/>
    <w:rsid w:val="005562E4"/>
    <w:rsid w:val="005659DF"/>
    <w:rsid w:val="00567176"/>
    <w:rsid w:val="00567B73"/>
    <w:rsid w:val="0057277D"/>
    <w:rsid w:val="00575064"/>
    <w:rsid w:val="00575901"/>
    <w:rsid w:val="00575BCB"/>
    <w:rsid w:val="00575E95"/>
    <w:rsid w:val="00576309"/>
    <w:rsid w:val="00581A92"/>
    <w:rsid w:val="0058442C"/>
    <w:rsid w:val="00592949"/>
    <w:rsid w:val="005938F1"/>
    <w:rsid w:val="0059710C"/>
    <w:rsid w:val="00597FA0"/>
    <w:rsid w:val="005A0DFC"/>
    <w:rsid w:val="005A5FDD"/>
    <w:rsid w:val="005A60B1"/>
    <w:rsid w:val="005A7DDD"/>
    <w:rsid w:val="005B005D"/>
    <w:rsid w:val="005B23AC"/>
    <w:rsid w:val="005B336C"/>
    <w:rsid w:val="005B3755"/>
    <w:rsid w:val="005C4811"/>
    <w:rsid w:val="005D091A"/>
    <w:rsid w:val="005D226A"/>
    <w:rsid w:val="005D2716"/>
    <w:rsid w:val="005D3603"/>
    <w:rsid w:val="005D4022"/>
    <w:rsid w:val="005D4ADC"/>
    <w:rsid w:val="005E318D"/>
    <w:rsid w:val="005E4468"/>
    <w:rsid w:val="005E70D7"/>
    <w:rsid w:val="005F2DBE"/>
    <w:rsid w:val="005F3218"/>
    <w:rsid w:val="00600C22"/>
    <w:rsid w:val="00601336"/>
    <w:rsid w:val="00602680"/>
    <w:rsid w:val="00613840"/>
    <w:rsid w:val="00620B2E"/>
    <w:rsid w:val="00621983"/>
    <w:rsid w:val="006267F1"/>
    <w:rsid w:val="00627CFD"/>
    <w:rsid w:val="00634FCA"/>
    <w:rsid w:val="00636029"/>
    <w:rsid w:val="006362F2"/>
    <w:rsid w:val="00636DBA"/>
    <w:rsid w:val="00637FD0"/>
    <w:rsid w:val="006403B0"/>
    <w:rsid w:val="0064333C"/>
    <w:rsid w:val="00652D24"/>
    <w:rsid w:val="006563A8"/>
    <w:rsid w:val="0066228F"/>
    <w:rsid w:val="0067376E"/>
    <w:rsid w:val="00677FDE"/>
    <w:rsid w:val="00681636"/>
    <w:rsid w:val="006849D0"/>
    <w:rsid w:val="00685ECC"/>
    <w:rsid w:val="00686377"/>
    <w:rsid w:val="00686E7D"/>
    <w:rsid w:val="00687482"/>
    <w:rsid w:val="00687F62"/>
    <w:rsid w:val="00693DFF"/>
    <w:rsid w:val="00694A7B"/>
    <w:rsid w:val="00695231"/>
    <w:rsid w:val="00695362"/>
    <w:rsid w:val="00697095"/>
    <w:rsid w:val="006971BA"/>
    <w:rsid w:val="006A3B84"/>
    <w:rsid w:val="006A4F73"/>
    <w:rsid w:val="006B6114"/>
    <w:rsid w:val="006C0A5D"/>
    <w:rsid w:val="006C0EF8"/>
    <w:rsid w:val="006C35F2"/>
    <w:rsid w:val="006C54B5"/>
    <w:rsid w:val="006C5BD5"/>
    <w:rsid w:val="006C6B70"/>
    <w:rsid w:val="006D05F7"/>
    <w:rsid w:val="006D4808"/>
    <w:rsid w:val="006E039E"/>
    <w:rsid w:val="006E0AC4"/>
    <w:rsid w:val="006E0D06"/>
    <w:rsid w:val="006E5D40"/>
    <w:rsid w:val="006F28C3"/>
    <w:rsid w:val="006F53A3"/>
    <w:rsid w:val="007011BA"/>
    <w:rsid w:val="007025F7"/>
    <w:rsid w:val="007051F7"/>
    <w:rsid w:val="007052AB"/>
    <w:rsid w:val="00706A4D"/>
    <w:rsid w:val="007101C2"/>
    <w:rsid w:val="0071020F"/>
    <w:rsid w:val="00712E34"/>
    <w:rsid w:val="00724326"/>
    <w:rsid w:val="00734D06"/>
    <w:rsid w:val="00734FB2"/>
    <w:rsid w:val="007350D4"/>
    <w:rsid w:val="00735AA2"/>
    <w:rsid w:val="00737113"/>
    <w:rsid w:val="00740941"/>
    <w:rsid w:val="007430D0"/>
    <w:rsid w:val="0074497B"/>
    <w:rsid w:val="00745378"/>
    <w:rsid w:val="00745E40"/>
    <w:rsid w:val="00747A74"/>
    <w:rsid w:val="007510D1"/>
    <w:rsid w:val="007513E4"/>
    <w:rsid w:val="00751E13"/>
    <w:rsid w:val="00752BF1"/>
    <w:rsid w:val="00754B2E"/>
    <w:rsid w:val="007614B4"/>
    <w:rsid w:val="00764FAE"/>
    <w:rsid w:val="0076583D"/>
    <w:rsid w:val="00771B86"/>
    <w:rsid w:val="007740FA"/>
    <w:rsid w:val="007747B1"/>
    <w:rsid w:val="00774B85"/>
    <w:rsid w:val="0077609C"/>
    <w:rsid w:val="0079094C"/>
    <w:rsid w:val="007925DB"/>
    <w:rsid w:val="00794CC6"/>
    <w:rsid w:val="0079516F"/>
    <w:rsid w:val="0079662B"/>
    <w:rsid w:val="00796DAC"/>
    <w:rsid w:val="007974F6"/>
    <w:rsid w:val="007A1BA2"/>
    <w:rsid w:val="007A4AC8"/>
    <w:rsid w:val="007B064C"/>
    <w:rsid w:val="007B324E"/>
    <w:rsid w:val="007B5F5E"/>
    <w:rsid w:val="007C17DC"/>
    <w:rsid w:val="007C3DD7"/>
    <w:rsid w:val="007C6ACB"/>
    <w:rsid w:val="007C6F19"/>
    <w:rsid w:val="007C7425"/>
    <w:rsid w:val="007D16FC"/>
    <w:rsid w:val="007D1DD2"/>
    <w:rsid w:val="007F1719"/>
    <w:rsid w:val="007F3FEE"/>
    <w:rsid w:val="007F66E5"/>
    <w:rsid w:val="007F69DC"/>
    <w:rsid w:val="00800D75"/>
    <w:rsid w:val="00805A91"/>
    <w:rsid w:val="00810FBF"/>
    <w:rsid w:val="00813551"/>
    <w:rsid w:val="00816D93"/>
    <w:rsid w:val="008216F9"/>
    <w:rsid w:val="00821756"/>
    <w:rsid w:val="008227E8"/>
    <w:rsid w:val="008232AE"/>
    <w:rsid w:val="00823C24"/>
    <w:rsid w:val="00825B46"/>
    <w:rsid w:val="008306E2"/>
    <w:rsid w:val="0083532D"/>
    <w:rsid w:val="00836C23"/>
    <w:rsid w:val="008447B9"/>
    <w:rsid w:val="008448F7"/>
    <w:rsid w:val="00845C08"/>
    <w:rsid w:val="00846989"/>
    <w:rsid w:val="00847CAE"/>
    <w:rsid w:val="00847F42"/>
    <w:rsid w:val="00850E9C"/>
    <w:rsid w:val="008526F8"/>
    <w:rsid w:val="00852E62"/>
    <w:rsid w:val="0085498C"/>
    <w:rsid w:val="0085783B"/>
    <w:rsid w:val="00860580"/>
    <w:rsid w:val="008607D0"/>
    <w:rsid w:val="00867C97"/>
    <w:rsid w:val="00870447"/>
    <w:rsid w:val="008729B5"/>
    <w:rsid w:val="008743A2"/>
    <w:rsid w:val="00877A8A"/>
    <w:rsid w:val="00877CC6"/>
    <w:rsid w:val="008812AA"/>
    <w:rsid w:val="00882F64"/>
    <w:rsid w:val="00885C76"/>
    <w:rsid w:val="00885E40"/>
    <w:rsid w:val="00886D08"/>
    <w:rsid w:val="008A1D0F"/>
    <w:rsid w:val="008A4F4C"/>
    <w:rsid w:val="008A645A"/>
    <w:rsid w:val="008B1FF6"/>
    <w:rsid w:val="008B3220"/>
    <w:rsid w:val="008B3560"/>
    <w:rsid w:val="008C7FF9"/>
    <w:rsid w:val="008D624A"/>
    <w:rsid w:val="008D6AA9"/>
    <w:rsid w:val="008D7EE2"/>
    <w:rsid w:val="008E0196"/>
    <w:rsid w:val="008E11CD"/>
    <w:rsid w:val="008E16C5"/>
    <w:rsid w:val="008E44CB"/>
    <w:rsid w:val="008E4556"/>
    <w:rsid w:val="008F2220"/>
    <w:rsid w:val="008F2A9A"/>
    <w:rsid w:val="008F4C41"/>
    <w:rsid w:val="008F7DB8"/>
    <w:rsid w:val="009016E9"/>
    <w:rsid w:val="00905E18"/>
    <w:rsid w:val="009071BA"/>
    <w:rsid w:val="009103E9"/>
    <w:rsid w:val="00911312"/>
    <w:rsid w:val="00911C56"/>
    <w:rsid w:val="00914732"/>
    <w:rsid w:val="0091799A"/>
    <w:rsid w:val="00922AAE"/>
    <w:rsid w:val="00927076"/>
    <w:rsid w:val="0093070E"/>
    <w:rsid w:val="009311A2"/>
    <w:rsid w:val="009329EC"/>
    <w:rsid w:val="00933363"/>
    <w:rsid w:val="00934904"/>
    <w:rsid w:val="00934D59"/>
    <w:rsid w:val="00935157"/>
    <w:rsid w:val="00936983"/>
    <w:rsid w:val="0094238C"/>
    <w:rsid w:val="00945E71"/>
    <w:rsid w:val="0095102F"/>
    <w:rsid w:val="00951DBA"/>
    <w:rsid w:val="009522BF"/>
    <w:rsid w:val="009535EA"/>
    <w:rsid w:val="009555AE"/>
    <w:rsid w:val="00955970"/>
    <w:rsid w:val="009562B4"/>
    <w:rsid w:val="00960D5D"/>
    <w:rsid w:val="00962EF8"/>
    <w:rsid w:val="00963CF4"/>
    <w:rsid w:val="00966313"/>
    <w:rsid w:val="00973ED2"/>
    <w:rsid w:val="0097502E"/>
    <w:rsid w:val="00975356"/>
    <w:rsid w:val="00976BE9"/>
    <w:rsid w:val="00980593"/>
    <w:rsid w:val="00981B76"/>
    <w:rsid w:val="0098318A"/>
    <w:rsid w:val="00986567"/>
    <w:rsid w:val="00986C08"/>
    <w:rsid w:val="0099405D"/>
    <w:rsid w:val="00996E87"/>
    <w:rsid w:val="009977FE"/>
    <w:rsid w:val="009A184C"/>
    <w:rsid w:val="009A277E"/>
    <w:rsid w:val="009A35B4"/>
    <w:rsid w:val="009A4E0B"/>
    <w:rsid w:val="009A7DB1"/>
    <w:rsid w:val="009B05D0"/>
    <w:rsid w:val="009B073A"/>
    <w:rsid w:val="009B3501"/>
    <w:rsid w:val="009C33CE"/>
    <w:rsid w:val="009C34ED"/>
    <w:rsid w:val="009C5446"/>
    <w:rsid w:val="009C6600"/>
    <w:rsid w:val="009C7BE8"/>
    <w:rsid w:val="009D2205"/>
    <w:rsid w:val="009D2DBD"/>
    <w:rsid w:val="009E1883"/>
    <w:rsid w:val="009E2DEF"/>
    <w:rsid w:val="009E3941"/>
    <w:rsid w:val="009E4019"/>
    <w:rsid w:val="009E5539"/>
    <w:rsid w:val="009F177D"/>
    <w:rsid w:val="009F4845"/>
    <w:rsid w:val="009F5C0D"/>
    <w:rsid w:val="009F7543"/>
    <w:rsid w:val="00A01ADD"/>
    <w:rsid w:val="00A0285C"/>
    <w:rsid w:val="00A0675F"/>
    <w:rsid w:val="00A07F4B"/>
    <w:rsid w:val="00A12188"/>
    <w:rsid w:val="00A125F4"/>
    <w:rsid w:val="00A13CD3"/>
    <w:rsid w:val="00A14414"/>
    <w:rsid w:val="00A166F7"/>
    <w:rsid w:val="00A3392F"/>
    <w:rsid w:val="00A347E5"/>
    <w:rsid w:val="00A401BC"/>
    <w:rsid w:val="00A41B80"/>
    <w:rsid w:val="00A4224D"/>
    <w:rsid w:val="00A42D60"/>
    <w:rsid w:val="00A4301D"/>
    <w:rsid w:val="00A4327D"/>
    <w:rsid w:val="00A507E9"/>
    <w:rsid w:val="00A545CC"/>
    <w:rsid w:val="00A54FD6"/>
    <w:rsid w:val="00A60E82"/>
    <w:rsid w:val="00A64AC4"/>
    <w:rsid w:val="00A67F9C"/>
    <w:rsid w:val="00A725D7"/>
    <w:rsid w:val="00A74A99"/>
    <w:rsid w:val="00A76738"/>
    <w:rsid w:val="00A8119C"/>
    <w:rsid w:val="00AA29D3"/>
    <w:rsid w:val="00AA6495"/>
    <w:rsid w:val="00AB1661"/>
    <w:rsid w:val="00AB2B18"/>
    <w:rsid w:val="00AB3237"/>
    <w:rsid w:val="00AB3672"/>
    <w:rsid w:val="00AB56A3"/>
    <w:rsid w:val="00AC60C5"/>
    <w:rsid w:val="00AD104E"/>
    <w:rsid w:val="00AD1E76"/>
    <w:rsid w:val="00AD2464"/>
    <w:rsid w:val="00AD262A"/>
    <w:rsid w:val="00AD72A9"/>
    <w:rsid w:val="00AE33D8"/>
    <w:rsid w:val="00AE5828"/>
    <w:rsid w:val="00AE6415"/>
    <w:rsid w:val="00AF07B4"/>
    <w:rsid w:val="00AF5235"/>
    <w:rsid w:val="00AF7210"/>
    <w:rsid w:val="00B0226F"/>
    <w:rsid w:val="00B02A75"/>
    <w:rsid w:val="00B02F8C"/>
    <w:rsid w:val="00B0389E"/>
    <w:rsid w:val="00B04D96"/>
    <w:rsid w:val="00B06FC6"/>
    <w:rsid w:val="00B104A1"/>
    <w:rsid w:val="00B11C08"/>
    <w:rsid w:val="00B13D5B"/>
    <w:rsid w:val="00B145BB"/>
    <w:rsid w:val="00B16A3F"/>
    <w:rsid w:val="00B17282"/>
    <w:rsid w:val="00B232E8"/>
    <w:rsid w:val="00B250BF"/>
    <w:rsid w:val="00B259AB"/>
    <w:rsid w:val="00B27FF3"/>
    <w:rsid w:val="00B3017A"/>
    <w:rsid w:val="00B3023D"/>
    <w:rsid w:val="00B309F4"/>
    <w:rsid w:val="00B35A9A"/>
    <w:rsid w:val="00B376F2"/>
    <w:rsid w:val="00B37F55"/>
    <w:rsid w:val="00B40A2F"/>
    <w:rsid w:val="00B4185C"/>
    <w:rsid w:val="00B4623B"/>
    <w:rsid w:val="00B463D0"/>
    <w:rsid w:val="00B4714E"/>
    <w:rsid w:val="00B50B18"/>
    <w:rsid w:val="00B51AD3"/>
    <w:rsid w:val="00B537F1"/>
    <w:rsid w:val="00B56153"/>
    <w:rsid w:val="00B572B7"/>
    <w:rsid w:val="00B632C2"/>
    <w:rsid w:val="00B638CE"/>
    <w:rsid w:val="00B6414E"/>
    <w:rsid w:val="00B65FF7"/>
    <w:rsid w:val="00B67CDC"/>
    <w:rsid w:val="00B72E65"/>
    <w:rsid w:val="00B7478F"/>
    <w:rsid w:val="00B74DE2"/>
    <w:rsid w:val="00B773B8"/>
    <w:rsid w:val="00B82BC3"/>
    <w:rsid w:val="00B84A77"/>
    <w:rsid w:val="00B86C33"/>
    <w:rsid w:val="00B87367"/>
    <w:rsid w:val="00B96097"/>
    <w:rsid w:val="00B97410"/>
    <w:rsid w:val="00BA43B0"/>
    <w:rsid w:val="00BA4932"/>
    <w:rsid w:val="00BA7939"/>
    <w:rsid w:val="00BB0346"/>
    <w:rsid w:val="00BB1E56"/>
    <w:rsid w:val="00BB4C15"/>
    <w:rsid w:val="00BB56C9"/>
    <w:rsid w:val="00BB74DD"/>
    <w:rsid w:val="00BB7DBA"/>
    <w:rsid w:val="00BC2FAA"/>
    <w:rsid w:val="00BD0D1F"/>
    <w:rsid w:val="00BD2602"/>
    <w:rsid w:val="00BD58F6"/>
    <w:rsid w:val="00BD69B7"/>
    <w:rsid w:val="00BE2286"/>
    <w:rsid w:val="00BE5DF9"/>
    <w:rsid w:val="00BE6885"/>
    <w:rsid w:val="00BE6EE0"/>
    <w:rsid w:val="00BF098C"/>
    <w:rsid w:val="00BF0EDA"/>
    <w:rsid w:val="00BF1B66"/>
    <w:rsid w:val="00BF305C"/>
    <w:rsid w:val="00BF4AF0"/>
    <w:rsid w:val="00BF4C3F"/>
    <w:rsid w:val="00BF5CFF"/>
    <w:rsid w:val="00BF78DF"/>
    <w:rsid w:val="00C0003E"/>
    <w:rsid w:val="00C06C17"/>
    <w:rsid w:val="00C104DA"/>
    <w:rsid w:val="00C1251F"/>
    <w:rsid w:val="00C12A68"/>
    <w:rsid w:val="00C14C7D"/>
    <w:rsid w:val="00C15740"/>
    <w:rsid w:val="00C1665A"/>
    <w:rsid w:val="00C17C09"/>
    <w:rsid w:val="00C237A4"/>
    <w:rsid w:val="00C25029"/>
    <w:rsid w:val="00C3233A"/>
    <w:rsid w:val="00C3292E"/>
    <w:rsid w:val="00C370F6"/>
    <w:rsid w:val="00C435BA"/>
    <w:rsid w:val="00C44A31"/>
    <w:rsid w:val="00C4767F"/>
    <w:rsid w:val="00C51004"/>
    <w:rsid w:val="00C54C57"/>
    <w:rsid w:val="00C66AF2"/>
    <w:rsid w:val="00C67D00"/>
    <w:rsid w:val="00C71165"/>
    <w:rsid w:val="00C71F7C"/>
    <w:rsid w:val="00C76CEB"/>
    <w:rsid w:val="00C80A16"/>
    <w:rsid w:val="00C821DC"/>
    <w:rsid w:val="00C84180"/>
    <w:rsid w:val="00C900FB"/>
    <w:rsid w:val="00CA17CD"/>
    <w:rsid w:val="00CB0113"/>
    <w:rsid w:val="00CB1751"/>
    <w:rsid w:val="00CB3589"/>
    <w:rsid w:val="00CB41BF"/>
    <w:rsid w:val="00CB5641"/>
    <w:rsid w:val="00CB610C"/>
    <w:rsid w:val="00CC11D3"/>
    <w:rsid w:val="00CC199A"/>
    <w:rsid w:val="00CC2DE2"/>
    <w:rsid w:val="00CC31DA"/>
    <w:rsid w:val="00CC5FC4"/>
    <w:rsid w:val="00CD048F"/>
    <w:rsid w:val="00CD15DF"/>
    <w:rsid w:val="00CD3720"/>
    <w:rsid w:val="00CE04BB"/>
    <w:rsid w:val="00CE0C66"/>
    <w:rsid w:val="00CE263A"/>
    <w:rsid w:val="00CE5693"/>
    <w:rsid w:val="00CF0BE6"/>
    <w:rsid w:val="00CF1275"/>
    <w:rsid w:val="00CF141E"/>
    <w:rsid w:val="00CF3004"/>
    <w:rsid w:val="00CF7447"/>
    <w:rsid w:val="00CF758C"/>
    <w:rsid w:val="00D01D20"/>
    <w:rsid w:val="00D1359E"/>
    <w:rsid w:val="00D14464"/>
    <w:rsid w:val="00D2005A"/>
    <w:rsid w:val="00D27930"/>
    <w:rsid w:val="00D33378"/>
    <w:rsid w:val="00D37763"/>
    <w:rsid w:val="00D406F8"/>
    <w:rsid w:val="00D460FC"/>
    <w:rsid w:val="00D46C2B"/>
    <w:rsid w:val="00D47465"/>
    <w:rsid w:val="00D47EB9"/>
    <w:rsid w:val="00D50533"/>
    <w:rsid w:val="00D51326"/>
    <w:rsid w:val="00D545F7"/>
    <w:rsid w:val="00D54B28"/>
    <w:rsid w:val="00D555A4"/>
    <w:rsid w:val="00D60717"/>
    <w:rsid w:val="00D60736"/>
    <w:rsid w:val="00D617BE"/>
    <w:rsid w:val="00D6433C"/>
    <w:rsid w:val="00D64867"/>
    <w:rsid w:val="00D64B4E"/>
    <w:rsid w:val="00D64F44"/>
    <w:rsid w:val="00D67448"/>
    <w:rsid w:val="00D71C9C"/>
    <w:rsid w:val="00D767FA"/>
    <w:rsid w:val="00D77C77"/>
    <w:rsid w:val="00D80087"/>
    <w:rsid w:val="00D82EF9"/>
    <w:rsid w:val="00D832D2"/>
    <w:rsid w:val="00D8493A"/>
    <w:rsid w:val="00D84E72"/>
    <w:rsid w:val="00D860E4"/>
    <w:rsid w:val="00D87D2D"/>
    <w:rsid w:val="00D9004F"/>
    <w:rsid w:val="00D94D5D"/>
    <w:rsid w:val="00D97F29"/>
    <w:rsid w:val="00DA0F81"/>
    <w:rsid w:val="00DA3338"/>
    <w:rsid w:val="00DA41DE"/>
    <w:rsid w:val="00DA63B1"/>
    <w:rsid w:val="00DB7DC3"/>
    <w:rsid w:val="00DC2177"/>
    <w:rsid w:val="00DC3C81"/>
    <w:rsid w:val="00DC3F17"/>
    <w:rsid w:val="00DC4889"/>
    <w:rsid w:val="00DD22CA"/>
    <w:rsid w:val="00DD3683"/>
    <w:rsid w:val="00DD7746"/>
    <w:rsid w:val="00DD7B4E"/>
    <w:rsid w:val="00DD7DE0"/>
    <w:rsid w:val="00DE44D5"/>
    <w:rsid w:val="00DE74E9"/>
    <w:rsid w:val="00DF2D23"/>
    <w:rsid w:val="00DF7A9A"/>
    <w:rsid w:val="00E00B8A"/>
    <w:rsid w:val="00E06549"/>
    <w:rsid w:val="00E11BAD"/>
    <w:rsid w:val="00E13700"/>
    <w:rsid w:val="00E222F3"/>
    <w:rsid w:val="00E23028"/>
    <w:rsid w:val="00E231BE"/>
    <w:rsid w:val="00E248B7"/>
    <w:rsid w:val="00E24F4C"/>
    <w:rsid w:val="00E25859"/>
    <w:rsid w:val="00E330CF"/>
    <w:rsid w:val="00E354E1"/>
    <w:rsid w:val="00E3700F"/>
    <w:rsid w:val="00E40225"/>
    <w:rsid w:val="00E408B6"/>
    <w:rsid w:val="00E42029"/>
    <w:rsid w:val="00E42884"/>
    <w:rsid w:val="00E43CE8"/>
    <w:rsid w:val="00E44ECD"/>
    <w:rsid w:val="00E462D9"/>
    <w:rsid w:val="00E511BE"/>
    <w:rsid w:val="00E5607A"/>
    <w:rsid w:val="00E60089"/>
    <w:rsid w:val="00E60E0F"/>
    <w:rsid w:val="00E62831"/>
    <w:rsid w:val="00E62EC0"/>
    <w:rsid w:val="00E631EF"/>
    <w:rsid w:val="00E65BAC"/>
    <w:rsid w:val="00E67687"/>
    <w:rsid w:val="00E73402"/>
    <w:rsid w:val="00E73762"/>
    <w:rsid w:val="00E75B92"/>
    <w:rsid w:val="00E80B7C"/>
    <w:rsid w:val="00E91043"/>
    <w:rsid w:val="00E92441"/>
    <w:rsid w:val="00E92ABC"/>
    <w:rsid w:val="00E92B54"/>
    <w:rsid w:val="00E9320E"/>
    <w:rsid w:val="00E94BB5"/>
    <w:rsid w:val="00EA103E"/>
    <w:rsid w:val="00EA2583"/>
    <w:rsid w:val="00EA4831"/>
    <w:rsid w:val="00EB0C9D"/>
    <w:rsid w:val="00EB0E9B"/>
    <w:rsid w:val="00EB7D09"/>
    <w:rsid w:val="00EC2092"/>
    <w:rsid w:val="00ED0E65"/>
    <w:rsid w:val="00EE08B5"/>
    <w:rsid w:val="00EE13A2"/>
    <w:rsid w:val="00EE418C"/>
    <w:rsid w:val="00EF0CAE"/>
    <w:rsid w:val="00EF385C"/>
    <w:rsid w:val="00EF540A"/>
    <w:rsid w:val="00EF682E"/>
    <w:rsid w:val="00F00267"/>
    <w:rsid w:val="00F009FD"/>
    <w:rsid w:val="00F019A0"/>
    <w:rsid w:val="00F0289A"/>
    <w:rsid w:val="00F10701"/>
    <w:rsid w:val="00F11FB9"/>
    <w:rsid w:val="00F12CD4"/>
    <w:rsid w:val="00F13001"/>
    <w:rsid w:val="00F20285"/>
    <w:rsid w:val="00F204A1"/>
    <w:rsid w:val="00F221DD"/>
    <w:rsid w:val="00F24A9C"/>
    <w:rsid w:val="00F2527D"/>
    <w:rsid w:val="00F25628"/>
    <w:rsid w:val="00F261D5"/>
    <w:rsid w:val="00F26EDA"/>
    <w:rsid w:val="00F2712F"/>
    <w:rsid w:val="00F3083E"/>
    <w:rsid w:val="00F323F0"/>
    <w:rsid w:val="00F37E12"/>
    <w:rsid w:val="00F41CF5"/>
    <w:rsid w:val="00F44CA4"/>
    <w:rsid w:val="00F45E17"/>
    <w:rsid w:val="00F47801"/>
    <w:rsid w:val="00F53281"/>
    <w:rsid w:val="00F57350"/>
    <w:rsid w:val="00F60B50"/>
    <w:rsid w:val="00F62D5C"/>
    <w:rsid w:val="00F638D3"/>
    <w:rsid w:val="00F650A9"/>
    <w:rsid w:val="00F669E1"/>
    <w:rsid w:val="00F7075F"/>
    <w:rsid w:val="00F70F7D"/>
    <w:rsid w:val="00F75922"/>
    <w:rsid w:val="00F763C8"/>
    <w:rsid w:val="00F77329"/>
    <w:rsid w:val="00F8024B"/>
    <w:rsid w:val="00F83E50"/>
    <w:rsid w:val="00F84CFC"/>
    <w:rsid w:val="00F96ADC"/>
    <w:rsid w:val="00FA5ABD"/>
    <w:rsid w:val="00FB7686"/>
    <w:rsid w:val="00FC052E"/>
    <w:rsid w:val="00FC1EFA"/>
    <w:rsid w:val="00FC2D0E"/>
    <w:rsid w:val="00FC3E11"/>
    <w:rsid w:val="00FC3FC8"/>
    <w:rsid w:val="00FC6930"/>
    <w:rsid w:val="00FD252F"/>
    <w:rsid w:val="00FD4694"/>
    <w:rsid w:val="00FD5DA5"/>
    <w:rsid w:val="00FD7BF4"/>
    <w:rsid w:val="00FE2F66"/>
    <w:rsid w:val="00FF0F2F"/>
    <w:rsid w:val="00FF391A"/>
    <w:rsid w:val="00FF6BCE"/>
    <w:rsid w:val="014B2DCB"/>
    <w:rsid w:val="01A7608C"/>
    <w:rsid w:val="01DD1DDB"/>
    <w:rsid w:val="029A187E"/>
    <w:rsid w:val="02DC4C0E"/>
    <w:rsid w:val="03BA1B83"/>
    <w:rsid w:val="03C76312"/>
    <w:rsid w:val="03D175E8"/>
    <w:rsid w:val="04051437"/>
    <w:rsid w:val="04907368"/>
    <w:rsid w:val="04DB23B5"/>
    <w:rsid w:val="053310B5"/>
    <w:rsid w:val="0536626E"/>
    <w:rsid w:val="058C7450"/>
    <w:rsid w:val="05934DF8"/>
    <w:rsid w:val="05FC4841"/>
    <w:rsid w:val="06006C4E"/>
    <w:rsid w:val="06B84C89"/>
    <w:rsid w:val="071D159D"/>
    <w:rsid w:val="075C3970"/>
    <w:rsid w:val="07BF5A55"/>
    <w:rsid w:val="080A045C"/>
    <w:rsid w:val="097E2834"/>
    <w:rsid w:val="09AA5D69"/>
    <w:rsid w:val="09FB5160"/>
    <w:rsid w:val="0B4034BA"/>
    <w:rsid w:val="0BDA49B3"/>
    <w:rsid w:val="0CAA523C"/>
    <w:rsid w:val="0CCE2319"/>
    <w:rsid w:val="0D1F37D1"/>
    <w:rsid w:val="0DBB0E2A"/>
    <w:rsid w:val="0DF878E7"/>
    <w:rsid w:val="0DFD4A91"/>
    <w:rsid w:val="0E0632C6"/>
    <w:rsid w:val="0E4D5B60"/>
    <w:rsid w:val="0E645DF2"/>
    <w:rsid w:val="0F975E1D"/>
    <w:rsid w:val="0F9F69E2"/>
    <w:rsid w:val="0FD57F70"/>
    <w:rsid w:val="0FE47E65"/>
    <w:rsid w:val="10D96841"/>
    <w:rsid w:val="11097DAB"/>
    <w:rsid w:val="112371A2"/>
    <w:rsid w:val="122F2B53"/>
    <w:rsid w:val="12847191"/>
    <w:rsid w:val="12904491"/>
    <w:rsid w:val="12A17D01"/>
    <w:rsid w:val="12BA07A5"/>
    <w:rsid w:val="12CB7703"/>
    <w:rsid w:val="131830AA"/>
    <w:rsid w:val="13CA1B57"/>
    <w:rsid w:val="14086DC9"/>
    <w:rsid w:val="142A1BD3"/>
    <w:rsid w:val="145E57EA"/>
    <w:rsid w:val="14D062CA"/>
    <w:rsid w:val="15512484"/>
    <w:rsid w:val="15996C0B"/>
    <w:rsid w:val="15CC2D06"/>
    <w:rsid w:val="15DA7749"/>
    <w:rsid w:val="15E73501"/>
    <w:rsid w:val="16296478"/>
    <w:rsid w:val="168035E6"/>
    <w:rsid w:val="16947699"/>
    <w:rsid w:val="16AF4443"/>
    <w:rsid w:val="16CA1252"/>
    <w:rsid w:val="17764F54"/>
    <w:rsid w:val="17F92C9E"/>
    <w:rsid w:val="181E7944"/>
    <w:rsid w:val="18A65C13"/>
    <w:rsid w:val="18F8172D"/>
    <w:rsid w:val="19205A29"/>
    <w:rsid w:val="199E2E6B"/>
    <w:rsid w:val="19B05DCE"/>
    <w:rsid w:val="19BC798E"/>
    <w:rsid w:val="19DE1512"/>
    <w:rsid w:val="1B100058"/>
    <w:rsid w:val="1BD45342"/>
    <w:rsid w:val="1C1D5C5C"/>
    <w:rsid w:val="1C9B44C8"/>
    <w:rsid w:val="1CB0280E"/>
    <w:rsid w:val="1D6F2958"/>
    <w:rsid w:val="1D942276"/>
    <w:rsid w:val="1E2E4982"/>
    <w:rsid w:val="1E2F20D9"/>
    <w:rsid w:val="1E3F4573"/>
    <w:rsid w:val="1E405EF4"/>
    <w:rsid w:val="1E7C34AE"/>
    <w:rsid w:val="1E8342C6"/>
    <w:rsid w:val="1EC93D1A"/>
    <w:rsid w:val="1ED6378A"/>
    <w:rsid w:val="1F247A0C"/>
    <w:rsid w:val="1F844CA8"/>
    <w:rsid w:val="201257DF"/>
    <w:rsid w:val="20942AF0"/>
    <w:rsid w:val="20A978A1"/>
    <w:rsid w:val="21213DCA"/>
    <w:rsid w:val="21760A05"/>
    <w:rsid w:val="222136D6"/>
    <w:rsid w:val="22803E19"/>
    <w:rsid w:val="22810BCB"/>
    <w:rsid w:val="22A27C17"/>
    <w:rsid w:val="233B50FF"/>
    <w:rsid w:val="235A04AF"/>
    <w:rsid w:val="23613054"/>
    <w:rsid w:val="237C3160"/>
    <w:rsid w:val="23A075BC"/>
    <w:rsid w:val="246C7D08"/>
    <w:rsid w:val="24A728A3"/>
    <w:rsid w:val="24D93B00"/>
    <w:rsid w:val="251F7D23"/>
    <w:rsid w:val="25D64D05"/>
    <w:rsid w:val="263D6608"/>
    <w:rsid w:val="267D2917"/>
    <w:rsid w:val="26A62D06"/>
    <w:rsid w:val="26B1178E"/>
    <w:rsid w:val="26D51193"/>
    <w:rsid w:val="279940DA"/>
    <w:rsid w:val="27C20D3D"/>
    <w:rsid w:val="28143BCE"/>
    <w:rsid w:val="28166395"/>
    <w:rsid w:val="28397580"/>
    <w:rsid w:val="283A3F0F"/>
    <w:rsid w:val="288F29DA"/>
    <w:rsid w:val="28B67DBD"/>
    <w:rsid w:val="291D1213"/>
    <w:rsid w:val="2939686F"/>
    <w:rsid w:val="299054D8"/>
    <w:rsid w:val="29C1586F"/>
    <w:rsid w:val="2BA05CBC"/>
    <w:rsid w:val="2BB979FC"/>
    <w:rsid w:val="2BF20F38"/>
    <w:rsid w:val="2CE4523D"/>
    <w:rsid w:val="2D12256D"/>
    <w:rsid w:val="2E020ED5"/>
    <w:rsid w:val="2E260344"/>
    <w:rsid w:val="2E734141"/>
    <w:rsid w:val="2E8C72D3"/>
    <w:rsid w:val="2E956C7E"/>
    <w:rsid w:val="2F2663C7"/>
    <w:rsid w:val="2FCF2577"/>
    <w:rsid w:val="30736A4F"/>
    <w:rsid w:val="30817D16"/>
    <w:rsid w:val="30FB6020"/>
    <w:rsid w:val="326E7E4D"/>
    <w:rsid w:val="32B833AF"/>
    <w:rsid w:val="32DE33FD"/>
    <w:rsid w:val="33070D20"/>
    <w:rsid w:val="33923E41"/>
    <w:rsid w:val="34496377"/>
    <w:rsid w:val="3473097F"/>
    <w:rsid w:val="34750DEC"/>
    <w:rsid w:val="35A13572"/>
    <w:rsid w:val="35DE058B"/>
    <w:rsid w:val="35EA64FD"/>
    <w:rsid w:val="35FA36E0"/>
    <w:rsid w:val="361F1D5C"/>
    <w:rsid w:val="36877708"/>
    <w:rsid w:val="368C402E"/>
    <w:rsid w:val="369013EA"/>
    <w:rsid w:val="37167388"/>
    <w:rsid w:val="37572072"/>
    <w:rsid w:val="37573E39"/>
    <w:rsid w:val="3758743B"/>
    <w:rsid w:val="386C20C4"/>
    <w:rsid w:val="38700706"/>
    <w:rsid w:val="387C3025"/>
    <w:rsid w:val="38CC5B33"/>
    <w:rsid w:val="38FA1379"/>
    <w:rsid w:val="39816359"/>
    <w:rsid w:val="39981C2C"/>
    <w:rsid w:val="39A41D45"/>
    <w:rsid w:val="3A1C6673"/>
    <w:rsid w:val="3A6B32AC"/>
    <w:rsid w:val="3AA550E6"/>
    <w:rsid w:val="3B1D23AE"/>
    <w:rsid w:val="3B443FFD"/>
    <w:rsid w:val="3B800F73"/>
    <w:rsid w:val="3B9E18B6"/>
    <w:rsid w:val="3BB30288"/>
    <w:rsid w:val="3C836BC3"/>
    <w:rsid w:val="3CFF5069"/>
    <w:rsid w:val="3D087767"/>
    <w:rsid w:val="3D124969"/>
    <w:rsid w:val="3DAD4E3F"/>
    <w:rsid w:val="3DB94650"/>
    <w:rsid w:val="3E0C6502"/>
    <w:rsid w:val="3E346E42"/>
    <w:rsid w:val="3E7527AA"/>
    <w:rsid w:val="3E832165"/>
    <w:rsid w:val="3E943839"/>
    <w:rsid w:val="3EC50D1B"/>
    <w:rsid w:val="3EFF350C"/>
    <w:rsid w:val="3F40766C"/>
    <w:rsid w:val="3F4567E1"/>
    <w:rsid w:val="3F6F71A7"/>
    <w:rsid w:val="3FDB27D6"/>
    <w:rsid w:val="3FEF6007"/>
    <w:rsid w:val="406E5D14"/>
    <w:rsid w:val="40931EAC"/>
    <w:rsid w:val="40A84E4B"/>
    <w:rsid w:val="40E62E7D"/>
    <w:rsid w:val="40F52DC0"/>
    <w:rsid w:val="41123315"/>
    <w:rsid w:val="41753925"/>
    <w:rsid w:val="41B958AF"/>
    <w:rsid w:val="427F7C80"/>
    <w:rsid w:val="42AB228D"/>
    <w:rsid w:val="42D13EC8"/>
    <w:rsid w:val="435F435D"/>
    <w:rsid w:val="43F13BDE"/>
    <w:rsid w:val="43F73F6D"/>
    <w:rsid w:val="443A40BF"/>
    <w:rsid w:val="447B1447"/>
    <w:rsid w:val="453452D6"/>
    <w:rsid w:val="45715BC6"/>
    <w:rsid w:val="45782CDC"/>
    <w:rsid w:val="45873CEF"/>
    <w:rsid w:val="46182753"/>
    <w:rsid w:val="46615AF6"/>
    <w:rsid w:val="46A61BF8"/>
    <w:rsid w:val="46CB6236"/>
    <w:rsid w:val="47942B0E"/>
    <w:rsid w:val="479E0B1D"/>
    <w:rsid w:val="487E491C"/>
    <w:rsid w:val="48FC406E"/>
    <w:rsid w:val="48FD37D9"/>
    <w:rsid w:val="49935F6C"/>
    <w:rsid w:val="49C74B68"/>
    <w:rsid w:val="49FB5243"/>
    <w:rsid w:val="4A852E89"/>
    <w:rsid w:val="4AC27642"/>
    <w:rsid w:val="4ADB14EE"/>
    <w:rsid w:val="4BD765E4"/>
    <w:rsid w:val="4BED4059"/>
    <w:rsid w:val="4BF63EE8"/>
    <w:rsid w:val="4C956993"/>
    <w:rsid w:val="4CF8661D"/>
    <w:rsid w:val="4CFD78A8"/>
    <w:rsid w:val="4E3F2E89"/>
    <w:rsid w:val="4E7454B3"/>
    <w:rsid w:val="4FD179D6"/>
    <w:rsid w:val="50011C36"/>
    <w:rsid w:val="500357BB"/>
    <w:rsid w:val="504F73BD"/>
    <w:rsid w:val="50973D4D"/>
    <w:rsid w:val="50BC3FFA"/>
    <w:rsid w:val="50F005E4"/>
    <w:rsid w:val="51A645A1"/>
    <w:rsid w:val="51F43356"/>
    <w:rsid w:val="52AF2B69"/>
    <w:rsid w:val="535E7980"/>
    <w:rsid w:val="536A25E3"/>
    <w:rsid w:val="53ED60EC"/>
    <w:rsid w:val="53FE6F40"/>
    <w:rsid w:val="54254490"/>
    <w:rsid w:val="54273965"/>
    <w:rsid w:val="54980746"/>
    <w:rsid w:val="551B40D3"/>
    <w:rsid w:val="55575F45"/>
    <w:rsid w:val="55F4043A"/>
    <w:rsid w:val="56A93273"/>
    <w:rsid w:val="56CA7081"/>
    <w:rsid w:val="56F7053C"/>
    <w:rsid w:val="57240366"/>
    <w:rsid w:val="575A72CB"/>
    <w:rsid w:val="576D1B64"/>
    <w:rsid w:val="59116D72"/>
    <w:rsid w:val="592B4413"/>
    <w:rsid w:val="594B3864"/>
    <w:rsid w:val="5A531560"/>
    <w:rsid w:val="5A972928"/>
    <w:rsid w:val="5AA56E6D"/>
    <w:rsid w:val="5B5C6B06"/>
    <w:rsid w:val="5C210A58"/>
    <w:rsid w:val="5C4A5809"/>
    <w:rsid w:val="5C6B5784"/>
    <w:rsid w:val="5CC57632"/>
    <w:rsid w:val="5CCE0268"/>
    <w:rsid w:val="5DF24353"/>
    <w:rsid w:val="5E5D3327"/>
    <w:rsid w:val="5F3B33B7"/>
    <w:rsid w:val="5FC04721"/>
    <w:rsid w:val="5FD83359"/>
    <w:rsid w:val="60076895"/>
    <w:rsid w:val="607F3749"/>
    <w:rsid w:val="609E6326"/>
    <w:rsid w:val="617B1B6A"/>
    <w:rsid w:val="61E408FB"/>
    <w:rsid w:val="622B0887"/>
    <w:rsid w:val="62D37937"/>
    <w:rsid w:val="6318036C"/>
    <w:rsid w:val="63FF642B"/>
    <w:rsid w:val="641066DF"/>
    <w:rsid w:val="641937E6"/>
    <w:rsid w:val="647E3DD7"/>
    <w:rsid w:val="648B01E9"/>
    <w:rsid w:val="64FB3007"/>
    <w:rsid w:val="64FE5CD8"/>
    <w:rsid w:val="652206E1"/>
    <w:rsid w:val="65962C14"/>
    <w:rsid w:val="65C332FC"/>
    <w:rsid w:val="66082841"/>
    <w:rsid w:val="66A21C90"/>
    <w:rsid w:val="66D73CFB"/>
    <w:rsid w:val="67202F15"/>
    <w:rsid w:val="673F5C02"/>
    <w:rsid w:val="67943DE6"/>
    <w:rsid w:val="68D51218"/>
    <w:rsid w:val="69942A14"/>
    <w:rsid w:val="69DF4EFF"/>
    <w:rsid w:val="69E97A77"/>
    <w:rsid w:val="6A05091A"/>
    <w:rsid w:val="6A08010A"/>
    <w:rsid w:val="6A43285E"/>
    <w:rsid w:val="6B720F44"/>
    <w:rsid w:val="6CBE1932"/>
    <w:rsid w:val="6CCA178D"/>
    <w:rsid w:val="6D00746A"/>
    <w:rsid w:val="6D067FDA"/>
    <w:rsid w:val="6D34028B"/>
    <w:rsid w:val="6D9D3795"/>
    <w:rsid w:val="6DFB0A52"/>
    <w:rsid w:val="6EBB4C82"/>
    <w:rsid w:val="6ED86674"/>
    <w:rsid w:val="6F2D7C26"/>
    <w:rsid w:val="6FAC723E"/>
    <w:rsid w:val="705C654C"/>
    <w:rsid w:val="70CB2626"/>
    <w:rsid w:val="715268C4"/>
    <w:rsid w:val="724518E0"/>
    <w:rsid w:val="725D3765"/>
    <w:rsid w:val="72E2059D"/>
    <w:rsid w:val="738E1C0C"/>
    <w:rsid w:val="74281F5B"/>
    <w:rsid w:val="74AE2A93"/>
    <w:rsid w:val="74D74B23"/>
    <w:rsid w:val="74EF24E5"/>
    <w:rsid w:val="759768DC"/>
    <w:rsid w:val="75B12021"/>
    <w:rsid w:val="75B54BB8"/>
    <w:rsid w:val="76245AB2"/>
    <w:rsid w:val="7645296C"/>
    <w:rsid w:val="765B60A8"/>
    <w:rsid w:val="76A37917"/>
    <w:rsid w:val="76DE3FBD"/>
    <w:rsid w:val="76EB42AA"/>
    <w:rsid w:val="778B75B0"/>
    <w:rsid w:val="77A83B40"/>
    <w:rsid w:val="77FD6317"/>
    <w:rsid w:val="78A91BD1"/>
    <w:rsid w:val="78B50366"/>
    <w:rsid w:val="78D44D38"/>
    <w:rsid w:val="78EA4451"/>
    <w:rsid w:val="79464FE0"/>
    <w:rsid w:val="79552F84"/>
    <w:rsid w:val="79975481"/>
    <w:rsid w:val="79F31C00"/>
    <w:rsid w:val="7A016D9E"/>
    <w:rsid w:val="7A617702"/>
    <w:rsid w:val="7AC97A44"/>
    <w:rsid w:val="7AFE6A2D"/>
    <w:rsid w:val="7B00752B"/>
    <w:rsid w:val="7B167964"/>
    <w:rsid w:val="7B3F255A"/>
    <w:rsid w:val="7BD20183"/>
    <w:rsid w:val="7C2A6D0C"/>
    <w:rsid w:val="7C63286E"/>
    <w:rsid w:val="7CF36E72"/>
    <w:rsid w:val="7D5C45F2"/>
    <w:rsid w:val="7D5D42EC"/>
    <w:rsid w:val="7D876AD5"/>
    <w:rsid w:val="7DFF14C6"/>
    <w:rsid w:val="7E171ACD"/>
    <w:rsid w:val="7E585053"/>
    <w:rsid w:val="7E5A7A0C"/>
    <w:rsid w:val="7EAB6839"/>
    <w:rsid w:val="7ED67840"/>
    <w:rsid w:val="7EDD76E2"/>
    <w:rsid w:val="7FC17DD5"/>
    <w:rsid w:val="7FE37E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楷体_GB2312" w:cs="Times New Roman"/>
      <w:kern w:val="2"/>
      <w:sz w:val="26"/>
      <w:lang w:val="en-US" w:eastAsia="zh-CN" w:bidi="ar-SA"/>
    </w:rPr>
  </w:style>
  <w:style w:type="paragraph" w:styleId="5">
    <w:name w:val="heading 1"/>
    <w:basedOn w:val="1"/>
    <w:next w:val="6"/>
    <w:link w:val="78"/>
    <w:qFormat/>
    <w:uiPriority w:val="0"/>
    <w:pPr>
      <w:keepNext/>
      <w:keepLines/>
      <w:spacing w:before="340" w:after="330" w:line="578" w:lineRule="auto"/>
      <w:outlineLvl w:val="0"/>
    </w:pPr>
    <w:rPr>
      <w:rFonts w:ascii="Times New Roman" w:hAnsi="Times New Roman"/>
      <w:b/>
      <w:kern w:val="44"/>
      <w:sz w:val="44"/>
    </w:rPr>
  </w:style>
  <w:style w:type="paragraph" w:styleId="7">
    <w:name w:val="heading 2"/>
    <w:basedOn w:val="1"/>
    <w:next w:val="1"/>
    <w:link w:val="79"/>
    <w:qFormat/>
    <w:uiPriority w:val="0"/>
    <w:pPr>
      <w:keepNext/>
      <w:keepLines/>
      <w:overflowPunct w:val="0"/>
      <w:adjustRightInd w:val="0"/>
      <w:jc w:val="left"/>
      <w:textAlignment w:val="baseline"/>
      <w:outlineLvl w:val="1"/>
    </w:pPr>
    <w:rPr>
      <w:rFonts w:ascii="宋体" w:hAnsi="宋体"/>
      <w:b/>
    </w:rPr>
  </w:style>
  <w:style w:type="paragraph" w:styleId="8">
    <w:name w:val="heading 3"/>
    <w:basedOn w:val="1"/>
    <w:next w:val="6"/>
    <w:link w:val="80"/>
    <w:qFormat/>
    <w:uiPriority w:val="0"/>
    <w:pPr>
      <w:keepNext/>
      <w:keepLines/>
      <w:adjustRightInd w:val="0"/>
      <w:jc w:val="left"/>
      <w:textAlignment w:val="baseline"/>
      <w:outlineLvl w:val="2"/>
    </w:pPr>
    <w:rPr>
      <w:rFonts w:ascii="Times New Roman" w:hAnsi="Times New Roman"/>
      <w:b/>
    </w:rPr>
  </w:style>
  <w:style w:type="paragraph" w:styleId="9">
    <w:name w:val="heading 4"/>
    <w:basedOn w:val="1"/>
    <w:next w:val="1"/>
    <w:link w:val="81"/>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6"/>
    <w:link w:val="83"/>
    <w:qFormat/>
    <w:uiPriority w:val="0"/>
    <w:pPr>
      <w:keepNext/>
      <w:keepLines/>
      <w:tabs>
        <w:tab w:val="left" w:pos="1008"/>
      </w:tabs>
      <w:spacing w:before="280" w:after="290" w:line="376" w:lineRule="auto"/>
      <w:ind w:left="1008" w:hanging="1008"/>
      <w:outlineLvl w:val="4"/>
    </w:pPr>
    <w:rPr>
      <w:rFonts w:ascii="宋体" w:hAnsi="Times New Roman" w:eastAsia="宋体"/>
      <w:b/>
      <w:spacing w:val="-2"/>
      <w:position w:val="-6"/>
      <w:sz w:val="28"/>
    </w:rPr>
  </w:style>
  <w:style w:type="paragraph" w:styleId="11">
    <w:name w:val="heading 6"/>
    <w:basedOn w:val="1"/>
    <w:next w:val="6"/>
    <w:link w:val="84"/>
    <w:qFormat/>
    <w:uiPriority w:val="0"/>
    <w:pPr>
      <w:keepNext/>
      <w:keepLines/>
      <w:tabs>
        <w:tab w:val="left" w:pos="1152"/>
      </w:tabs>
      <w:spacing w:before="240" w:after="64" w:line="320" w:lineRule="auto"/>
      <w:ind w:left="1152" w:hanging="1152"/>
      <w:outlineLvl w:val="5"/>
    </w:pPr>
    <w:rPr>
      <w:rFonts w:ascii="Arial" w:hAnsi="Arial" w:eastAsia="黑体"/>
      <w:b/>
      <w:spacing w:val="-2"/>
      <w:position w:val="-6"/>
      <w:sz w:val="24"/>
    </w:rPr>
  </w:style>
  <w:style w:type="paragraph" w:styleId="12">
    <w:name w:val="heading 7"/>
    <w:basedOn w:val="1"/>
    <w:next w:val="6"/>
    <w:link w:val="85"/>
    <w:qFormat/>
    <w:uiPriority w:val="0"/>
    <w:pPr>
      <w:keepNext/>
      <w:keepLines/>
      <w:tabs>
        <w:tab w:val="left" w:pos="1296"/>
      </w:tabs>
      <w:spacing w:before="240" w:after="64" w:line="320" w:lineRule="auto"/>
      <w:ind w:left="1296" w:hanging="1296"/>
      <w:outlineLvl w:val="6"/>
    </w:pPr>
    <w:rPr>
      <w:rFonts w:ascii="宋体" w:hAnsi="Times New Roman" w:eastAsia="宋体"/>
      <w:b/>
      <w:spacing w:val="-2"/>
      <w:position w:val="-6"/>
      <w:sz w:val="24"/>
    </w:rPr>
  </w:style>
  <w:style w:type="paragraph" w:styleId="13">
    <w:name w:val="heading 8"/>
    <w:basedOn w:val="1"/>
    <w:next w:val="6"/>
    <w:link w:val="86"/>
    <w:qFormat/>
    <w:uiPriority w:val="0"/>
    <w:pPr>
      <w:keepNext/>
      <w:keepLines/>
      <w:tabs>
        <w:tab w:val="left" w:pos="1440"/>
      </w:tabs>
      <w:spacing w:before="240" w:after="64" w:line="320" w:lineRule="auto"/>
      <w:ind w:left="1440" w:hanging="1440"/>
      <w:outlineLvl w:val="7"/>
    </w:pPr>
    <w:rPr>
      <w:rFonts w:ascii="Arial" w:hAnsi="Arial" w:eastAsia="黑体"/>
      <w:spacing w:val="-2"/>
      <w:position w:val="-6"/>
      <w:sz w:val="24"/>
    </w:rPr>
  </w:style>
  <w:style w:type="paragraph" w:styleId="14">
    <w:name w:val="heading 9"/>
    <w:basedOn w:val="1"/>
    <w:next w:val="6"/>
    <w:link w:val="87"/>
    <w:qFormat/>
    <w:uiPriority w:val="0"/>
    <w:pPr>
      <w:keepNext/>
      <w:keepLines/>
      <w:tabs>
        <w:tab w:val="left" w:pos="1584"/>
      </w:tabs>
      <w:spacing w:before="240" w:after="64" w:line="320" w:lineRule="auto"/>
      <w:ind w:left="1584" w:hanging="1584"/>
      <w:outlineLvl w:val="8"/>
    </w:pPr>
    <w:rPr>
      <w:rFonts w:ascii="Arial" w:hAnsi="Arial" w:eastAsia="黑体"/>
      <w:spacing w:val="-2"/>
      <w:position w:val="-6"/>
      <w:sz w:val="28"/>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next w:val="4"/>
    <w:link w:val="95"/>
    <w:qFormat/>
    <w:uiPriority w:val="0"/>
    <w:pPr>
      <w:spacing w:line="520" w:lineRule="exact"/>
      <w:ind w:left="570"/>
    </w:pPr>
    <w:rPr>
      <w:rFonts w:ascii="方正仿宋简体" w:hAnsi="创艺简仿宋" w:eastAsia="方正仿宋简体"/>
      <w:sz w:val="24"/>
    </w:rPr>
  </w:style>
  <w:style w:type="paragraph" w:styleId="4">
    <w:name w:val="envelope return"/>
    <w:basedOn w:val="1"/>
    <w:qFormat/>
    <w:uiPriority w:val="99"/>
    <w:pPr>
      <w:snapToGrid w:val="0"/>
    </w:pPr>
    <w:rPr>
      <w:rFonts w:ascii="Arial" w:hAnsi="Arial" w:cs="Arial"/>
    </w:rPr>
  </w:style>
  <w:style w:type="paragraph" w:styleId="6">
    <w:name w:val="Normal Indent"/>
    <w:basedOn w:val="1"/>
    <w:link w:val="82"/>
    <w:qFormat/>
    <w:uiPriority w:val="0"/>
    <w:pPr>
      <w:adjustRightInd w:val="0"/>
      <w:ind w:firstLine="420"/>
      <w:jc w:val="left"/>
      <w:textAlignment w:val="baseline"/>
    </w:pPr>
    <w:rPr>
      <w:rFonts w:ascii="Times New Roman" w:hAnsi="Times New Roman"/>
      <w:sz w:val="24"/>
    </w:rPr>
  </w:style>
  <w:style w:type="paragraph" w:styleId="15">
    <w:name w:val="toc 7"/>
    <w:basedOn w:val="1"/>
    <w:next w:val="1"/>
    <w:qFormat/>
    <w:uiPriority w:val="0"/>
    <w:pPr>
      <w:ind w:left="2520"/>
    </w:pPr>
    <w:rPr>
      <w:rFonts w:ascii="Times New Roman" w:hAnsi="Times New Roman" w:eastAsia="宋体"/>
    </w:rPr>
  </w:style>
  <w:style w:type="paragraph" w:styleId="16">
    <w:name w:val="index 8"/>
    <w:basedOn w:val="1"/>
    <w:next w:val="1"/>
    <w:qFormat/>
    <w:uiPriority w:val="0"/>
    <w:pPr>
      <w:ind w:left="2940"/>
    </w:pPr>
    <w:rPr>
      <w:rFonts w:ascii="Times New Roman" w:hAnsi="Times New Roman" w:eastAsia="宋体"/>
    </w:rPr>
  </w:style>
  <w:style w:type="paragraph" w:styleId="17">
    <w:name w:val="List Number"/>
    <w:basedOn w:val="1"/>
    <w:qFormat/>
    <w:uiPriority w:val="0"/>
    <w:pPr>
      <w:tabs>
        <w:tab w:val="left" w:pos="0"/>
      </w:tabs>
      <w:ind w:left="704" w:hanging="420"/>
    </w:pPr>
    <w:rPr>
      <w:rFonts w:eastAsia="宋体"/>
      <w:sz w:val="21"/>
      <w:szCs w:val="24"/>
    </w:rPr>
  </w:style>
  <w:style w:type="paragraph" w:styleId="18">
    <w:name w:val="index 5"/>
    <w:basedOn w:val="1"/>
    <w:next w:val="1"/>
    <w:qFormat/>
    <w:uiPriority w:val="0"/>
    <w:pPr>
      <w:ind w:left="1680"/>
    </w:pPr>
    <w:rPr>
      <w:rFonts w:ascii="Times New Roman" w:hAnsi="Times New Roman" w:eastAsia="宋体"/>
    </w:rPr>
  </w:style>
  <w:style w:type="paragraph" w:styleId="19">
    <w:name w:val="Document Map"/>
    <w:basedOn w:val="1"/>
    <w:link w:val="102"/>
    <w:qFormat/>
    <w:uiPriority w:val="99"/>
    <w:pPr>
      <w:shd w:val="clear" w:color="auto" w:fill="000080"/>
    </w:pPr>
    <w:rPr>
      <w:rFonts w:eastAsia="宋体"/>
      <w:shd w:val="clear" w:color="auto" w:fill="000080"/>
    </w:rPr>
  </w:style>
  <w:style w:type="paragraph" w:styleId="20">
    <w:name w:val="toa heading"/>
    <w:basedOn w:val="1"/>
    <w:next w:val="1"/>
    <w:qFormat/>
    <w:uiPriority w:val="0"/>
    <w:pPr>
      <w:adjustRightInd w:val="0"/>
      <w:spacing w:before="200" w:line="360" w:lineRule="atLeast"/>
      <w:jc w:val="center"/>
      <w:textAlignment w:val="baseline"/>
    </w:pPr>
    <w:rPr>
      <w:rFonts w:ascii="Arial" w:hAnsi="Arial" w:eastAsia="黑体"/>
      <w:kern w:val="0"/>
      <w:sz w:val="44"/>
    </w:rPr>
  </w:style>
  <w:style w:type="paragraph" w:styleId="21">
    <w:name w:val="annotation text"/>
    <w:basedOn w:val="1"/>
    <w:link w:val="92"/>
    <w:qFormat/>
    <w:uiPriority w:val="0"/>
    <w:pPr>
      <w:jc w:val="left"/>
    </w:pPr>
    <w:rPr>
      <w:rFonts w:ascii="Times New Roman" w:hAnsi="Times New Roman"/>
    </w:rPr>
  </w:style>
  <w:style w:type="paragraph" w:styleId="22">
    <w:name w:val="index 6"/>
    <w:basedOn w:val="1"/>
    <w:next w:val="1"/>
    <w:qFormat/>
    <w:uiPriority w:val="0"/>
    <w:pPr>
      <w:ind w:left="2100"/>
    </w:pPr>
    <w:rPr>
      <w:rFonts w:ascii="Times New Roman" w:hAnsi="Times New Roman" w:eastAsia="宋体"/>
    </w:rPr>
  </w:style>
  <w:style w:type="paragraph" w:styleId="23">
    <w:name w:val="Body Text 3"/>
    <w:basedOn w:val="1"/>
    <w:link w:val="344"/>
    <w:qFormat/>
    <w:uiPriority w:val="0"/>
    <w:rPr>
      <w:rFonts w:ascii="宋体" w:eastAsia="宋体"/>
      <w:kern w:val="0"/>
      <w:sz w:val="24"/>
    </w:rPr>
  </w:style>
  <w:style w:type="paragraph" w:styleId="24">
    <w:name w:val="Body Text"/>
    <w:basedOn w:val="1"/>
    <w:next w:val="25"/>
    <w:link w:val="77"/>
    <w:qFormat/>
    <w:uiPriority w:val="0"/>
    <w:pPr>
      <w:spacing w:line="400" w:lineRule="exact"/>
    </w:pPr>
    <w:rPr>
      <w:rFonts w:ascii="楷体_GB2312" w:hAnsi="Times New Roman" w:eastAsia="宋体"/>
      <w:sz w:val="28"/>
    </w:rPr>
  </w:style>
  <w:style w:type="paragraph" w:customStyle="1" w:styleId="25">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styleId="26">
    <w:name w:val="index 4"/>
    <w:basedOn w:val="1"/>
    <w:next w:val="1"/>
    <w:qFormat/>
    <w:uiPriority w:val="0"/>
    <w:pPr>
      <w:ind w:left="1260"/>
    </w:pPr>
    <w:rPr>
      <w:rFonts w:ascii="Times New Roman" w:hAnsi="Times New Roman" w:eastAsia="宋体"/>
    </w:rPr>
  </w:style>
  <w:style w:type="paragraph" w:styleId="27">
    <w:name w:val="toc 5"/>
    <w:basedOn w:val="1"/>
    <w:next w:val="1"/>
    <w:qFormat/>
    <w:uiPriority w:val="0"/>
    <w:pPr>
      <w:ind w:left="1680"/>
    </w:pPr>
    <w:rPr>
      <w:rFonts w:ascii="Times New Roman" w:hAnsi="Times New Roman" w:eastAsia="宋体"/>
    </w:rPr>
  </w:style>
  <w:style w:type="paragraph" w:styleId="28">
    <w:name w:val="toc 3"/>
    <w:basedOn w:val="1"/>
    <w:next w:val="1"/>
    <w:qFormat/>
    <w:uiPriority w:val="39"/>
    <w:pPr>
      <w:ind w:left="840"/>
    </w:pPr>
    <w:rPr>
      <w:rFonts w:ascii="Times New Roman" w:hAnsi="Times New Roman" w:eastAsia="宋体"/>
    </w:rPr>
  </w:style>
  <w:style w:type="paragraph" w:styleId="29">
    <w:name w:val="Plain Text"/>
    <w:basedOn w:val="1"/>
    <w:link w:val="126"/>
    <w:qFormat/>
    <w:uiPriority w:val="0"/>
    <w:rPr>
      <w:rFonts w:ascii="宋体" w:hAnsi="Courier New"/>
    </w:rPr>
  </w:style>
  <w:style w:type="paragraph" w:styleId="30">
    <w:name w:val="toc 8"/>
    <w:basedOn w:val="1"/>
    <w:next w:val="1"/>
    <w:qFormat/>
    <w:uiPriority w:val="0"/>
    <w:pPr>
      <w:ind w:left="2940"/>
    </w:pPr>
    <w:rPr>
      <w:rFonts w:ascii="Times New Roman" w:hAnsi="Times New Roman" w:eastAsia="宋体"/>
    </w:rPr>
  </w:style>
  <w:style w:type="paragraph" w:styleId="31">
    <w:name w:val="index 3"/>
    <w:basedOn w:val="1"/>
    <w:next w:val="1"/>
    <w:qFormat/>
    <w:uiPriority w:val="0"/>
    <w:pPr>
      <w:ind w:left="840"/>
    </w:pPr>
    <w:rPr>
      <w:rFonts w:ascii="Times New Roman" w:hAnsi="Times New Roman" w:eastAsia="宋体"/>
    </w:rPr>
  </w:style>
  <w:style w:type="paragraph" w:styleId="32">
    <w:name w:val="Date"/>
    <w:basedOn w:val="1"/>
    <w:next w:val="1"/>
    <w:link w:val="137"/>
    <w:qFormat/>
    <w:uiPriority w:val="0"/>
    <w:rPr>
      <w:rFonts w:ascii="宋体" w:hAnsi="宋体" w:eastAsia="宋体"/>
      <w:sz w:val="24"/>
    </w:rPr>
  </w:style>
  <w:style w:type="paragraph" w:styleId="33">
    <w:name w:val="Body Text Indent 2"/>
    <w:basedOn w:val="1"/>
    <w:link w:val="97"/>
    <w:qFormat/>
    <w:uiPriority w:val="0"/>
    <w:pPr>
      <w:tabs>
        <w:tab w:val="left" w:pos="0"/>
      </w:tabs>
      <w:spacing w:line="360" w:lineRule="auto"/>
      <w:ind w:firstLine="502" w:firstLineChars="209"/>
    </w:pPr>
    <w:rPr>
      <w:rFonts w:ascii="宋体" w:eastAsia="宋体"/>
      <w:b/>
      <w:bCs/>
      <w:sz w:val="24"/>
    </w:rPr>
  </w:style>
  <w:style w:type="paragraph" w:styleId="34">
    <w:name w:val="Balloon Text"/>
    <w:basedOn w:val="1"/>
    <w:link w:val="167"/>
    <w:qFormat/>
    <w:uiPriority w:val="0"/>
    <w:rPr>
      <w:rFonts w:ascii="Times New Roman" w:hAnsi="Times New Roman" w:eastAsia="宋体"/>
      <w:sz w:val="18"/>
      <w:szCs w:val="18"/>
    </w:rPr>
  </w:style>
  <w:style w:type="paragraph" w:styleId="35">
    <w:name w:val="footer"/>
    <w:basedOn w:val="1"/>
    <w:link w:val="104"/>
    <w:qFormat/>
    <w:uiPriority w:val="99"/>
    <w:pPr>
      <w:tabs>
        <w:tab w:val="center" w:pos="4153"/>
        <w:tab w:val="right" w:pos="8306"/>
      </w:tabs>
      <w:snapToGrid w:val="0"/>
      <w:jc w:val="left"/>
    </w:pPr>
    <w:rPr>
      <w:rFonts w:ascii="Times New Roman" w:hAnsi="Times New Roman"/>
      <w:sz w:val="18"/>
    </w:rPr>
  </w:style>
  <w:style w:type="paragraph" w:styleId="36">
    <w:name w:val="header"/>
    <w:basedOn w:val="1"/>
    <w:link w:val="89"/>
    <w:qFormat/>
    <w:uiPriority w:val="99"/>
    <w:pPr>
      <w:pBdr>
        <w:bottom w:val="single" w:color="auto" w:sz="6" w:space="1"/>
      </w:pBdr>
      <w:tabs>
        <w:tab w:val="center" w:pos="4153"/>
        <w:tab w:val="right" w:pos="8306"/>
      </w:tabs>
      <w:snapToGrid w:val="0"/>
      <w:jc w:val="center"/>
    </w:pPr>
    <w:rPr>
      <w:rFonts w:ascii="Times New Roman" w:hAnsi="Times New Roman"/>
      <w:sz w:val="18"/>
    </w:rPr>
  </w:style>
  <w:style w:type="paragraph" w:styleId="37">
    <w:name w:val="toc 1"/>
    <w:basedOn w:val="1"/>
    <w:next w:val="1"/>
    <w:qFormat/>
    <w:uiPriority w:val="0"/>
    <w:pPr>
      <w:adjustRightInd w:val="0"/>
      <w:jc w:val="left"/>
      <w:textAlignment w:val="baseline"/>
    </w:pPr>
    <w:rPr>
      <w:rFonts w:ascii="Times New Roman" w:hAnsi="Times New Roman" w:eastAsia="宋体"/>
      <w:sz w:val="24"/>
    </w:rPr>
  </w:style>
  <w:style w:type="paragraph" w:styleId="38">
    <w:name w:val="toc 4"/>
    <w:basedOn w:val="1"/>
    <w:next w:val="1"/>
    <w:qFormat/>
    <w:uiPriority w:val="0"/>
    <w:pPr>
      <w:ind w:left="1260"/>
    </w:pPr>
    <w:rPr>
      <w:rFonts w:ascii="Times New Roman" w:hAnsi="Times New Roman" w:eastAsia="宋体"/>
    </w:rPr>
  </w:style>
  <w:style w:type="paragraph" w:styleId="39">
    <w:name w:val="index heading"/>
    <w:basedOn w:val="1"/>
    <w:next w:val="40"/>
    <w:qFormat/>
    <w:uiPriority w:val="0"/>
    <w:rPr>
      <w:rFonts w:ascii="Times New Roman" w:hAnsi="Times New Roman" w:eastAsia="宋体"/>
    </w:rPr>
  </w:style>
  <w:style w:type="paragraph" w:styleId="40">
    <w:name w:val="index 1"/>
    <w:basedOn w:val="1"/>
    <w:next w:val="1"/>
    <w:qFormat/>
    <w:uiPriority w:val="0"/>
    <w:rPr>
      <w:rFonts w:ascii="Times New Roman" w:hAnsi="Times New Roman" w:eastAsia="宋体"/>
    </w:rPr>
  </w:style>
  <w:style w:type="paragraph" w:styleId="41">
    <w:name w:val="Subtitle"/>
    <w:basedOn w:val="1"/>
    <w:next w:val="1"/>
    <w:link w:val="343"/>
    <w:qFormat/>
    <w:uiPriority w:val="0"/>
    <w:pPr>
      <w:spacing w:before="240" w:after="60" w:line="312" w:lineRule="auto"/>
      <w:jc w:val="center"/>
      <w:outlineLvl w:val="1"/>
    </w:pPr>
    <w:rPr>
      <w:rFonts w:ascii="Cambria" w:hAnsi="Cambria" w:eastAsia="宋体"/>
      <w:b/>
      <w:bCs/>
      <w:kern w:val="28"/>
      <w:sz w:val="32"/>
      <w:szCs w:val="32"/>
    </w:rPr>
  </w:style>
  <w:style w:type="paragraph" w:styleId="42">
    <w:name w:val="List"/>
    <w:basedOn w:val="1"/>
    <w:qFormat/>
    <w:uiPriority w:val="0"/>
    <w:pPr>
      <w:spacing w:before="120" w:after="120"/>
      <w:ind w:left="420" w:hanging="420"/>
    </w:pPr>
    <w:rPr>
      <w:rFonts w:eastAsia="宋体"/>
      <w:sz w:val="24"/>
    </w:rPr>
  </w:style>
  <w:style w:type="paragraph" w:styleId="43">
    <w:name w:val="footnote text"/>
    <w:basedOn w:val="1"/>
    <w:link w:val="160"/>
    <w:qFormat/>
    <w:uiPriority w:val="0"/>
    <w:pPr>
      <w:snapToGrid w:val="0"/>
      <w:jc w:val="left"/>
    </w:pPr>
    <w:rPr>
      <w:rFonts w:ascii="Times New Roman" w:hAnsi="Times New Roman" w:eastAsia="宋体"/>
      <w:sz w:val="18"/>
    </w:rPr>
  </w:style>
  <w:style w:type="paragraph" w:styleId="44">
    <w:name w:val="toc 6"/>
    <w:basedOn w:val="1"/>
    <w:next w:val="1"/>
    <w:qFormat/>
    <w:uiPriority w:val="0"/>
    <w:pPr>
      <w:ind w:left="2100"/>
    </w:pPr>
    <w:rPr>
      <w:rFonts w:ascii="Times New Roman" w:hAnsi="Times New Roman" w:eastAsia="宋体"/>
    </w:rPr>
  </w:style>
  <w:style w:type="paragraph" w:styleId="45">
    <w:name w:val="Body Text Indent 3"/>
    <w:basedOn w:val="1"/>
    <w:link w:val="192"/>
    <w:qFormat/>
    <w:uiPriority w:val="0"/>
    <w:pPr>
      <w:spacing w:line="360" w:lineRule="auto"/>
      <w:ind w:firstLine="617" w:firstLineChars="257"/>
    </w:pPr>
    <w:rPr>
      <w:rFonts w:ascii="Times New Roman" w:hAnsi="Times New Roman" w:eastAsia="宋体"/>
      <w:sz w:val="24"/>
      <w:szCs w:val="24"/>
    </w:rPr>
  </w:style>
  <w:style w:type="paragraph" w:styleId="46">
    <w:name w:val="index 7"/>
    <w:basedOn w:val="1"/>
    <w:next w:val="1"/>
    <w:qFormat/>
    <w:uiPriority w:val="0"/>
    <w:pPr>
      <w:ind w:left="2520"/>
    </w:pPr>
    <w:rPr>
      <w:rFonts w:ascii="Times New Roman" w:hAnsi="Times New Roman" w:eastAsia="宋体"/>
    </w:rPr>
  </w:style>
  <w:style w:type="paragraph" w:styleId="47">
    <w:name w:val="index 9"/>
    <w:basedOn w:val="1"/>
    <w:next w:val="1"/>
    <w:qFormat/>
    <w:uiPriority w:val="0"/>
    <w:pPr>
      <w:ind w:left="3360"/>
    </w:pPr>
    <w:rPr>
      <w:rFonts w:ascii="Times New Roman" w:hAnsi="Times New Roman" w:eastAsia="宋体"/>
    </w:rPr>
  </w:style>
  <w:style w:type="paragraph" w:styleId="48">
    <w:name w:val="table of figures"/>
    <w:basedOn w:val="1"/>
    <w:next w:val="1"/>
    <w:qFormat/>
    <w:uiPriority w:val="0"/>
    <w:pPr>
      <w:adjustRightInd w:val="0"/>
      <w:ind w:left="420" w:hanging="420"/>
      <w:jc w:val="left"/>
      <w:textAlignment w:val="baseline"/>
    </w:pPr>
    <w:rPr>
      <w:rFonts w:ascii="Times New Roman" w:hAnsi="Times New Roman" w:eastAsia="宋体"/>
      <w:smallCaps/>
      <w:sz w:val="24"/>
    </w:rPr>
  </w:style>
  <w:style w:type="paragraph" w:styleId="49">
    <w:name w:val="toc 2"/>
    <w:basedOn w:val="1"/>
    <w:next w:val="1"/>
    <w:qFormat/>
    <w:uiPriority w:val="0"/>
    <w:pPr>
      <w:ind w:left="420"/>
    </w:pPr>
    <w:rPr>
      <w:rFonts w:ascii="Times New Roman" w:hAnsi="Times New Roman" w:eastAsia="宋体"/>
    </w:rPr>
  </w:style>
  <w:style w:type="paragraph" w:styleId="50">
    <w:name w:val="toc 9"/>
    <w:basedOn w:val="1"/>
    <w:next w:val="1"/>
    <w:qFormat/>
    <w:uiPriority w:val="0"/>
    <w:pPr>
      <w:ind w:left="3360"/>
    </w:pPr>
    <w:rPr>
      <w:rFonts w:ascii="Times New Roman" w:hAnsi="Times New Roman" w:eastAsia="宋体"/>
    </w:rPr>
  </w:style>
  <w:style w:type="paragraph" w:styleId="51">
    <w:name w:val="List Continue 2"/>
    <w:basedOn w:val="1"/>
    <w:qFormat/>
    <w:uiPriority w:val="0"/>
    <w:pPr>
      <w:spacing w:after="120"/>
      <w:ind w:left="840"/>
    </w:pPr>
    <w:rPr>
      <w:rFonts w:ascii="Times New Roman" w:hAnsi="Times New Roman" w:eastAsia="宋体"/>
      <w:sz w:val="21"/>
      <w:szCs w:val="24"/>
    </w:rPr>
  </w:style>
  <w:style w:type="paragraph" w:styleId="5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kern w:val="0"/>
      <w:sz w:val="20"/>
    </w:rPr>
  </w:style>
  <w:style w:type="paragraph" w:styleId="53">
    <w:name w:val="Normal (Web)"/>
    <w:basedOn w:val="1"/>
    <w:link w:val="121"/>
    <w:qFormat/>
    <w:uiPriority w:val="0"/>
    <w:pPr>
      <w:widowControl/>
      <w:spacing w:before="100" w:beforeAutospacing="1" w:after="100" w:afterAutospacing="1"/>
      <w:jc w:val="left"/>
    </w:pPr>
    <w:rPr>
      <w:rFonts w:eastAsia="宋体"/>
      <w:kern w:val="0"/>
      <w:sz w:val="24"/>
      <w:szCs w:val="24"/>
    </w:rPr>
  </w:style>
  <w:style w:type="paragraph" w:styleId="54">
    <w:name w:val="index 2"/>
    <w:basedOn w:val="1"/>
    <w:next w:val="1"/>
    <w:qFormat/>
    <w:uiPriority w:val="0"/>
    <w:pPr>
      <w:ind w:left="420"/>
    </w:pPr>
    <w:rPr>
      <w:rFonts w:ascii="Times New Roman" w:hAnsi="Times New Roman" w:eastAsia="宋体"/>
    </w:rPr>
  </w:style>
  <w:style w:type="paragraph" w:styleId="55">
    <w:name w:val="Title"/>
    <w:basedOn w:val="1"/>
    <w:next w:val="1"/>
    <w:link w:val="103"/>
    <w:qFormat/>
    <w:uiPriority w:val="0"/>
    <w:pPr>
      <w:spacing w:before="240" w:after="60"/>
      <w:jc w:val="center"/>
      <w:outlineLvl w:val="0"/>
    </w:pPr>
    <w:rPr>
      <w:rFonts w:ascii="Cambria" w:hAnsi="Cambria" w:eastAsia="宋体"/>
      <w:b/>
      <w:bCs/>
      <w:sz w:val="32"/>
      <w:szCs w:val="32"/>
    </w:rPr>
  </w:style>
  <w:style w:type="paragraph" w:styleId="56">
    <w:name w:val="annotation subject"/>
    <w:basedOn w:val="21"/>
    <w:next w:val="21"/>
    <w:link w:val="91"/>
    <w:qFormat/>
    <w:uiPriority w:val="0"/>
    <w:rPr>
      <w:rFonts w:ascii="Calibri" w:hAnsi="Calibri" w:eastAsia="宋体"/>
      <w:b/>
      <w:bCs/>
    </w:rPr>
  </w:style>
  <w:style w:type="table" w:styleId="58">
    <w:name w:val="Table Grid"/>
    <w:basedOn w:val="5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0"/>
    <w:rPr>
      <w:rFonts w:ascii="Times New Roman" w:hAnsi="Times New Roman" w:eastAsia="宋体" w:cs="Times New Roman"/>
      <w:b/>
    </w:rPr>
  </w:style>
  <w:style w:type="character" w:styleId="61">
    <w:name w:val="page number"/>
    <w:qFormat/>
    <w:uiPriority w:val="0"/>
    <w:rPr>
      <w:rFonts w:ascii="Times New Roman" w:hAnsi="Times New Roman" w:eastAsia="宋体" w:cs="Times New Roman"/>
    </w:rPr>
  </w:style>
  <w:style w:type="character" w:styleId="62">
    <w:name w:val="FollowedHyperlink"/>
    <w:qFormat/>
    <w:uiPriority w:val="0"/>
    <w:rPr>
      <w:rFonts w:ascii="Times New Roman" w:hAnsi="Times New Roman" w:eastAsia="宋体" w:cs="Times New Roman"/>
      <w:color w:val="954F72"/>
      <w:u w:val="single"/>
    </w:rPr>
  </w:style>
  <w:style w:type="character" w:styleId="63">
    <w:name w:val="Emphasis"/>
    <w:qFormat/>
    <w:uiPriority w:val="0"/>
    <w:rPr>
      <w:rFonts w:ascii="Times New Roman" w:hAnsi="Times New Roman" w:eastAsia="宋体" w:cs="Times New Roman"/>
      <w:i/>
      <w:iCs/>
    </w:rPr>
  </w:style>
  <w:style w:type="character" w:styleId="64">
    <w:name w:val="line number"/>
    <w:qFormat/>
    <w:uiPriority w:val="0"/>
    <w:rPr>
      <w:rFonts w:ascii="Times New Roman" w:hAnsi="Times New Roman" w:eastAsia="宋体" w:cs="Times New Roman"/>
    </w:rPr>
  </w:style>
  <w:style w:type="character" w:styleId="65">
    <w:name w:val="HTML Definition"/>
    <w:qFormat/>
    <w:uiPriority w:val="0"/>
    <w:rPr>
      <w:rFonts w:ascii="Times New Roman" w:hAnsi="Times New Roman" w:eastAsia="宋体" w:cs="Times New Roman"/>
      <w:i/>
    </w:rPr>
  </w:style>
  <w:style w:type="character" w:styleId="66">
    <w:name w:val="HTML Typewriter"/>
    <w:basedOn w:val="59"/>
    <w:semiHidden/>
    <w:unhideWhenUsed/>
    <w:qFormat/>
    <w:uiPriority w:val="99"/>
    <w:rPr>
      <w:rFonts w:hint="default" w:ascii="monospace" w:hAnsi="monospace" w:eastAsia="monospace" w:cs="monospace"/>
      <w:sz w:val="20"/>
    </w:rPr>
  </w:style>
  <w:style w:type="character" w:styleId="67">
    <w:name w:val="HTML Acronym"/>
    <w:basedOn w:val="59"/>
    <w:semiHidden/>
    <w:unhideWhenUsed/>
    <w:qFormat/>
    <w:uiPriority w:val="99"/>
  </w:style>
  <w:style w:type="character" w:styleId="68">
    <w:name w:val="HTML Variable"/>
    <w:basedOn w:val="59"/>
    <w:semiHidden/>
    <w:unhideWhenUsed/>
    <w:qFormat/>
    <w:uiPriority w:val="99"/>
  </w:style>
  <w:style w:type="character" w:styleId="69">
    <w:name w:val="Hyperlink"/>
    <w:qFormat/>
    <w:uiPriority w:val="0"/>
    <w:rPr>
      <w:rFonts w:ascii="Times New Roman" w:hAnsi="Times New Roman" w:eastAsia="宋体" w:cs="Times New Roman"/>
      <w:color w:val="0000FF"/>
      <w:u w:val="single"/>
    </w:rPr>
  </w:style>
  <w:style w:type="character" w:styleId="70">
    <w:name w:val="HTML Code"/>
    <w:qFormat/>
    <w:uiPriority w:val="0"/>
    <w:rPr>
      <w:rFonts w:hint="default" w:ascii="Menlo" w:hAnsi="Menlo" w:eastAsia="Menlo" w:cs="Menlo"/>
      <w:color w:val="C7254E"/>
      <w:sz w:val="21"/>
      <w:szCs w:val="21"/>
      <w:shd w:val="clear" w:color="auto" w:fill="F9F2F4"/>
    </w:rPr>
  </w:style>
  <w:style w:type="character" w:styleId="71">
    <w:name w:val="annotation reference"/>
    <w:qFormat/>
    <w:uiPriority w:val="0"/>
    <w:rPr>
      <w:rFonts w:ascii="Times New Roman" w:hAnsi="Times New Roman" w:eastAsia="宋体" w:cs="Times New Roman"/>
      <w:sz w:val="21"/>
      <w:szCs w:val="21"/>
    </w:rPr>
  </w:style>
  <w:style w:type="character" w:styleId="72">
    <w:name w:val="HTML Cite"/>
    <w:qFormat/>
    <w:uiPriority w:val="0"/>
    <w:rPr>
      <w:rFonts w:ascii="Times New Roman" w:hAnsi="Times New Roman" w:eastAsia="宋体" w:cs="Times New Roman"/>
    </w:rPr>
  </w:style>
  <w:style w:type="character" w:styleId="73">
    <w:name w:val="footnote reference"/>
    <w:qFormat/>
    <w:uiPriority w:val="0"/>
    <w:rPr>
      <w:rFonts w:ascii="Times New Roman" w:hAnsi="Times New Roman" w:eastAsia="宋体" w:cs="Times New Roman"/>
      <w:vertAlign w:val="superscript"/>
    </w:rPr>
  </w:style>
  <w:style w:type="character" w:styleId="74">
    <w:name w:val="HTML Keyboard"/>
    <w:qFormat/>
    <w:uiPriority w:val="0"/>
    <w:rPr>
      <w:rFonts w:hint="default" w:ascii="Menlo" w:hAnsi="Menlo" w:eastAsia="Menlo" w:cs="Menlo"/>
      <w:sz w:val="21"/>
      <w:szCs w:val="21"/>
    </w:rPr>
  </w:style>
  <w:style w:type="character" w:styleId="75">
    <w:name w:val="HTML Sample"/>
    <w:qFormat/>
    <w:uiPriority w:val="0"/>
    <w:rPr>
      <w:rFonts w:ascii="Menlo" w:hAnsi="Menlo" w:eastAsia="Menlo" w:cs="Menlo"/>
      <w:sz w:val="21"/>
      <w:szCs w:val="21"/>
    </w:rPr>
  </w:style>
  <w:style w:type="paragraph" w:customStyle="1" w:styleId="76">
    <w:name w:val="新正文"/>
    <w:basedOn w:val="1"/>
    <w:next w:val="1"/>
    <w:qFormat/>
    <w:uiPriority w:val="99"/>
    <w:pPr>
      <w:adjustRightInd w:val="0"/>
      <w:snapToGrid w:val="0"/>
      <w:spacing w:line="440" w:lineRule="atLeast"/>
    </w:pPr>
    <w:rPr>
      <w:rFonts w:ascii="宋体" w:hAnsi="宋体"/>
      <w:color w:val="000000"/>
      <w:sz w:val="24"/>
    </w:rPr>
  </w:style>
  <w:style w:type="character" w:customStyle="1" w:styleId="77">
    <w:name w:val="正文文本 Char"/>
    <w:link w:val="24"/>
    <w:qFormat/>
    <w:uiPriority w:val="0"/>
    <w:rPr>
      <w:rFonts w:ascii="楷体_GB2312" w:hAnsi="Times New Roman"/>
      <w:kern w:val="2"/>
      <w:sz w:val="28"/>
    </w:rPr>
  </w:style>
  <w:style w:type="character" w:customStyle="1" w:styleId="78">
    <w:name w:val="标题 1 Char"/>
    <w:link w:val="5"/>
    <w:qFormat/>
    <w:uiPriority w:val="0"/>
    <w:rPr>
      <w:rFonts w:ascii="Times New Roman" w:hAnsi="Times New Roman" w:eastAsia="楷体_GB2312" w:cs="Times New Roman"/>
      <w:b/>
      <w:kern w:val="44"/>
      <w:sz w:val="44"/>
    </w:rPr>
  </w:style>
  <w:style w:type="character" w:customStyle="1" w:styleId="79">
    <w:name w:val="标题 2 Char"/>
    <w:link w:val="7"/>
    <w:qFormat/>
    <w:uiPriority w:val="0"/>
    <w:rPr>
      <w:rFonts w:ascii="宋体" w:hAnsi="宋体" w:eastAsia="楷体_GB2312" w:cs="Times New Roman"/>
      <w:b/>
      <w:kern w:val="2"/>
      <w:sz w:val="26"/>
      <w:lang w:val="en-US" w:eastAsia="zh-CN" w:bidi="ar-SA"/>
    </w:rPr>
  </w:style>
  <w:style w:type="character" w:customStyle="1" w:styleId="80">
    <w:name w:val="标题 3 Char"/>
    <w:link w:val="8"/>
    <w:qFormat/>
    <w:uiPriority w:val="0"/>
    <w:rPr>
      <w:rFonts w:ascii="Times New Roman" w:hAnsi="Times New Roman" w:eastAsia="楷体_GB2312" w:cs="Times New Roman"/>
      <w:b/>
      <w:kern w:val="2"/>
      <w:sz w:val="26"/>
    </w:rPr>
  </w:style>
  <w:style w:type="character" w:customStyle="1" w:styleId="81">
    <w:name w:val="标题 4 Char"/>
    <w:link w:val="9"/>
    <w:qFormat/>
    <w:uiPriority w:val="0"/>
    <w:rPr>
      <w:rFonts w:ascii="Arial" w:hAnsi="Arial" w:eastAsia="黑体" w:cs="Times New Roman"/>
      <w:b/>
      <w:bCs/>
      <w:kern w:val="2"/>
      <w:sz w:val="28"/>
      <w:szCs w:val="28"/>
    </w:rPr>
  </w:style>
  <w:style w:type="character" w:customStyle="1" w:styleId="82">
    <w:name w:val="正文缩进 Char"/>
    <w:link w:val="6"/>
    <w:qFormat/>
    <w:uiPriority w:val="0"/>
    <w:rPr>
      <w:rFonts w:ascii="Times New Roman" w:hAnsi="Times New Roman" w:eastAsia="楷体_GB2312" w:cs="Times New Roman"/>
      <w:kern w:val="2"/>
      <w:sz w:val="24"/>
      <w:lang w:val="en-US" w:eastAsia="zh-CN" w:bidi="ar-SA"/>
    </w:rPr>
  </w:style>
  <w:style w:type="character" w:customStyle="1" w:styleId="83">
    <w:name w:val="标题 5 Char"/>
    <w:link w:val="10"/>
    <w:qFormat/>
    <w:uiPriority w:val="0"/>
    <w:rPr>
      <w:rFonts w:ascii="宋体" w:hAnsi="Times New Roman"/>
      <w:b/>
      <w:spacing w:val="-2"/>
      <w:kern w:val="2"/>
      <w:position w:val="-6"/>
      <w:sz w:val="28"/>
    </w:rPr>
  </w:style>
  <w:style w:type="character" w:customStyle="1" w:styleId="84">
    <w:name w:val="标题 6 Char"/>
    <w:link w:val="11"/>
    <w:qFormat/>
    <w:uiPriority w:val="0"/>
    <w:rPr>
      <w:rFonts w:ascii="Arial" w:hAnsi="Arial" w:eastAsia="黑体"/>
      <w:b/>
      <w:spacing w:val="-2"/>
      <w:kern w:val="2"/>
      <w:position w:val="-6"/>
      <w:sz w:val="24"/>
    </w:rPr>
  </w:style>
  <w:style w:type="character" w:customStyle="1" w:styleId="85">
    <w:name w:val="标题 7 Char"/>
    <w:link w:val="12"/>
    <w:qFormat/>
    <w:uiPriority w:val="0"/>
    <w:rPr>
      <w:rFonts w:ascii="宋体" w:hAnsi="Times New Roman"/>
      <w:b/>
      <w:spacing w:val="-2"/>
      <w:kern w:val="2"/>
      <w:position w:val="-6"/>
      <w:sz w:val="24"/>
    </w:rPr>
  </w:style>
  <w:style w:type="character" w:customStyle="1" w:styleId="86">
    <w:name w:val="标题 8 Char"/>
    <w:link w:val="13"/>
    <w:qFormat/>
    <w:uiPriority w:val="0"/>
    <w:rPr>
      <w:rFonts w:ascii="Arial" w:hAnsi="Arial" w:eastAsia="黑体"/>
      <w:spacing w:val="-2"/>
      <w:kern w:val="2"/>
      <w:position w:val="-6"/>
      <w:sz w:val="24"/>
    </w:rPr>
  </w:style>
  <w:style w:type="character" w:customStyle="1" w:styleId="87">
    <w:name w:val="标题 9 Char"/>
    <w:link w:val="14"/>
    <w:qFormat/>
    <w:uiPriority w:val="0"/>
    <w:rPr>
      <w:rFonts w:ascii="Arial" w:hAnsi="Arial" w:eastAsia="黑体"/>
      <w:spacing w:val="-2"/>
      <w:kern w:val="2"/>
      <w:position w:val="-6"/>
      <w:sz w:val="28"/>
    </w:rPr>
  </w:style>
  <w:style w:type="character" w:customStyle="1" w:styleId="88">
    <w:name w:val="hilite6"/>
    <w:qFormat/>
    <w:uiPriority w:val="0"/>
    <w:rPr>
      <w:rFonts w:ascii="Times New Roman" w:hAnsi="Times New Roman" w:eastAsia="宋体" w:cs="Times New Roman"/>
      <w:color w:val="FFFFFF"/>
      <w:shd w:val="clear" w:color="auto" w:fill="776666"/>
    </w:rPr>
  </w:style>
  <w:style w:type="character" w:customStyle="1" w:styleId="89">
    <w:name w:val="页眉 Char"/>
    <w:link w:val="36"/>
    <w:qFormat/>
    <w:uiPriority w:val="99"/>
    <w:rPr>
      <w:rFonts w:ascii="Times New Roman" w:hAnsi="Times New Roman" w:eastAsia="楷体_GB2312" w:cs="Times New Roman"/>
      <w:kern w:val="2"/>
      <w:sz w:val="18"/>
    </w:rPr>
  </w:style>
  <w:style w:type="character" w:customStyle="1" w:styleId="90">
    <w:name w:val="hilite"/>
    <w:qFormat/>
    <w:uiPriority w:val="0"/>
    <w:rPr>
      <w:rFonts w:ascii="Times New Roman" w:hAnsi="Times New Roman" w:eastAsia="宋体" w:cs="Times New Roman"/>
      <w:color w:val="FFFFFF"/>
      <w:shd w:val="clear" w:color="auto" w:fill="776666"/>
    </w:rPr>
  </w:style>
  <w:style w:type="character" w:customStyle="1" w:styleId="91">
    <w:name w:val="批注主题 Char"/>
    <w:link w:val="56"/>
    <w:qFormat/>
    <w:uiPriority w:val="0"/>
    <w:rPr>
      <w:b/>
      <w:bCs/>
      <w:kern w:val="2"/>
      <w:sz w:val="26"/>
    </w:rPr>
  </w:style>
  <w:style w:type="character" w:customStyle="1" w:styleId="92">
    <w:name w:val="批注文字 Char"/>
    <w:link w:val="21"/>
    <w:qFormat/>
    <w:uiPriority w:val="0"/>
    <w:rPr>
      <w:rFonts w:ascii="Times New Roman" w:hAnsi="Times New Roman" w:eastAsia="楷体_GB2312" w:cs="Times New Roman"/>
      <w:kern w:val="2"/>
      <w:sz w:val="26"/>
    </w:rPr>
  </w:style>
  <w:style w:type="character" w:customStyle="1" w:styleId="93">
    <w:name w:val="state"/>
    <w:qFormat/>
    <w:uiPriority w:val="0"/>
    <w:rPr>
      <w:rFonts w:ascii="Times New Roman" w:hAnsi="Times New Roman" w:eastAsia="宋体" w:cs="Times New Roman"/>
      <w:b/>
      <w:color w:val="FFFFFF"/>
      <w:sz w:val="19"/>
      <w:szCs w:val="19"/>
    </w:rPr>
  </w:style>
  <w:style w:type="character" w:customStyle="1" w:styleId="94">
    <w:name w:val="bds_more5"/>
    <w:qFormat/>
    <w:uiPriority w:val="0"/>
    <w:rPr>
      <w:rFonts w:ascii="Times New Roman" w:hAnsi="Times New Roman" w:eastAsia="宋体" w:cs="Times New Roman"/>
    </w:rPr>
  </w:style>
  <w:style w:type="character" w:customStyle="1" w:styleId="95">
    <w:name w:val="正文文本缩进 Char"/>
    <w:link w:val="3"/>
    <w:qFormat/>
    <w:uiPriority w:val="0"/>
    <w:rPr>
      <w:rFonts w:ascii="方正仿宋简体" w:hAnsi="创艺简仿宋" w:eastAsia="方正仿宋简体" w:cs="Times New Roman"/>
      <w:kern w:val="2"/>
      <w:sz w:val="24"/>
      <w:lang w:val="en-US" w:eastAsia="zh-CN" w:bidi="ar-SA"/>
    </w:rPr>
  </w:style>
  <w:style w:type="character" w:customStyle="1" w:styleId="96">
    <w:name w:val="bigfont"/>
    <w:qFormat/>
    <w:uiPriority w:val="0"/>
  </w:style>
  <w:style w:type="character" w:customStyle="1" w:styleId="97">
    <w:name w:val="正文文本缩进 2 Char"/>
    <w:link w:val="33"/>
    <w:qFormat/>
    <w:uiPriority w:val="0"/>
    <w:rPr>
      <w:rFonts w:ascii="宋体"/>
      <w:b/>
      <w:bCs/>
      <w:kern w:val="2"/>
      <w:sz w:val="24"/>
    </w:rPr>
  </w:style>
  <w:style w:type="character" w:customStyle="1" w:styleId="98">
    <w:name w:val="bds_more6"/>
    <w:qFormat/>
    <w:uiPriority w:val="0"/>
    <w:rPr>
      <w:rFonts w:ascii="Times New Roman" w:hAnsi="Times New Roman" w:eastAsia="宋体" w:cs="Times New Roman"/>
    </w:rPr>
  </w:style>
  <w:style w:type="character" w:customStyle="1" w:styleId="99">
    <w:name w:val="noused"/>
    <w:qFormat/>
    <w:uiPriority w:val="0"/>
    <w:rPr>
      <w:rFonts w:ascii="Times New Roman" w:hAnsi="Times New Roman" w:eastAsia="宋体" w:cs="Times New Roman"/>
      <w:b/>
      <w:color w:val="FFFFFF"/>
      <w:sz w:val="21"/>
      <w:szCs w:val="21"/>
    </w:rPr>
  </w:style>
  <w:style w:type="character" w:customStyle="1" w:styleId="100">
    <w:name w:val="Char Char2"/>
    <w:qFormat/>
    <w:uiPriority w:val="0"/>
    <w:rPr>
      <w:rFonts w:ascii="宋体" w:hAnsi="宋体" w:eastAsia="楷体_GB2312" w:cs="Times New Roman"/>
      <w:b/>
      <w:kern w:val="2"/>
      <w:sz w:val="26"/>
      <w:lang w:val="en-US" w:eastAsia="zh-CN" w:bidi="ar-SA"/>
    </w:rPr>
  </w:style>
  <w:style w:type="character" w:customStyle="1" w:styleId="101">
    <w:name w:val="bds_more7"/>
    <w:qFormat/>
    <w:uiPriority w:val="0"/>
    <w:rPr>
      <w:rFonts w:ascii="Times New Roman" w:hAnsi="Times New Roman" w:eastAsia="宋体" w:cs="Times New Roman"/>
    </w:rPr>
  </w:style>
  <w:style w:type="character" w:customStyle="1" w:styleId="102">
    <w:name w:val="文档结构图 Char"/>
    <w:link w:val="19"/>
    <w:qFormat/>
    <w:uiPriority w:val="99"/>
    <w:rPr>
      <w:kern w:val="2"/>
      <w:sz w:val="26"/>
      <w:shd w:val="clear" w:color="auto" w:fill="000080"/>
    </w:rPr>
  </w:style>
  <w:style w:type="character" w:customStyle="1" w:styleId="103">
    <w:name w:val="标题 Char"/>
    <w:link w:val="55"/>
    <w:qFormat/>
    <w:uiPriority w:val="0"/>
    <w:rPr>
      <w:rFonts w:ascii="Cambria" w:hAnsi="Cambria" w:eastAsia="宋体" w:cs="Times New Roman"/>
      <w:b/>
      <w:bCs/>
      <w:kern w:val="2"/>
      <w:sz w:val="32"/>
      <w:szCs w:val="32"/>
    </w:rPr>
  </w:style>
  <w:style w:type="character" w:customStyle="1" w:styleId="104">
    <w:name w:val="页脚 Char"/>
    <w:link w:val="35"/>
    <w:qFormat/>
    <w:uiPriority w:val="99"/>
    <w:rPr>
      <w:rFonts w:ascii="Times New Roman" w:hAnsi="Times New Roman" w:eastAsia="楷体_GB2312" w:cs="Times New Roman"/>
      <w:kern w:val="2"/>
      <w:sz w:val="18"/>
    </w:rPr>
  </w:style>
  <w:style w:type="character" w:customStyle="1" w:styleId="105">
    <w:name w:val="Body Char Char"/>
    <w:link w:val="106"/>
    <w:qFormat/>
    <w:uiPriority w:val="0"/>
    <w:rPr>
      <w:sz w:val="21"/>
      <w:szCs w:val="21"/>
      <w:lang w:eastAsia="en-US"/>
    </w:rPr>
  </w:style>
  <w:style w:type="paragraph" w:customStyle="1" w:styleId="106">
    <w:name w:val="Body"/>
    <w:basedOn w:val="1"/>
    <w:link w:val="105"/>
    <w:qFormat/>
    <w:uiPriority w:val="0"/>
    <w:pPr>
      <w:widowControl/>
      <w:tabs>
        <w:tab w:val="left" w:pos="9356"/>
      </w:tabs>
      <w:spacing w:before="80" w:after="80" w:line="360" w:lineRule="auto"/>
      <w:ind w:firstLine="480" w:firstLineChars="200"/>
    </w:pPr>
    <w:rPr>
      <w:rFonts w:eastAsia="宋体"/>
      <w:kern w:val="0"/>
      <w:sz w:val="21"/>
      <w:szCs w:val="21"/>
      <w:lang w:eastAsia="en-US"/>
    </w:rPr>
  </w:style>
  <w:style w:type="character" w:customStyle="1" w:styleId="107">
    <w:name w:val="bds_more4"/>
    <w:qFormat/>
    <w:uiPriority w:val="0"/>
    <w:rPr>
      <w:rFonts w:hint="eastAsia" w:ascii="宋体" w:hAnsi="宋体" w:eastAsia="宋体" w:cs="宋体"/>
    </w:rPr>
  </w:style>
  <w:style w:type="character" w:customStyle="1" w:styleId="108">
    <w:name w:val="other"/>
    <w:qFormat/>
    <w:uiPriority w:val="0"/>
    <w:rPr>
      <w:rFonts w:ascii="Times New Roman" w:hAnsi="Times New Roman" w:eastAsia="宋体" w:cs="Times New Roman"/>
    </w:rPr>
  </w:style>
  <w:style w:type="character" w:customStyle="1" w:styleId="109">
    <w:name w:val="active"/>
    <w:qFormat/>
    <w:uiPriority w:val="0"/>
    <w:rPr>
      <w:rFonts w:ascii="Times New Roman" w:hAnsi="Times New Roman" w:eastAsia="宋体" w:cs="Times New Roman"/>
      <w:color w:val="00FF00"/>
      <w:shd w:val="clear" w:color="auto" w:fill="000000"/>
    </w:rPr>
  </w:style>
  <w:style w:type="character" w:customStyle="1" w:styleId="110">
    <w:name w:val="bds_more8"/>
    <w:qFormat/>
    <w:uiPriority w:val="0"/>
    <w:rPr>
      <w:rFonts w:hint="eastAsia" w:ascii="宋体" w:hAnsi="宋体" w:eastAsia="宋体" w:cs="宋体"/>
    </w:rPr>
  </w:style>
  <w:style w:type="character" w:customStyle="1" w:styleId="111">
    <w:name w:val="标书正文格式 Char Char"/>
    <w:link w:val="112"/>
    <w:qFormat/>
    <w:uiPriority w:val="0"/>
    <w:rPr>
      <w:rFonts w:eastAsia="楷体_GB2312"/>
      <w:kern w:val="2"/>
      <w:sz w:val="24"/>
      <w:szCs w:val="24"/>
      <w:lang w:val="en-US" w:eastAsia="zh-CN" w:bidi="ar-SA"/>
    </w:rPr>
  </w:style>
  <w:style w:type="paragraph" w:customStyle="1" w:styleId="112">
    <w:name w:val="标书正文格式"/>
    <w:link w:val="111"/>
    <w:qFormat/>
    <w:uiPriority w:val="0"/>
    <w:pPr>
      <w:spacing w:line="360" w:lineRule="auto"/>
      <w:ind w:firstLine="200" w:firstLineChars="200"/>
    </w:pPr>
    <w:rPr>
      <w:rFonts w:ascii="Calibri" w:hAnsi="Calibri" w:eastAsia="楷体_GB2312" w:cs="Times New Roman"/>
      <w:kern w:val="2"/>
      <w:sz w:val="24"/>
      <w:szCs w:val="24"/>
      <w:lang w:val="en-US" w:eastAsia="zh-CN" w:bidi="ar-SA"/>
    </w:rPr>
  </w:style>
  <w:style w:type="character" w:customStyle="1" w:styleId="113">
    <w:name w:val="bds_nopic"/>
    <w:qFormat/>
    <w:uiPriority w:val="0"/>
    <w:rPr>
      <w:rFonts w:ascii="Times New Roman" w:hAnsi="Times New Roman" w:eastAsia="宋体" w:cs="Times New Roman"/>
    </w:rPr>
  </w:style>
  <w:style w:type="character" w:customStyle="1" w:styleId="114">
    <w:name w:val="dg2"/>
    <w:qFormat/>
    <w:uiPriority w:val="0"/>
  </w:style>
  <w:style w:type="character" w:customStyle="1" w:styleId="115">
    <w:name w:val="hover61"/>
    <w:qFormat/>
    <w:uiPriority w:val="0"/>
    <w:rPr>
      <w:rFonts w:ascii="Times New Roman" w:hAnsi="Times New Roman" w:eastAsia="宋体" w:cs="Times New Roman"/>
      <w:shd w:val="clear" w:color="auto" w:fill="FF0000"/>
    </w:rPr>
  </w:style>
  <w:style w:type="character" w:customStyle="1" w:styleId="116">
    <w:name w:val="grid2"/>
    <w:qFormat/>
    <w:uiPriority w:val="0"/>
    <w:rPr>
      <w:rFonts w:ascii="Times New Roman" w:hAnsi="Times New Roman" w:eastAsia="宋体" w:cs="Times New Roman"/>
    </w:rPr>
  </w:style>
  <w:style w:type="character" w:customStyle="1" w:styleId="117">
    <w:name w:val="正文要点 Char Char"/>
    <w:link w:val="118"/>
    <w:qFormat/>
    <w:uiPriority w:val="0"/>
    <w:rPr>
      <w:rFonts w:eastAsia="楷体_GB2312"/>
      <w:kern w:val="2"/>
      <w:sz w:val="21"/>
      <w:szCs w:val="24"/>
    </w:rPr>
  </w:style>
  <w:style w:type="paragraph" w:customStyle="1" w:styleId="118">
    <w:name w:val="正文要点"/>
    <w:basedOn w:val="1"/>
    <w:next w:val="1"/>
    <w:link w:val="117"/>
    <w:qFormat/>
    <w:uiPriority w:val="0"/>
    <w:pPr>
      <w:tabs>
        <w:tab w:val="left" w:pos="420"/>
      </w:tabs>
      <w:spacing w:line="360" w:lineRule="auto"/>
      <w:ind w:left="420" w:hanging="420"/>
    </w:pPr>
    <w:rPr>
      <w:sz w:val="21"/>
      <w:szCs w:val="24"/>
    </w:rPr>
  </w:style>
  <w:style w:type="character" w:customStyle="1" w:styleId="119">
    <w:name w:val="apple-converted-space"/>
    <w:qFormat/>
    <w:uiPriority w:val="0"/>
  </w:style>
  <w:style w:type="character" w:customStyle="1" w:styleId="120">
    <w:name w:val="bds_nopic2"/>
    <w:qFormat/>
    <w:uiPriority w:val="0"/>
    <w:rPr>
      <w:rFonts w:ascii="Times New Roman" w:hAnsi="Times New Roman" w:eastAsia="宋体" w:cs="Times New Roman"/>
    </w:rPr>
  </w:style>
  <w:style w:type="character" w:customStyle="1" w:styleId="121">
    <w:name w:val="普通(网站) Char"/>
    <w:link w:val="53"/>
    <w:qFormat/>
    <w:uiPriority w:val="0"/>
    <w:rPr>
      <w:sz w:val="24"/>
      <w:szCs w:val="24"/>
    </w:rPr>
  </w:style>
  <w:style w:type="character" w:customStyle="1" w:styleId="122">
    <w:name w:val="样式 宋体 小四"/>
    <w:qFormat/>
    <w:uiPriority w:val="0"/>
    <w:rPr>
      <w:rFonts w:ascii="宋体" w:hAnsi="宋体"/>
      <w:sz w:val="24"/>
    </w:rPr>
  </w:style>
  <w:style w:type="character" w:customStyle="1" w:styleId="123">
    <w:name w:val="Table Text Char Char"/>
    <w:link w:val="124"/>
    <w:qFormat/>
    <w:uiPriority w:val="0"/>
    <w:rPr>
      <w:rFonts w:ascii="Arial" w:hAnsi="Arial" w:cs="Arial"/>
      <w:sz w:val="18"/>
      <w:szCs w:val="18"/>
      <w:lang w:val="en-US" w:eastAsia="zh-CN" w:bidi="ar-SA"/>
    </w:rPr>
  </w:style>
  <w:style w:type="paragraph" w:customStyle="1" w:styleId="124">
    <w:name w:val="Table Text"/>
    <w:link w:val="123"/>
    <w:qFormat/>
    <w:uiPriority w:val="0"/>
    <w:pPr>
      <w:snapToGrid w:val="0"/>
      <w:spacing w:before="80" w:after="80"/>
    </w:pPr>
    <w:rPr>
      <w:rFonts w:ascii="Arial" w:hAnsi="Arial" w:eastAsia="宋体" w:cs="Arial"/>
      <w:sz w:val="18"/>
      <w:szCs w:val="18"/>
      <w:lang w:val="en-US" w:eastAsia="zh-CN" w:bidi="ar-SA"/>
    </w:rPr>
  </w:style>
  <w:style w:type="character" w:customStyle="1" w:styleId="125">
    <w:name w:val="grid"/>
    <w:qFormat/>
    <w:uiPriority w:val="0"/>
    <w:rPr>
      <w:rFonts w:ascii="Times New Roman" w:hAnsi="Times New Roman" w:eastAsia="宋体" w:cs="Times New Roman"/>
    </w:rPr>
  </w:style>
  <w:style w:type="character" w:customStyle="1" w:styleId="126">
    <w:name w:val="纯文本 Char"/>
    <w:link w:val="29"/>
    <w:qFormat/>
    <w:uiPriority w:val="0"/>
    <w:rPr>
      <w:rFonts w:ascii="宋体" w:hAnsi="Courier New" w:eastAsia="楷体_GB2312" w:cs="Times New Roman"/>
      <w:kern w:val="2"/>
      <w:sz w:val="26"/>
      <w:lang w:val="en-US" w:eastAsia="zh-CN" w:bidi="ar-SA"/>
    </w:rPr>
  </w:style>
  <w:style w:type="character" w:customStyle="1" w:styleId="127">
    <w:name w:val="bds_nopic1"/>
    <w:qFormat/>
    <w:uiPriority w:val="0"/>
    <w:rPr>
      <w:rFonts w:ascii="Times New Roman" w:hAnsi="Times New Roman" w:eastAsia="宋体" w:cs="Times New Roman"/>
    </w:rPr>
  </w:style>
  <w:style w:type="character" w:customStyle="1" w:styleId="128">
    <w:name w:val="active8"/>
    <w:qFormat/>
    <w:uiPriority w:val="0"/>
    <w:rPr>
      <w:rFonts w:ascii="Times New Roman" w:hAnsi="Times New Roman" w:eastAsia="宋体" w:cs="Times New Roman"/>
      <w:color w:val="00FF00"/>
      <w:shd w:val="clear" w:color="auto" w:fill="000000"/>
    </w:rPr>
  </w:style>
  <w:style w:type="paragraph" w:customStyle="1" w:styleId="129">
    <w:name w:val="xl13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130">
    <w:name w:val="xl11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1">
    <w:name w:val="xl81"/>
    <w:basedOn w:val="1"/>
    <w:qFormat/>
    <w:uiPriority w:val="0"/>
    <w:pPr>
      <w:widowControl/>
      <w:spacing w:before="100" w:beforeAutospacing="1" w:after="100" w:afterAutospacing="1"/>
      <w:jc w:val="center"/>
    </w:pPr>
    <w:rPr>
      <w:rFonts w:eastAsia="宋体"/>
      <w:b/>
      <w:bCs/>
      <w:kern w:val="0"/>
      <w:sz w:val="24"/>
      <w:szCs w:val="24"/>
    </w:rPr>
  </w:style>
  <w:style w:type="paragraph" w:customStyle="1" w:styleId="132">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eastAsia="宋体"/>
      <w:b/>
      <w:bCs/>
      <w:kern w:val="0"/>
      <w:sz w:val="24"/>
      <w:szCs w:val="24"/>
    </w:rPr>
  </w:style>
  <w:style w:type="paragraph" w:customStyle="1" w:styleId="133">
    <w:name w:val="xl76"/>
    <w:basedOn w:val="1"/>
    <w:qFormat/>
    <w:uiPriority w:val="0"/>
    <w:pPr>
      <w:widowControl/>
      <w:pBdr>
        <w:top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134">
    <w:name w:val="xl84"/>
    <w:basedOn w:val="1"/>
    <w:qFormat/>
    <w:uiPriority w:val="0"/>
    <w:pPr>
      <w:widowControl/>
      <w:pBdr>
        <w:top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35">
    <w:name w:val="xl12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136">
    <w:name w:val="xl15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rPr>
  </w:style>
  <w:style w:type="character" w:customStyle="1" w:styleId="137">
    <w:name w:val="日期 Char"/>
    <w:link w:val="32"/>
    <w:qFormat/>
    <w:uiPriority w:val="0"/>
    <w:rPr>
      <w:rFonts w:ascii="宋体" w:hAnsi="宋体" w:eastAsia="宋体" w:cs="Times New Roman"/>
      <w:kern w:val="2"/>
      <w:sz w:val="24"/>
    </w:rPr>
  </w:style>
  <w:style w:type="paragraph" w:customStyle="1" w:styleId="138">
    <w:name w:val="列出段落1"/>
    <w:basedOn w:val="1"/>
    <w:qFormat/>
    <w:uiPriority w:val="0"/>
    <w:pPr>
      <w:ind w:firstLine="420" w:firstLineChars="200"/>
    </w:pPr>
    <w:rPr>
      <w:rFonts w:eastAsia="宋体"/>
      <w:sz w:val="21"/>
      <w:szCs w:val="22"/>
    </w:rPr>
  </w:style>
  <w:style w:type="paragraph" w:customStyle="1" w:styleId="139">
    <w:name w:val="xl11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0">
    <w:name w:val="xl150"/>
    <w:basedOn w:val="1"/>
    <w:qFormat/>
    <w:uiPriority w:val="0"/>
    <w:pPr>
      <w:widowControl/>
      <w:pBdr>
        <w:left w:val="single" w:color="auto" w:sz="4" w:space="0"/>
        <w:bottom w:val="single" w:color="auto" w:sz="4" w:space="0"/>
        <w:right w:val="double" w:color="auto" w:sz="6" w:space="0"/>
      </w:pBdr>
      <w:spacing w:before="100" w:beforeAutospacing="1" w:after="100" w:afterAutospacing="1"/>
      <w:jc w:val="left"/>
    </w:pPr>
    <w:rPr>
      <w:rFonts w:ascii="宋体" w:hAnsi="宋体" w:eastAsia="宋体" w:cs="宋体"/>
      <w:kern w:val="0"/>
      <w:sz w:val="20"/>
    </w:rPr>
  </w:style>
  <w:style w:type="paragraph" w:customStyle="1" w:styleId="141">
    <w:name w:val="xl13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142">
    <w:name w:val="xl14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143">
    <w:name w:val="xl48"/>
    <w:basedOn w:val="1"/>
    <w:qFormat/>
    <w:uiPriority w:val="0"/>
    <w:pPr>
      <w:widowControl/>
      <w:spacing w:before="100" w:beforeAutospacing="1" w:after="100" w:afterAutospacing="1"/>
      <w:jc w:val="left"/>
      <w:textAlignment w:val="center"/>
    </w:pPr>
    <w:rPr>
      <w:rFonts w:ascii="Univers" w:hAnsi="Univers" w:eastAsia="宋体" w:cs="宋体"/>
      <w:b/>
      <w:bCs/>
      <w:kern w:val="0"/>
      <w:sz w:val="24"/>
      <w:szCs w:val="24"/>
    </w:rPr>
  </w:style>
  <w:style w:type="paragraph" w:customStyle="1" w:styleId="144">
    <w:name w:val="列出段落11"/>
    <w:basedOn w:val="1"/>
    <w:qFormat/>
    <w:uiPriority w:val="0"/>
    <w:pPr>
      <w:ind w:firstLine="200" w:firstLineChars="200"/>
    </w:pPr>
    <w:rPr>
      <w:rFonts w:eastAsia="宋体" w:cs="Arial"/>
      <w:sz w:val="21"/>
      <w:szCs w:val="22"/>
    </w:rPr>
  </w:style>
  <w:style w:type="paragraph" w:customStyle="1" w:styleId="145">
    <w:name w:val="rm"/>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6">
    <w:name w:val="font6"/>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147">
    <w:name w:val="Char"/>
    <w:basedOn w:val="1"/>
    <w:qFormat/>
    <w:uiPriority w:val="0"/>
    <w:rPr>
      <w:rFonts w:ascii="Tahoma" w:hAnsi="Tahoma" w:eastAsia="宋体"/>
      <w:sz w:val="24"/>
    </w:rPr>
  </w:style>
  <w:style w:type="paragraph" w:customStyle="1" w:styleId="14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i/>
      <w:iCs/>
      <w:kern w:val="0"/>
      <w:sz w:val="24"/>
      <w:szCs w:val="24"/>
    </w:rPr>
  </w:style>
  <w:style w:type="paragraph" w:customStyle="1" w:styleId="149">
    <w:name w:val="xl146"/>
    <w:basedOn w:val="1"/>
    <w:qFormat/>
    <w:uiPriority w:val="0"/>
    <w:pPr>
      <w:widowControl/>
      <w:pBdr>
        <w:lef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150">
    <w:name w:val="xl96"/>
    <w:basedOn w:val="1"/>
    <w:qFormat/>
    <w:uiPriority w:val="0"/>
    <w:pPr>
      <w:widowControl/>
      <w:spacing w:before="100" w:beforeAutospacing="1" w:after="100" w:afterAutospacing="1"/>
      <w:jc w:val="center"/>
    </w:pPr>
    <w:rPr>
      <w:rFonts w:eastAsia="宋体"/>
      <w:kern w:val="0"/>
      <w:sz w:val="24"/>
      <w:szCs w:val="24"/>
    </w:rPr>
  </w:style>
  <w:style w:type="paragraph" w:customStyle="1" w:styleId="151">
    <w:name w:val="xl99"/>
    <w:basedOn w:val="1"/>
    <w:qFormat/>
    <w:uiPriority w:val="0"/>
    <w:pPr>
      <w:widowControl/>
      <w:pBdr>
        <w:bottom w:val="single" w:color="auto" w:sz="4" w:space="0"/>
      </w:pBdr>
      <w:spacing w:before="100" w:beforeAutospacing="1" w:after="100" w:afterAutospacing="1"/>
      <w:jc w:val="center"/>
    </w:pPr>
    <w:rPr>
      <w:rFonts w:eastAsia="宋体"/>
      <w:kern w:val="0"/>
      <w:sz w:val="24"/>
      <w:szCs w:val="24"/>
    </w:rPr>
  </w:style>
  <w:style w:type="paragraph" w:customStyle="1" w:styleId="152">
    <w:name w:val="xl82"/>
    <w:basedOn w:val="1"/>
    <w:qFormat/>
    <w:uiPriority w:val="0"/>
    <w:pPr>
      <w:widowControl/>
      <w:spacing w:before="100" w:beforeAutospacing="1" w:after="100" w:afterAutospacing="1"/>
      <w:jc w:val="left"/>
    </w:pPr>
    <w:rPr>
      <w:rFonts w:eastAsia="宋体"/>
      <w:b/>
      <w:bCs/>
      <w:kern w:val="0"/>
      <w:sz w:val="24"/>
      <w:szCs w:val="24"/>
    </w:rPr>
  </w:style>
  <w:style w:type="paragraph" w:customStyle="1" w:styleId="153">
    <w:name w:val="xl153"/>
    <w:basedOn w:val="1"/>
    <w:qFormat/>
    <w:uiPriority w:val="0"/>
    <w:pPr>
      <w:widowControl/>
      <w:pBdr>
        <w:left w:val="single" w:color="auto" w:sz="4" w:space="0"/>
        <w:bottom w:val="double" w:color="auto" w:sz="6"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54">
    <w:name w:val="xl162"/>
    <w:basedOn w:val="1"/>
    <w:qFormat/>
    <w:uiPriority w:val="0"/>
    <w:pPr>
      <w:widowControl/>
      <w:pBdr>
        <w:top w:val="single" w:color="auto" w:sz="4" w:space="0"/>
        <w:bottom w:val="double" w:color="auto" w:sz="6" w:space="0"/>
      </w:pBdr>
      <w:spacing w:before="100" w:beforeAutospacing="1" w:after="100" w:afterAutospacing="1"/>
      <w:jc w:val="center"/>
    </w:pPr>
    <w:rPr>
      <w:rFonts w:ascii="宋体" w:hAnsi="宋体" w:eastAsia="宋体" w:cs="宋体"/>
      <w:kern w:val="0"/>
      <w:sz w:val="20"/>
    </w:rPr>
  </w:style>
  <w:style w:type="paragraph" w:customStyle="1" w:styleId="155">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56">
    <w:name w:val="xl49"/>
    <w:basedOn w:val="1"/>
    <w:qFormat/>
    <w:uiPriority w:val="0"/>
    <w:pPr>
      <w:widowControl/>
      <w:spacing w:before="100" w:beforeAutospacing="1" w:after="100" w:afterAutospacing="1"/>
      <w:jc w:val="center"/>
      <w:textAlignment w:val="center"/>
    </w:pPr>
    <w:rPr>
      <w:rFonts w:ascii="Univers" w:hAnsi="Univers" w:eastAsia="宋体" w:cs="宋体"/>
      <w:b/>
      <w:bCs/>
      <w:kern w:val="0"/>
      <w:sz w:val="24"/>
      <w:szCs w:val="24"/>
    </w:rPr>
  </w:style>
  <w:style w:type="paragraph" w:customStyle="1" w:styleId="157">
    <w:name w:val="规范正文"/>
    <w:basedOn w:val="1"/>
    <w:qFormat/>
    <w:uiPriority w:val="0"/>
    <w:pPr>
      <w:spacing w:beforeLines="50" w:afterLines="50" w:line="360" w:lineRule="auto"/>
      <w:ind w:left="425" w:firstLine="480" w:firstLineChars="200"/>
    </w:pPr>
    <w:rPr>
      <w:rFonts w:ascii="宋体" w:hAnsi="宋体" w:eastAsia="宋体" w:cs="宋体"/>
      <w:sz w:val="24"/>
      <w:szCs w:val="24"/>
    </w:rPr>
  </w:style>
  <w:style w:type="paragraph" w:customStyle="1" w:styleId="158">
    <w:name w:val="xl7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eastAsia="宋体"/>
      <w:b/>
      <w:bCs/>
      <w:kern w:val="0"/>
      <w:sz w:val="24"/>
      <w:szCs w:val="24"/>
    </w:rPr>
  </w:style>
  <w:style w:type="paragraph" w:customStyle="1" w:styleId="159">
    <w:name w:val="xl92"/>
    <w:basedOn w:val="1"/>
    <w:qFormat/>
    <w:uiPriority w:val="0"/>
    <w:pPr>
      <w:widowControl/>
      <w:pBdr>
        <w:left w:val="single" w:color="auto" w:sz="4" w:space="0"/>
      </w:pBdr>
      <w:spacing w:before="100" w:beforeAutospacing="1" w:after="100" w:afterAutospacing="1"/>
      <w:jc w:val="center"/>
    </w:pPr>
    <w:rPr>
      <w:rFonts w:ascii="宋体" w:hAnsi="宋体" w:eastAsia="宋体" w:cs="宋体"/>
      <w:kern w:val="0"/>
      <w:sz w:val="22"/>
      <w:szCs w:val="22"/>
    </w:rPr>
  </w:style>
  <w:style w:type="character" w:customStyle="1" w:styleId="160">
    <w:name w:val="脚注文本 Char"/>
    <w:link w:val="43"/>
    <w:qFormat/>
    <w:uiPriority w:val="0"/>
    <w:rPr>
      <w:rFonts w:ascii="Times New Roman" w:hAnsi="Times New Roman"/>
      <w:kern w:val="2"/>
      <w:sz w:val="18"/>
    </w:rPr>
  </w:style>
  <w:style w:type="paragraph" w:customStyle="1" w:styleId="161">
    <w:name w:val="样式2"/>
    <w:basedOn w:val="1"/>
    <w:qFormat/>
    <w:uiPriority w:val="0"/>
    <w:pPr>
      <w:widowControl/>
      <w:tabs>
        <w:tab w:val="left" w:pos="1200"/>
      </w:tabs>
      <w:autoSpaceDE w:val="0"/>
      <w:autoSpaceDN w:val="0"/>
      <w:spacing w:before="40" w:after="40" w:line="360" w:lineRule="auto"/>
      <w:ind w:left="1200" w:hanging="420"/>
    </w:pPr>
    <w:rPr>
      <w:rFonts w:ascii="宋体" w:eastAsia="宋体"/>
      <w:sz w:val="21"/>
      <w:szCs w:val="24"/>
    </w:rPr>
  </w:style>
  <w:style w:type="paragraph" w:customStyle="1" w:styleId="162">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63">
    <w:name w:val="xl141"/>
    <w:basedOn w:val="1"/>
    <w:qFormat/>
    <w:uiPriority w:val="0"/>
    <w:pPr>
      <w:widowControl/>
      <w:pBdr>
        <w:top w:val="single" w:color="auto" w:sz="4" w:space="0"/>
        <w:bottom w:val="single" w:color="auto" w:sz="4" w:space="0"/>
      </w:pBdr>
      <w:spacing w:before="100" w:beforeAutospacing="1" w:after="100" w:afterAutospacing="1"/>
      <w:jc w:val="center"/>
    </w:pPr>
    <w:rPr>
      <w:rFonts w:eastAsia="宋体"/>
      <w:b/>
      <w:bCs/>
      <w:kern w:val="0"/>
      <w:sz w:val="20"/>
    </w:rPr>
  </w:style>
  <w:style w:type="paragraph" w:customStyle="1" w:styleId="164">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165">
    <w:name w:val="Char Char1 Char Char Char Char"/>
    <w:basedOn w:val="19"/>
    <w:qFormat/>
    <w:uiPriority w:val="0"/>
    <w:pPr>
      <w:adjustRightInd w:val="0"/>
      <w:snapToGrid w:val="0"/>
      <w:spacing w:line="360" w:lineRule="auto"/>
    </w:pPr>
    <w:rPr>
      <w:rFonts w:ascii="Tahoma" w:hAnsi="Tahoma"/>
      <w:sz w:val="24"/>
      <w:szCs w:val="24"/>
    </w:rPr>
  </w:style>
  <w:style w:type="paragraph" w:customStyle="1" w:styleId="166">
    <w:name w:val="xl157"/>
    <w:basedOn w:val="1"/>
    <w:qFormat/>
    <w:uiPriority w:val="0"/>
    <w:pPr>
      <w:widowControl/>
      <w:pBdr>
        <w:left w:val="single" w:color="auto" w:sz="4" w:space="0"/>
        <w:right w:val="single" w:color="auto" w:sz="4" w:space="0"/>
      </w:pBdr>
      <w:spacing w:before="100" w:beforeAutospacing="1" w:after="100" w:afterAutospacing="1"/>
      <w:jc w:val="center"/>
    </w:pPr>
    <w:rPr>
      <w:rFonts w:eastAsia="宋体"/>
      <w:b/>
      <w:bCs/>
      <w:color w:val="FF0000"/>
      <w:kern w:val="0"/>
      <w:sz w:val="20"/>
    </w:rPr>
  </w:style>
  <w:style w:type="character" w:customStyle="1" w:styleId="167">
    <w:name w:val="批注框文本 Char"/>
    <w:link w:val="34"/>
    <w:qFormat/>
    <w:uiPriority w:val="0"/>
    <w:rPr>
      <w:rFonts w:ascii="Times New Roman" w:hAnsi="Times New Roman" w:eastAsia="宋体" w:cs="Times New Roman"/>
      <w:kern w:val="2"/>
      <w:sz w:val="18"/>
      <w:szCs w:val="18"/>
    </w:rPr>
  </w:style>
  <w:style w:type="paragraph" w:customStyle="1" w:styleId="16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69">
    <w:name w:val="xl12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170">
    <w:name w:val="Char Char3"/>
    <w:basedOn w:val="1"/>
    <w:qFormat/>
    <w:uiPriority w:val="0"/>
    <w:pPr>
      <w:spacing w:beforeLines="50" w:afterLines="50"/>
      <w:jc w:val="left"/>
    </w:pPr>
    <w:rPr>
      <w:rFonts w:eastAsia="宋体"/>
      <w:sz w:val="30"/>
      <w:szCs w:val="32"/>
    </w:rPr>
  </w:style>
  <w:style w:type="paragraph" w:customStyle="1" w:styleId="171">
    <w:name w:val="xl88"/>
    <w:basedOn w:val="1"/>
    <w:qFormat/>
    <w:uiPriority w:val="0"/>
    <w:pPr>
      <w:widowControl/>
      <w:spacing w:before="100" w:beforeAutospacing="1" w:after="100" w:afterAutospacing="1"/>
      <w:jc w:val="left"/>
    </w:pPr>
    <w:rPr>
      <w:rFonts w:eastAsia="宋体"/>
      <w:kern w:val="0"/>
      <w:sz w:val="24"/>
      <w:szCs w:val="24"/>
    </w:rPr>
  </w:style>
  <w:style w:type="paragraph" w:customStyle="1" w:styleId="172">
    <w:name w:val="xl14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73">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74">
    <w:name w:val="正文首行缩进4"/>
    <w:basedOn w:val="1"/>
    <w:qFormat/>
    <w:uiPriority w:val="0"/>
    <w:pPr>
      <w:spacing w:beforeLines="50" w:afterLines="50" w:line="360" w:lineRule="auto"/>
      <w:ind w:firstLine="480" w:firstLineChars="200"/>
    </w:pPr>
    <w:rPr>
      <w:rFonts w:ascii="Arial" w:hAnsi="Arial" w:eastAsia="宋体"/>
      <w:sz w:val="24"/>
      <w:szCs w:val="24"/>
    </w:rPr>
  </w:style>
  <w:style w:type="paragraph" w:customStyle="1" w:styleId="175">
    <w:name w:val="font8"/>
    <w:basedOn w:val="1"/>
    <w:qFormat/>
    <w:uiPriority w:val="0"/>
    <w:pPr>
      <w:widowControl/>
      <w:spacing w:before="100" w:beforeAutospacing="1" w:after="100" w:afterAutospacing="1"/>
      <w:jc w:val="left"/>
    </w:pPr>
    <w:rPr>
      <w:rFonts w:eastAsia="宋体"/>
      <w:kern w:val="0"/>
      <w:sz w:val="22"/>
      <w:szCs w:val="22"/>
    </w:rPr>
  </w:style>
  <w:style w:type="paragraph" w:customStyle="1" w:styleId="176">
    <w:name w:val="Char Char Char Char Char Char"/>
    <w:basedOn w:val="1"/>
    <w:qFormat/>
    <w:uiPriority w:val="0"/>
    <w:rPr>
      <w:rFonts w:ascii="Tahoma" w:hAnsi="Tahoma" w:eastAsia="宋体"/>
      <w:sz w:val="24"/>
    </w:rPr>
  </w:style>
  <w:style w:type="paragraph" w:customStyle="1" w:styleId="17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4"/>
      <w:szCs w:val="24"/>
    </w:rPr>
  </w:style>
  <w:style w:type="paragraph" w:customStyle="1" w:styleId="17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b/>
      <w:bCs/>
      <w:i/>
      <w:iCs/>
      <w:kern w:val="0"/>
      <w:sz w:val="24"/>
      <w:szCs w:val="24"/>
    </w:rPr>
  </w:style>
  <w:style w:type="paragraph" w:customStyle="1" w:styleId="179">
    <w:name w:val="表格正文"/>
    <w:basedOn w:val="1"/>
    <w:qFormat/>
    <w:uiPriority w:val="0"/>
    <w:pPr>
      <w:spacing w:before="100" w:beforeAutospacing="1" w:after="100" w:afterAutospacing="1" w:line="240" w:lineRule="atLeast"/>
    </w:pPr>
    <w:rPr>
      <w:sz w:val="24"/>
    </w:rPr>
  </w:style>
  <w:style w:type="paragraph" w:customStyle="1" w:styleId="180">
    <w:name w:val="xl74"/>
    <w:basedOn w:val="1"/>
    <w:qFormat/>
    <w:uiPriority w:val="0"/>
    <w:pPr>
      <w:widowControl/>
      <w:pBdr>
        <w:top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181">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2">
    <w:name w:val="xl90"/>
    <w:basedOn w:val="1"/>
    <w:qFormat/>
    <w:uiPriority w:val="0"/>
    <w:pPr>
      <w:widowControl/>
      <w:pBdr>
        <w:left w:val="single" w:color="auto" w:sz="4" w:space="0"/>
      </w:pBdr>
      <w:spacing w:before="100" w:beforeAutospacing="1" w:after="100" w:afterAutospacing="1"/>
      <w:jc w:val="center"/>
      <w:textAlignment w:val="center"/>
    </w:pPr>
    <w:rPr>
      <w:rFonts w:ascii="宋体" w:hAnsi="宋体" w:eastAsia="宋体" w:cs="宋体"/>
      <w:kern w:val="0"/>
      <w:sz w:val="22"/>
      <w:szCs w:val="22"/>
    </w:rPr>
  </w:style>
  <w:style w:type="paragraph" w:customStyle="1" w:styleId="183">
    <w:name w:val="Bullet"/>
    <w:basedOn w:val="1"/>
    <w:qFormat/>
    <w:uiPriority w:val="0"/>
    <w:pPr>
      <w:widowControl/>
      <w:adjustRightInd w:val="0"/>
      <w:spacing w:before="60" w:after="60" w:line="360" w:lineRule="auto"/>
      <w:ind w:left="1225" w:firstLine="420" w:firstLineChars="200"/>
    </w:pPr>
    <w:rPr>
      <w:rFonts w:eastAsia="宋体"/>
      <w:b/>
      <w:kern w:val="0"/>
      <w:sz w:val="21"/>
      <w:szCs w:val="21"/>
    </w:rPr>
  </w:style>
  <w:style w:type="paragraph" w:customStyle="1" w:styleId="184">
    <w:name w:val="_Style 57"/>
    <w:next w:val="1"/>
    <w:qFormat/>
    <w:uiPriority w:val="0"/>
    <w:pPr>
      <w:widowControl w:val="0"/>
      <w:jc w:val="both"/>
    </w:pPr>
    <w:rPr>
      <w:rFonts w:ascii="Calibri" w:hAnsi="Calibri" w:eastAsia="楷体_GB2312" w:cs="Times New Roman"/>
      <w:kern w:val="2"/>
      <w:sz w:val="26"/>
      <w:lang w:val="en-US" w:eastAsia="zh-CN" w:bidi="ar-SA"/>
    </w:rPr>
  </w:style>
  <w:style w:type="paragraph" w:customStyle="1" w:styleId="185">
    <w:name w:val="p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xl6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87">
    <w:name w:val="xl53"/>
    <w:basedOn w:val="1"/>
    <w:qFormat/>
    <w:uiPriority w:val="0"/>
    <w:pPr>
      <w:widowControl/>
      <w:spacing w:before="100" w:beforeAutospacing="1" w:after="100" w:afterAutospacing="1"/>
      <w:jc w:val="left"/>
      <w:textAlignment w:val="center"/>
    </w:pPr>
    <w:rPr>
      <w:rFonts w:ascii="Univers" w:hAnsi="Univers" w:eastAsia="宋体" w:cs="宋体"/>
      <w:b/>
      <w:bCs/>
      <w:kern w:val="0"/>
      <w:sz w:val="24"/>
      <w:szCs w:val="24"/>
    </w:rPr>
  </w:style>
  <w:style w:type="paragraph" w:customStyle="1" w:styleId="18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9">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90">
    <w:name w:val="xl7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191">
    <w:name w:val="xl78"/>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eastAsia="宋体"/>
      <w:b/>
      <w:bCs/>
      <w:kern w:val="0"/>
      <w:sz w:val="24"/>
      <w:szCs w:val="24"/>
    </w:rPr>
  </w:style>
  <w:style w:type="character" w:customStyle="1" w:styleId="192">
    <w:name w:val="正文文本缩进 3 Char"/>
    <w:link w:val="45"/>
    <w:qFormat/>
    <w:uiPriority w:val="0"/>
    <w:rPr>
      <w:rFonts w:ascii="Times New Roman" w:hAnsi="Times New Roman"/>
      <w:kern w:val="2"/>
      <w:sz w:val="24"/>
      <w:szCs w:val="24"/>
    </w:rPr>
  </w:style>
  <w:style w:type="paragraph" w:customStyle="1" w:styleId="193">
    <w:name w:val="Char Char Char Char Char Char Char"/>
    <w:basedOn w:val="1"/>
    <w:qFormat/>
    <w:uiPriority w:val="0"/>
    <w:rPr>
      <w:rFonts w:eastAsia="宋体"/>
      <w:sz w:val="21"/>
      <w:szCs w:val="24"/>
    </w:rPr>
  </w:style>
  <w:style w:type="paragraph" w:customStyle="1" w:styleId="194">
    <w:name w:val="项符&gt;"/>
    <w:basedOn w:val="1"/>
    <w:qFormat/>
    <w:uiPriority w:val="0"/>
    <w:pPr>
      <w:spacing w:line="360" w:lineRule="auto"/>
    </w:pPr>
    <w:rPr>
      <w:rFonts w:hint="eastAsia" w:ascii="宋体" w:hAnsi="宋体" w:eastAsia="宋体"/>
      <w:sz w:val="24"/>
      <w:szCs w:val="30"/>
    </w:rPr>
  </w:style>
  <w:style w:type="paragraph" w:customStyle="1" w:styleId="195">
    <w:name w:val="xl1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196">
    <w:name w:val="xl151"/>
    <w:basedOn w:val="1"/>
    <w:qFormat/>
    <w:uiPriority w:val="0"/>
    <w:pPr>
      <w:widowControl/>
      <w:pBdr>
        <w:bottom w:val="double" w:color="auto" w:sz="6"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97">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2"/>
      <w:szCs w:val="22"/>
    </w:rPr>
  </w:style>
  <w:style w:type="paragraph" w:customStyle="1" w:styleId="198">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FF0000"/>
      <w:kern w:val="0"/>
      <w:sz w:val="24"/>
      <w:szCs w:val="24"/>
    </w:rPr>
  </w:style>
  <w:style w:type="paragraph" w:customStyle="1" w:styleId="199">
    <w:name w:val="默认段落字体 Para Char Char Char Char Char Char Char"/>
    <w:basedOn w:val="1"/>
    <w:qFormat/>
    <w:uiPriority w:val="0"/>
    <w:rPr>
      <w:rFonts w:eastAsia="宋体"/>
      <w:sz w:val="21"/>
    </w:rPr>
  </w:style>
  <w:style w:type="paragraph" w:customStyle="1" w:styleId="20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01">
    <w:name w:val="p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02">
    <w:name w:val="List Paragraph"/>
    <w:basedOn w:val="1"/>
    <w:link w:val="363"/>
    <w:qFormat/>
    <w:uiPriority w:val="34"/>
    <w:pPr>
      <w:ind w:firstLine="420" w:firstLineChars="200"/>
    </w:pPr>
    <w:rPr>
      <w:rFonts w:ascii="Times New Roman" w:hAnsi="Times New Roman" w:eastAsia="宋体"/>
      <w:sz w:val="21"/>
      <w:szCs w:val="24"/>
    </w:rPr>
  </w:style>
  <w:style w:type="paragraph" w:customStyle="1" w:styleId="203">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olor w:val="FF0000"/>
      <w:kern w:val="0"/>
      <w:sz w:val="24"/>
      <w:szCs w:val="24"/>
    </w:rPr>
  </w:style>
  <w:style w:type="paragraph" w:customStyle="1" w:styleId="204">
    <w:name w:val="表格标题"/>
    <w:basedOn w:val="179"/>
    <w:qFormat/>
    <w:uiPriority w:val="0"/>
    <w:pPr>
      <w:jc w:val="center"/>
    </w:pPr>
    <w:rPr>
      <w:b/>
    </w:rPr>
  </w:style>
  <w:style w:type="paragraph" w:customStyle="1" w:styleId="205">
    <w:name w:val="xl11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eastAsia="宋体"/>
      <w:b/>
      <w:bCs/>
      <w:kern w:val="0"/>
      <w:sz w:val="24"/>
      <w:szCs w:val="24"/>
    </w:rPr>
  </w:style>
  <w:style w:type="paragraph" w:customStyle="1" w:styleId="206">
    <w:name w:val="xl89"/>
    <w:basedOn w:val="1"/>
    <w:qFormat/>
    <w:uiPriority w:val="0"/>
    <w:pPr>
      <w:widowControl/>
      <w:spacing w:before="100" w:beforeAutospacing="1" w:after="100" w:afterAutospacing="1"/>
      <w:jc w:val="left"/>
    </w:pPr>
    <w:rPr>
      <w:rFonts w:eastAsia="宋体"/>
      <w:b/>
      <w:bCs/>
      <w:kern w:val="0"/>
      <w:sz w:val="24"/>
      <w:szCs w:val="24"/>
    </w:rPr>
  </w:style>
  <w:style w:type="paragraph" w:customStyle="1" w:styleId="207">
    <w:name w:val="正文符号1"/>
    <w:basedOn w:val="1"/>
    <w:qFormat/>
    <w:uiPriority w:val="0"/>
    <w:pPr>
      <w:tabs>
        <w:tab w:val="left" w:pos="425"/>
        <w:tab w:val="left" w:pos="1080"/>
      </w:tabs>
      <w:spacing w:before="100" w:beforeAutospacing="1" w:after="100" w:afterAutospacing="1"/>
      <w:ind w:left="425" w:hanging="425"/>
    </w:pPr>
    <w:rPr>
      <w:kern w:val="0"/>
      <w:sz w:val="28"/>
      <w:szCs w:val="24"/>
    </w:rPr>
  </w:style>
  <w:style w:type="paragraph" w:customStyle="1" w:styleId="208">
    <w:name w:val="xl50"/>
    <w:basedOn w:val="1"/>
    <w:qFormat/>
    <w:uiPriority w:val="0"/>
    <w:pPr>
      <w:widowControl/>
      <w:spacing w:before="100" w:beforeAutospacing="1" w:after="100" w:afterAutospacing="1"/>
      <w:jc w:val="right"/>
      <w:textAlignment w:val="center"/>
    </w:pPr>
    <w:rPr>
      <w:rFonts w:ascii="Univers" w:hAnsi="Univers" w:eastAsia="宋体" w:cs="宋体"/>
      <w:b/>
      <w:bCs/>
      <w:color w:val="000000"/>
      <w:kern w:val="0"/>
      <w:sz w:val="24"/>
      <w:szCs w:val="24"/>
    </w:rPr>
  </w:style>
  <w:style w:type="paragraph" w:customStyle="1" w:styleId="209">
    <w:name w:val="xl137"/>
    <w:basedOn w:val="1"/>
    <w:qFormat/>
    <w:uiPriority w:val="0"/>
    <w:pPr>
      <w:widowControl/>
      <w:pBdr>
        <w:top w:val="single" w:color="auto" w:sz="4" w:space="0"/>
        <w:left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1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21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FF0000"/>
      <w:kern w:val="0"/>
      <w:sz w:val="24"/>
      <w:szCs w:val="24"/>
    </w:rPr>
  </w:style>
  <w:style w:type="paragraph" w:customStyle="1" w:styleId="212">
    <w:name w:val="flName"/>
    <w:basedOn w:val="1"/>
    <w:link w:val="213"/>
    <w:qFormat/>
    <w:uiPriority w:val="0"/>
    <w:pPr>
      <w:tabs>
        <w:tab w:val="left" w:pos="5400"/>
      </w:tabs>
      <w:adjustRightInd w:val="0"/>
      <w:spacing w:before="320" w:after="160" w:line="360" w:lineRule="atLeast"/>
      <w:jc w:val="center"/>
      <w:textAlignment w:val="baseline"/>
    </w:pPr>
    <w:rPr>
      <w:rFonts w:ascii="Arial" w:eastAsia="黑体"/>
      <w:kern w:val="0"/>
      <w:sz w:val="32"/>
    </w:rPr>
  </w:style>
  <w:style w:type="character" w:customStyle="1" w:styleId="213">
    <w:name w:val="flName Char Char"/>
    <w:link w:val="212"/>
    <w:qFormat/>
    <w:uiPriority w:val="0"/>
    <w:rPr>
      <w:rFonts w:ascii="Arial" w:eastAsia="黑体"/>
      <w:sz w:val="32"/>
    </w:rPr>
  </w:style>
  <w:style w:type="paragraph" w:customStyle="1" w:styleId="214">
    <w:name w:val="xl97"/>
    <w:basedOn w:val="1"/>
    <w:qFormat/>
    <w:uiPriority w:val="0"/>
    <w:pPr>
      <w:widowControl/>
      <w:pBdr>
        <w:right w:val="single" w:color="auto" w:sz="4" w:space="0"/>
      </w:pBdr>
      <w:spacing w:before="100" w:beforeAutospacing="1" w:after="100" w:afterAutospacing="1"/>
      <w:jc w:val="center"/>
    </w:pPr>
    <w:rPr>
      <w:rFonts w:eastAsia="宋体"/>
      <w:kern w:val="0"/>
      <w:sz w:val="24"/>
      <w:szCs w:val="24"/>
    </w:rPr>
  </w:style>
  <w:style w:type="paragraph" w:customStyle="1" w:styleId="215">
    <w:name w:val="Char2"/>
    <w:basedOn w:val="1"/>
    <w:qFormat/>
    <w:uiPriority w:val="0"/>
    <w:rPr>
      <w:rFonts w:ascii="仿宋_GB2312" w:eastAsia="仿宋_GB2312"/>
      <w:b/>
      <w:sz w:val="32"/>
      <w:szCs w:val="32"/>
    </w:rPr>
  </w:style>
  <w:style w:type="paragraph" w:customStyle="1" w:styleId="216">
    <w:name w:val="font11"/>
    <w:basedOn w:val="1"/>
    <w:qFormat/>
    <w:uiPriority w:val="0"/>
    <w:pPr>
      <w:widowControl/>
      <w:spacing w:before="100" w:beforeAutospacing="1" w:after="100" w:afterAutospacing="1"/>
      <w:jc w:val="left"/>
    </w:pPr>
    <w:rPr>
      <w:rFonts w:ascii="宋体" w:hAnsi="宋体" w:eastAsia="宋体" w:cs="宋体"/>
      <w:b/>
      <w:bCs/>
      <w:i/>
      <w:iCs/>
      <w:kern w:val="0"/>
      <w:sz w:val="20"/>
    </w:rPr>
  </w:style>
  <w:style w:type="paragraph" w:customStyle="1" w:styleId="217">
    <w:name w:val="xl156"/>
    <w:basedOn w:val="1"/>
    <w:qFormat/>
    <w:uiPriority w:val="0"/>
    <w:pPr>
      <w:widowControl/>
      <w:shd w:val="clear" w:color="000000" w:fill="FFFFFF"/>
      <w:spacing w:before="100" w:beforeAutospacing="1" w:after="100" w:afterAutospacing="1"/>
      <w:jc w:val="center"/>
    </w:pPr>
    <w:rPr>
      <w:rFonts w:ascii="宋体" w:hAnsi="宋体" w:eastAsia="宋体" w:cs="宋体"/>
      <w:kern w:val="0"/>
      <w:sz w:val="20"/>
    </w:rPr>
  </w:style>
  <w:style w:type="paragraph" w:customStyle="1" w:styleId="218">
    <w:name w:val="纯文本1"/>
    <w:basedOn w:val="1"/>
    <w:qFormat/>
    <w:uiPriority w:val="0"/>
    <w:pPr>
      <w:adjustRightInd w:val="0"/>
      <w:textAlignment w:val="baseline"/>
    </w:pPr>
    <w:rPr>
      <w:rFonts w:ascii="宋体" w:hAnsi="Courier New" w:eastAsia="宋体"/>
      <w:sz w:val="28"/>
    </w:rPr>
  </w:style>
  <w:style w:type="paragraph" w:customStyle="1" w:styleId="219">
    <w:name w:val="xl47"/>
    <w:basedOn w:val="1"/>
    <w:qFormat/>
    <w:uiPriority w:val="0"/>
    <w:pPr>
      <w:widowControl/>
      <w:spacing w:before="100" w:beforeAutospacing="1" w:after="100" w:afterAutospacing="1"/>
      <w:jc w:val="center"/>
    </w:pPr>
    <w:rPr>
      <w:rFonts w:ascii="Univers" w:hAnsi="Univers" w:eastAsia="宋体" w:cs="宋体"/>
      <w:b/>
      <w:bCs/>
      <w:kern w:val="0"/>
      <w:sz w:val="24"/>
      <w:szCs w:val="24"/>
    </w:rPr>
  </w:style>
  <w:style w:type="paragraph" w:customStyle="1" w:styleId="220">
    <w:name w:val="xl8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eastAsia="宋体"/>
      <w:kern w:val="0"/>
      <w:sz w:val="24"/>
      <w:szCs w:val="24"/>
    </w:rPr>
  </w:style>
  <w:style w:type="paragraph" w:customStyle="1" w:styleId="221">
    <w:name w:val="content"/>
    <w:basedOn w:val="1"/>
    <w:qFormat/>
    <w:uiPriority w:val="0"/>
    <w:pPr>
      <w:widowControl/>
      <w:spacing w:before="180" w:after="180" w:line="225" w:lineRule="atLeast"/>
      <w:ind w:left="180" w:right="180"/>
      <w:jc w:val="left"/>
    </w:pPr>
    <w:rPr>
      <w:rFonts w:ascii="Arial" w:hAnsi="Arial" w:eastAsia="宋体" w:cs="Arial"/>
      <w:color w:val="153B63"/>
      <w:kern w:val="0"/>
      <w:sz w:val="18"/>
      <w:szCs w:val="18"/>
    </w:rPr>
  </w:style>
  <w:style w:type="paragraph" w:customStyle="1" w:styleId="222">
    <w:name w:val="正文1"/>
    <w:next w:val="1"/>
    <w:qFormat/>
    <w:uiPriority w:val="0"/>
    <w:pPr>
      <w:spacing w:line="360" w:lineRule="auto"/>
      <w:ind w:firstLine="480" w:firstLineChars="200"/>
    </w:pPr>
    <w:rPr>
      <w:rFonts w:ascii="宋体" w:hAnsi="宋体" w:eastAsia="宋体" w:cs="宋体"/>
      <w:sz w:val="24"/>
      <w:szCs w:val="24"/>
      <w:lang w:val="en-US" w:eastAsia="zh-CN" w:bidi="ar-SA"/>
    </w:rPr>
  </w:style>
  <w:style w:type="paragraph" w:customStyle="1" w:styleId="223">
    <w:name w:val="图"/>
    <w:basedOn w:val="1"/>
    <w:qFormat/>
    <w:uiPriority w:val="0"/>
    <w:pPr>
      <w:keepNext/>
      <w:adjustRightInd w:val="0"/>
      <w:spacing w:before="60" w:after="60" w:line="300" w:lineRule="auto"/>
      <w:jc w:val="center"/>
      <w:textAlignment w:val="center"/>
    </w:pPr>
    <w:rPr>
      <w:rFonts w:ascii="Times New Roman" w:hAnsi="Times New Roman" w:eastAsia="宋体"/>
      <w:snapToGrid w:val="0"/>
      <w:spacing w:val="20"/>
      <w:kern w:val="0"/>
      <w:sz w:val="24"/>
    </w:rPr>
  </w:style>
  <w:style w:type="paragraph" w:customStyle="1" w:styleId="224">
    <w:name w:val="xl46"/>
    <w:basedOn w:val="1"/>
    <w:qFormat/>
    <w:uiPriority w:val="0"/>
    <w:pPr>
      <w:widowControl/>
      <w:spacing w:before="100" w:beforeAutospacing="1" w:after="100" w:afterAutospacing="1"/>
      <w:jc w:val="left"/>
      <w:textAlignment w:val="center"/>
    </w:pPr>
    <w:rPr>
      <w:rFonts w:ascii="Univers" w:hAnsi="Univers" w:eastAsia="宋体" w:cs="宋体"/>
      <w:kern w:val="0"/>
      <w:sz w:val="24"/>
      <w:szCs w:val="24"/>
    </w:rPr>
  </w:style>
  <w:style w:type="paragraph" w:customStyle="1" w:styleId="225">
    <w:name w:val="Char Char Char Char Char Char Char Char Char Char Char Char Char"/>
    <w:basedOn w:val="19"/>
    <w:qFormat/>
    <w:uiPriority w:val="0"/>
    <w:rPr>
      <w:rFonts w:ascii="Tahoma" w:hAnsi="Tahoma"/>
      <w:sz w:val="24"/>
      <w:szCs w:val="24"/>
    </w:rPr>
  </w:style>
  <w:style w:type="paragraph" w:customStyle="1" w:styleId="226">
    <w:name w:val="6"/>
    <w:basedOn w:val="1"/>
    <w:next w:val="24"/>
    <w:qFormat/>
    <w:uiPriority w:val="0"/>
    <w:pPr>
      <w:spacing w:after="120"/>
    </w:pPr>
    <w:rPr>
      <w:rFonts w:eastAsia="宋体"/>
      <w:sz w:val="21"/>
      <w:szCs w:val="24"/>
    </w:rPr>
  </w:style>
  <w:style w:type="paragraph" w:customStyle="1" w:styleId="227">
    <w:name w:val="样式3"/>
    <w:basedOn w:val="5"/>
    <w:qFormat/>
    <w:uiPriority w:val="0"/>
    <w:pPr>
      <w:keepLines w:val="0"/>
      <w:autoSpaceDE w:val="0"/>
      <w:autoSpaceDN w:val="0"/>
      <w:adjustRightInd w:val="0"/>
      <w:spacing w:before="0" w:after="0" w:line="360" w:lineRule="auto"/>
      <w:jc w:val="center"/>
      <w:textAlignment w:val="baseline"/>
    </w:pPr>
    <w:rPr>
      <w:rFonts w:eastAsia="宋体"/>
      <w:kern w:val="0"/>
      <w:sz w:val="24"/>
      <w:szCs w:val="24"/>
    </w:rPr>
  </w:style>
  <w:style w:type="paragraph" w:customStyle="1" w:styleId="228">
    <w:name w:val="纯文本2"/>
    <w:basedOn w:val="1"/>
    <w:qFormat/>
    <w:uiPriority w:val="0"/>
    <w:pPr>
      <w:adjustRightInd w:val="0"/>
      <w:textAlignment w:val="baseline"/>
    </w:pPr>
    <w:rPr>
      <w:rFonts w:ascii="宋体" w:hAnsi="Courier New" w:eastAsia="宋体"/>
    </w:rPr>
  </w:style>
  <w:style w:type="paragraph" w:customStyle="1" w:styleId="229">
    <w:name w:val="xl152"/>
    <w:basedOn w:val="1"/>
    <w:qFormat/>
    <w:uiPriority w:val="0"/>
    <w:pPr>
      <w:widowControl/>
      <w:pBdr>
        <w:left w:val="single" w:color="auto" w:sz="4" w:space="0"/>
        <w:bottom w:val="double" w:color="auto" w:sz="6"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230">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31">
    <w:name w:val="xl1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32">
    <w:name w:val="font9"/>
    <w:basedOn w:val="1"/>
    <w:qFormat/>
    <w:uiPriority w:val="0"/>
    <w:pPr>
      <w:widowControl/>
      <w:spacing w:before="100" w:beforeAutospacing="1" w:after="100" w:afterAutospacing="1"/>
      <w:jc w:val="left"/>
    </w:pPr>
    <w:rPr>
      <w:rFonts w:eastAsia="宋体"/>
      <w:b/>
      <w:bCs/>
      <w:kern w:val="0"/>
      <w:sz w:val="20"/>
    </w:rPr>
  </w:style>
  <w:style w:type="paragraph" w:customStyle="1" w:styleId="233">
    <w:name w:val="xl10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34">
    <w:name w:val="xl59"/>
    <w:basedOn w:val="1"/>
    <w:qFormat/>
    <w:uiPriority w:val="0"/>
    <w:pPr>
      <w:widowControl/>
      <w:pBdr>
        <w:left w:val="single" w:color="auto" w:sz="4" w:space="0"/>
      </w:pBdr>
      <w:spacing w:before="100" w:beforeAutospacing="1" w:after="100" w:afterAutospacing="1"/>
      <w:jc w:val="center"/>
      <w:textAlignment w:val="top"/>
    </w:pPr>
    <w:rPr>
      <w:rFonts w:ascii="宋体" w:hAnsi="宋体" w:eastAsia="宋体" w:cs="宋体"/>
      <w:b/>
      <w:bCs/>
      <w:kern w:val="0"/>
      <w:sz w:val="24"/>
      <w:szCs w:val="24"/>
    </w:rPr>
  </w:style>
  <w:style w:type="paragraph" w:customStyle="1" w:styleId="235">
    <w:name w:val="xl11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36">
    <w:name w:val="font10"/>
    <w:basedOn w:val="1"/>
    <w:qFormat/>
    <w:uiPriority w:val="0"/>
    <w:pPr>
      <w:widowControl/>
      <w:spacing w:before="100" w:beforeAutospacing="1" w:after="100" w:afterAutospacing="1"/>
      <w:jc w:val="left"/>
    </w:pPr>
    <w:rPr>
      <w:rFonts w:ascii="宋体" w:hAnsi="宋体" w:eastAsia="宋体" w:cs="宋体"/>
      <w:b/>
      <w:bCs/>
      <w:kern w:val="0"/>
      <w:sz w:val="22"/>
      <w:szCs w:val="22"/>
    </w:rPr>
  </w:style>
  <w:style w:type="paragraph" w:customStyle="1" w:styleId="237">
    <w:name w:val="Char Char Char Char Char Char Char1 Char"/>
    <w:basedOn w:val="1"/>
    <w:qFormat/>
    <w:uiPriority w:val="0"/>
    <w:rPr>
      <w:rFonts w:ascii="Tahoma" w:hAnsi="Tahoma" w:eastAsia="宋体"/>
      <w:sz w:val="24"/>
    </w:rPr>
  </w:style>
  <w:style w:type="paragraph" w:customStyle="1" w:styleId="238">
    <w:name w:val="xl14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b/>
      <w:bCs/>
      <w:kern w:val="0"/>
      <w:sz w:val="20"/>
    </w:rPr>
  </w:style>
  <w:style w:type="paragraph" w:customStyle="1" w:styleId="239">
    <w:name w:val="Char1"/>
    <w:basedOn w:val="1"/>
    <w:qFormat/>
    <w:uiPriority w:val="0"/>
    <w:pPr>
      <w:widowControl/>
      <w:spacing w:after="160" w:line="240" w:lineRule="exact"/>
      <w:jc w:val="left"/>
    </w:pPr>
    <w:rPr>
      <w:rFonts w:ascii="Verdana" w:hAnsi="Verdana" w:eastAsia="宋体"/>
      <w:kern w:val="0"/>
      <w:sz w:val="21"/>
      <w:lang w:eastAsia="en-US"/>
    </w:rPr>
  </w:style>
  <w:style w:type="paragraph" w:customStyle="1" w:styleId="240">
    <w:name w:val="xl57"/>
    <w:basedOn w:val="1"/>
    <w:qFormat/>
    <w:uiPriority w:val="0"/>
    <w:pPr>
      <w:widowControl/>
      <w:pBdr>
        <w:lef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41">
    <w:name w:val="Char Char Char Char Char Char1 Char"/>
    <w:basedOn w:val="1"/>
    <w:qFormat/>
    <w:uiPriority w:val="0"/>
    <w:pPr>
      <w:widowControl/>
      <w:spacing w:after="160" w:line="240" w:lineRule="exact"/>
      <w:jc w:val="left"/>
    </w:pPr>
    <w:rPr>
      <w:rFonts w:eastAsia="宋体"/>
      <w:sz w:val="21"/>
    </w:rPr>
  </w:style>
  <w:style w:type="paragraph" w:customStyle="1" w:styleId="242">
    <w:name w:val="xl93"/>
    <w:basedOn w:val="1"/>
    <w:qFormat/>
    <w:uiPriority w:val="0"/>
    <w:pPr>
      <w:widowControl/>
      <w:pBdr>
        <w:left w:val="single" w:color="auto" w:sz="4" w:space="0"/>
      </w:pBdr>
      <w:spacing w:before="100" w:beforeAutospacing="1" w:after="100" w:afterAutospacing="1"/>
      <w:jc w:val="center"/>
      <w:textAlignment w:val="top"/>
    </w:pPr>
    <w:rPr>
      <w:rFonts w:ascii="宋体" w:hAnsi="宋体" w:eastAsia="宋体" w:cs="宋体"/>
      <w:b/>
      <w:bCs/>
      <w:kern w:val="0"/>
      <w:sz w:val="22"/>
      <w:szCs w:val="22"/>
    </w:rPr>
  </w:style>
  <w:style w:type="paragraph" w:customStyle="1" w:styleId="243">
    <w:name w:val="xl161"/>
    <w:basedOn w:val="1"/>
    <w:qFormat/>
    <w:uiPriority w:val="0"/>
    <w:pPr>
      <w:widowControl/>
      <w:spacing w:before="100" w:beforeAutospacing="1" w:after="100" w:afterAutospacing="1"/>
      <w:jc w:val="center"/>
    </w:pPr>
    <w:rPr>
      <w:rFonts w:ascii="宋体" w:hAnsi="宋体" w:eastAsia="宋体" w:cs="宋体"/>
      <w:color w:val="FF0000"/>
      <w:kern w:val="0"/>
      <w:sz w:val="20"/>
    </w:rPr>
  </w:style>
  <w:style w:type="paragraph" w:customStyle="1" w:styleId="244">
    <w:name w:val="xl154"/>
    <w:basedOn w:val="1"/>
    <w:qFormat/>
    <w:uiPriority w:val="0"/>
    <w:pPr>
      <w:widowControl/>
      <w:pBdr>
        <w:left w:val="single" w:color="auto" w:sz="4" w:space="0"/>
        <w:bottom w:val="double" w:color="auto" w:sz="6" w:space="0"/>
      </w:pBdr>
      <w:spacing w:before="100" w:beforeAutospacing="1" w:after="100" w:afterAutospacing="1"/>
      <w:jc w:val="left"/>
    </w:pPr>
    <w:rPr>
      <w:rFonts w:ascii="宋体" w:hAnsi="宋体" w:eastAsia="宋体" w:cs="宋体"/>
      <w:kern w:val="0"/>
      <w:sz w:val="20"/>
    </w:rPr>
  </w:style>
  <w:style w:type="paragraph" w:customStyle="1" w:styleId="245">
    <w:name w:val="xl86"/>
    <w:basedOn w:val="1"/>
    <w:qFormat/>
    <w:uiPriority w:val="0"/>
    <w:pPr>
      <w:widowControl/>
      <w:pBdr>
        <w:top w:val="single" w:color="auto" w:sz="4" w:space="0"/>
        <w:left w:val="single" w:color="auto" w:sz="4" w:space="0"/>
      </w:pBdr>
      <w:spacing w:before="100" w:beforeAutospacing="1" w:after="100" w:afterAutospacing="1"/>
      <w:jc w:val="center"/>
    </w:pPr>
    <w:rPr>
      <w:rFonts w:eastAsia="宋体"/>
      <w:kern w:val="0"/>
      <w:sz w:val="24"/>
      <w:szCs w:val="24"/>
    </w:rPr>
  </w:style>
  <w:style w:type="paragraph" w:customStyle="1" w:styleId="246">
    <w:name w:val="xl52"/>
    <w:basedOn w:val="1"/>
    <w:qFormat/>
    <w:uiPriority w:val="0"/>
    <w:pPr>
      <w:widowControl/>
      <w:spacing w:before="100" w:beforeAutospacing="1" w:after="100" w:afterAutospacing="1"/>
      <w:jc w:val="right"/>
      <w:textAlignment w:val="center"/>
    </w:pPr>
    <w:rPr>
      <w:rFonts w:ascii="Univers" w:hAnsi="Univers" w:eastAsia="宋体" w:cs="宋体"/>
      <w:b/>
      <w:bCs/>
      <w:color w:val="000000"/>
      <w:kern w:val="0"/>
      <w:sz w:val="24"/>
      <w:szCs w:val="24"/>
    </w:rPr>
  </w:style>
  <w:style w:type="paragraph" w:customStyle="1" w:styleId="247">
    <w:name w:val="正文首行缩进{858D7CFB-ED40-4347-BF05-701D383B685F}{858D7CFB-ED40-4347-BF05-701D383B685F}"/>
    <w:basedOn w:val="1"/>
    <w:qFormat/>
    <w:uiPriority w:val="0"/>
    <w:pPr>
      <w:ind w:firstLine="420"/>
    </w:pPr>
    <w:rPr>
      <w:rFonts w:ascii="Times New Roman" w:hAnsi="Times New Roman" w:eastAsia="宋体"/>
      <w:sz w:val="21"/>
    </w:rPr>
  </w:style>
  <w:style w:type="paragraph" w:customStyle="1" w:styleId="248">
    <w:name w:val="普通 (Web)"/>
    <w:basedOn w:val="1"/>
    <w:qFormat/>
    <w:uiPriority w:val="0"/>
    <w:pPr>
      <w:widowControl/>
      <w:spacing w:afterLines="50" w:line="384" w:lineRule="auto"/>
      <w:ind w:left="359" w:leftChars="171" w:right="34" w:firstLine="540" w:firstLineChars="225"/>
      <w:jc w:val="left"/>
    </w:pPr>
    <w:rPr>
      <w:rFonts w:ascii="Arial" w:hAnsi="Arial" w:eastAsia="宋体" w:cs="Arial"/>
      <w:kern w:val="0"/>
      <w:sz w:val="24"/>
      <w:szCs w:val="24"/>
    </w:rPr>
  </w:style>
  <w:style w:type="paragraph" w:customStyle="1" w:styleId="249">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250">
    <w:name w:val="xl143"/>
    <w:basedOn w:val="1"/>
    <w:qFormat/>
    <w:uiPriority w:val="0"/>
    <w:pPr>
      <w:widowControl/>
      <w:pBdr>
        <w:righ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251">
    <w:name w:val="xl126"/>
    <w:basedOn w:val="1"/>
    <w:qFormat/>
    <w:uiPriority w:val="0"/>
    <w:pPr>
      <w:widowControl/>
      <w:pBdr>
        <w:top w:val="single" w:color="auto" w:sz="4" w:space="0"/>
        <w:left w:val="single" w:color="auto" w:sz="4" w:space="0"/>
        <w:bottom w:val="double" w:color="auto" w:sz="6" w:space="0"/>
      </w:pBdr>
      <w:spacing w:before="100" w:beforeAutospacing="1" w:after="100" w:afterAutospacing="1"/>
      <w:jc w:val="center"/>
    </w:pPr>
    <w:rPr>
      <w:rFonts w:ascii="宋体" w:hAnsi="宋体" w:eastAsia="宋体" w:cs="宋体"/>
      <w:kern w:val="0"/>
      <w:sz w:val="20"/>
    </w:rPr>
  </w:style>
  <w:style w:type="paragraph" w:customStyle="1" w:styleId="2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53">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254">
    <w:name w:val="xl51"/>
    <w:basedOn w:val="1"/>
    <w:qFormat/>
    <w:uiPriority w:val="0"/>
    <w:pPr>
      <w:widowControl/>
      <w:spacing w:before="100" w:beforeAutospacing="1" w:after="100" w:afterAutospacing="1"/>
      <w:jc w:val="right"/>
      <w:textAlignment w:val="center"/>
    </w:pPr>
    <w:rPr>
      <w:rFonts w:ascii="Univers" w:hAnsi="Univers" w:eastAsia="宋体" w:cs="宋体"/>
      <w:b/>
      <w:bCs/>
      <w:kern w:val="0"/>
      <w:sz w:val="24"/>
      <w:szCs w:val="24"/>
    </w:rPr>
  </w:style>
  <w:style w:type="paragraph" w:customStyle="1" w:styleId="255">
    <w:name w:val="xl12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56">
    <w:name w:val="xl123"/>
    <w:basedOn w:val="1"/>
    <w:qFormat/>
    <w:uiPriority w:val="0"/>
    <w:pPr>
      <w:widowControl/>
      <w:spacing w:before="100" w:beforeAutospacing="1" w:after="100" w:afterAutospacing="1"/>
      <w:jc w:val="center"/>
    </w:pPr>
    <w:rPr>
      <w:rFonts w:ascii="楷体_GB2312" w:hAnsi="宋体" w:cs="宋体"/>
      <w:b/>
      <w:bCs/>
      <w:kern w:val="0"/>
      <w:sz w:val="32"/>
      <w:szCs w:val="32"/>
    </w:rPr>
  </w:style>
  <w:style w:type="paragraph" w:customStyle="1" w:styleId="257">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rPr>
  </w:style>
  <w:style w:type="paragraph" w:customStyle="1" w:styleId="258">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59">
    <w:name w:val="Char Char Char"/>
    <w:basedOn w:val="1"/>
    <w:qFormat/>
    <w:uiPriority w:val="0"/>
    <w:pPr>
      <w:adjustRightInd w:val="0"/>
      <w:spacing w:line="360" w:lineRule="auto"/>
    </w:pPr>
    <w:rPr>
      <w:rFonts w:eastAsia="宋体"/>
      <w:sz w:val="21"/>
      <w:szCs w:val="24"/>
    </w:rPr>
  </w:style>
  <w:style w:type="paragraph" w:customStyle="1" w:styleId="260">
    <w:name w:val="xl14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261">
    <w:name w:val="方案正文"/>
    <w:basedOn w:val="1"/>
    <w:qFormat/>
    <w:uiPriority w:val="0"/>
    <w:pPr>
      <w:spacing w:line="360" w:lineRule="auto"/>
    </w:pPr>
    <w:rPr>
      <w:rFonts w:eastAsia="宋体"/>
      <w:sz w:val="24"/>
      <w:szCs w:val="24"/>
    </w:rPr>
  </w:style>
  <w:style w:type="paragraph" w:customStyle="1" w:styleId="262">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63">
    <w:name w:val="xl11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6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olor w:val="FF0000"/>
      <w:kern w:val="0"/>
      <w:sz w:val="24"/>
      <w:szCs w:val="24"/>
    </w:rPr>
  </w:style>
  <w:style w:type="paragraph" w:customStyle="1" w:styleId="265">
    <w:name w:val="xl98"/>
    <w:basedOn w:val="1"/>
    <w:qFormat/>
    <w:uiPriority w:val="0"/>
    <w:pPr>
      <w:widowControl/>
      <w:pBdr>
        <w:top w:val="single" w:color="auto" w:sz="4" w:space="0"/>
      </w:pBdr>
      <w:spacing w:before="100" w:beforeAutospacing="1" w:after="100" w:afterAutospacing="1"/>
      <w:jc w:val="center"/>
    </w:pPr>
    <w:rPr>
      <w:rFonts w:eastAsia="宋体"/>
      <w:kern w:val="0"/>
      <w:sz w:val="24"/>
      <w:szCs w:val="24"/>
    </w:rPr>
  </w:style>
  <w:style w:type="paragraph" w:customStyle="1" w:styleId="266">
    <w:name w:val="flType"/>
    <w:basedOn w:val="212"/>
    <w:qFormat/>
    <w:uiPriority w:val="0"/>
    <w:pPr>
      <w:spacing w:before="560" w:after="120"/>
    </w:pPr>
    <w:rPr>
      <w:sz w:val="28"/>
    </w:rPr>
  </w:style>
  <w:style w:type="paragraph" w:customStyle="1" w:styleId="267">
    <w:name w:val="font1"/>
    <w:basedOn w:val="1"/>
    <w:qFormat/>
    <w:uiPriority w:val="0"/>
    <w:pPr>
      <w:widowControl/>
      <w:spacing w:before="100" w:beforeAutospacing="1" w:after="100" w:afterAutospacing="1"/>
      <w:jc w:val="left"/>
    </w:pPr>
    <w:rPr>
      <w:rFonts w:ascii="宋体" w:hAnsi="宋体" w:eastAsia="宋体" w:cs="宋体"/>
      <w:outline/>
      <w:kern w:val="0"/>
      <w:sz w:val="24"/>
      <w:szCs w:val="24"/>
      <w14:textOutline w14:w="9525" w14:cap="flat" w14:cmpd="sng" w14:algn="ctr">
        <w14:solidFill>
          <w14:srgbClr w14:val="000000"/>
        </w14:solidFill>
        <w14:prstDash w14:val="solid"/>
        <w14:round/>
      </w14:textOutline>
      <w14:textFill>
        <w14:noFill/>
      </w14:textFill>
    </w:rPr>
  </w:style>
  <w:style w:type="paragraph" w:customStyle="1" w:styleId="268">
    <w:name w:val="xl11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eastAsia="宋体"/>
      <w:b/>
      <w:bCs/>
      <w:kern w:val="0"/>
      <w:sz w:val="24"/>
      <w:szCs w:val="24"/>
    </w:rPr>
  </w:style>
  <w:style w:type="paragraph" w:customStyle="1" w:styleId="269">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270">
    <w:name w:val="xl127"/>
    <w:basedOn w:val="1"/>
    <w:qFormat/>
    <w:uiPriority w:val="0"/>
    <w:pPr>
      <w:widowControl/>
      <w:pBdr>
        <w:top w:val="single" w:color="auto" w:sz="4" w:space="0"/>
        <w:bottom w:val="double" w:color="auto" w:sz="6" w:space="0"/>
      </w:pBdr>
      <w:spacing w:before="100" w:beforeAutospacing="1" w:after="100" w:afterAutospacing="1"/>
      <w:jc w:val="center"/>
    </w:pPr>
    <w:rPr>
      <w:rFonts w:ascii="宋体" w:hAnsi="宋体" w:eastAsia="宋体" w:cs="宋体"/>
      <w:kern w:val="0"/>
      <w:sz w:val="20"/>
    </w:rPr>
  </w:style>
  <w:style w:type="paragraph" w:customStyle="1" w:styleId="271">
    <w:name w:val="xl135"/>
    <w:basedOn w:val="1"/>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72">
    <w:name w:val="xl105"/>
    <w:basedOn w:val="1"/>
    <w:qFormat/>
    <w:uiPriority w:val="0"/>
    <w:pPr>
      <w:widowControl/>
      <w:pBdr>
        <w:top w:val="single" w:color="auto" w:sz="4" w:space="0"/>
      </w:pBdr>
      <w:spacing w:before="100" w:beforeAutospacing="1" w:after="100" w:afterAutospacing="1"/>
      <w:jc w:val="center"/>
    </w:pPr>
    <w:rPr>
      <w:rFonts w:eastAsia="宋体"/>
      <w:b/>
      <w:bCs/>
      <w:kern w:val="0"/>
      <w:sz w:val="24"/>
      <w:szCs w:val="24"/>
    </w:rPr>
  </w:style>
  <w:style w:type="paragraph" w:customStyle="1" w:styleId="273">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kern w:val="0"/>
      <w:sz w:val="24"/>
      <w:szCs w:val="24"/>
    </w:rPr>
  </w:style>
  <w:style w:type="paragraph" w:customStyle="1" w:styleId="274">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2"/>
      <w:szCs w:val="22"/>
    </w:rPr>
  </w:style>
  <w:style w:type="paragraph" w:customStyle="1" w:styleId="275">
    <w:name w:val="xl163"/>
    <w:basedOn w:val="1"/>
    <w:qFormat/>
    <w:uiPriority w:val="0"/>
    <w:pPr>
      <w:widowControl/>
      <w:pBdr>
        <w:top w:val="single" w:color="auto" w:sz="4" w:space="0"/>
        <w:bottom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76">
    <w:name w:val="h"/>
    <w:basedOn w:val="1"/>
    <w:qFormat/>
    <w:uiPriority w:val="0"/>
    <w:pPr>
      <w:widowControl/>
      <w:spacing w:before="100" w:beforeAutospacing="1" w:after="100" w:afterAutospacing="1" w:line="280" w:lineRule="atLeast"/>
      <w:jc w:val="left"/>
    </w:pPr>
    <w:rPr>
      <w:rFonts w:ascii="宋体" w:hAnsi="宋体" w:eastAsia="宋体"/>
      <w:color w:val="003366"/>
      <w:kern w:val="0"/>
      <w:sz w:val="18"/>
      <w:szCs w:val="18"/>
    </w:rPr>
  </w:style>
  <w:style w:type="paragraph" w:customStyle="1" w:styleId="277">
    <w:name w:val="样式 宋体 四号 行距: 固定值 25 磅1"/>
    <w:basedOn w:val="1"/>
    <w:qFormat/>
    <w:uiPriority w:val="0"/>
    <w:pPr>
      <w:tabs>
        <w:tab w:val="left" w:pos="420"/>
      </w:tabs>
      <w:spacing w:line="500" w:lineRule="exact"/>
      <w:ind w:left="420" w:hanging="420"/>
    </w:pPr>
    <w:rPr>
      <w:rFonts w:ascii="宋体" w:hAnsi="宋体" w:eastAsia="宋体"/>
      <w:sz w:val="28"/>
    </w:rPr>
  </w:style>
  <w:style w:type="paragraph" w:customStyle="1" w:styleId="278">
    <w:name w:val="文档正文"/>
    <w:basedOn w:val="1"/>
    <w:qFormat/>
    <w:uiPriority w:val="0"/>
    <w:pPr>
      <w:adjustRightInd w:val="0"/>
      <w:spacing w:line="440" w:lineRule="atLeast"/>
      <w:ind w:firstLine="567"/>
      <w:textAlignment w:val="baseline"/>
    </w:pPr>
    <w:rPr>
      <w:rFonts w:ascii="宋体" w:eastAsia="宋体"/>
      <w:spacing w:val="4"/>
      <w:kern w:val="0"/>
      <w:sz w:val="24"/>
    </w:rPr>
  </w:style>
  <w:style w:type="paragraph" w:customStyle="1" w:styleId="279">
    <w:name w:val="Char3 Char Char Char"/>
    <w:basedOn w:val="1"/>
    <w:qFormat/>
    <w:uiPriority w:val="0"/>
    <w:pPr>
      <w:widowControl/>
      <w:spacing w:after="160" w:line="240" w:lineRule="exact"/>
      <w:jc w:val="left"/>
    </w:pPr>
    <w:rPr>
      <w:rFonts w:ascii="Verdana" w:hAnsi="Verdana" w:eastAsia="宋体"/>
      <w:kern w:val="0"/>
      <w:sz w:val="20"/>
      <w:lang w:eastAsia="en-US"/>
    </w:rPr>
  </w:style>
  <w:style w:type="paragraph" w:customStyle="1" w:styleId="280">
    <w:name w:val="xl68"/>
    <w:basedOn w:val="1"/>
    <w:qFormat/>
    <w:uiPriority w:val="0"/>
    <w:pPr>
      <w:widowControl/>
      <w:pBdr>
        <w:top w:val="single" w:color="auto" w:sz="4" w:space="0"/>
        <w:bottom w:val="single" w:color="auto" w:sz="4" w:space="0"/>
      </w:pBdr>
      <w:spacing w:before="100" w:beforeAutospacing="1" w:after="100" w:afterAutospacing="1"/>
      <w:jc w:val="center"/>
    </w:pPr>
    <w:rPr>
      <w:rFonts w:eastAsia="宋体"/>
      <w:kern w:val="0"/>
      <w:sz w:val="24"/>
      <w:szCs w:val="24"/>
    </w:rPr>
  </w:style>
  <w:style w:type="paragraph" w:customStyle="1" w:styleId="28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282">
    <w:name w:val="xl160"/>
    <w:basedOn w:val="1"/>
    <w:qFormat/>
    <w:uiPriority w:val="0"/>
    <w:pPr>
      <w:widowControl/>
      <w:pBdr>
        <w:top w:val="single" w:color="auto" w:sz="4" w:space="0"/>
        <w:bottom w:val="double" w:color="auto" w:sz="6" w:space="0"/>
      </w:pBdr>
      <w:spacing w:before="100" w:beforeAutospacing="1" w:after="100" w:afterAutospacing="1"/>
      <w:jc w:val="left"/>
    </w:pPr>
    <w:rPr>
      <w:rFonts w:ascii="宋体" w:hAnsi="宋体" w:eastAsia="宋体" w:cs="宋体"/>
      <w:color w:val="FF0000"/>
      <w:kern w:val="0"/>
      <w:sz w:val="20"/>
    </w:rPr>
  </w:style>
  <w:style w:type="paragraph" w:customStyle="1" w:styleId="283">
    <w:name w:val="xl148"/>
    <w:basedOn w:val="1"/>
    <w:qFormat/>
    <w:uiPriority w:val="0"/>
    <w:pPr>
      <w:widowControl/>
      <w:pBdr>
        <w:left w:val="double" w:color="auto" w:sz="6"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284">
    <w:name w:val="xl6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kern w:val="0"/>
      <w:sz w:val="24"/>
      <w:szCs w:val="24"/>
    </w:rPr>
  </w:style>
  <w:style w:type="paragraph" w:customStyle="1" w:styleId="285">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86">
    <w:name w:val="xl11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287">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2"/>
      <w:szCs w:val="22"/>
    </w:rPr>
  </w:style>
  <w:style w:type="paragraph" w:customStyle="1" w:styleId="2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289">
    <w:name w:val="xl136"/>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90">
    <w:name w:val="xl138"/>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91">
    <w:name w:val="xl6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eastAsia="宋体"/>
      <w:kern w:val="0"/>
      <w:sz w:val="24"/>
      <w:szCs w:val="24"/>
    </w:rPr>
  </w:style>
  <w:style w:type="paragraph" w:customStyle="1" w:styleId="292">
    <w:name w:val="xl1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93">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color w:val="FF0000"/>
      <w:kern w:val="0"/>
      <w:sz w:val="24"/>
      <w:szCs w:val="24"/>
    </w:rPr>
  </w:style>
  <w:style w:type="paragraph" w:customStyle="1" w:styleId="294">
    <w:name w:val="小四 段落 宋体 Char Char"/>
    <w:basedOn w:val="17"/>
    <w:qFormat/>
    <w:uiPriority w:val="0"/>
    <w:pPr>
      <w:spacing w:line="360" w:lineRule="auto"/>
      <w:ind w:left="0" w:right="-33" w:firstLine="480" w:firstLineChars="200"/>
      <w:jc w:val="left"/>
    </w:pPr>
    <w:rPr>
      <w:sz w:val="24"/>
    </w:rPr>
  </w:style>
  <w:style w:type="paragraph" w:customStyle="1" w:styleId="29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96">
    <w:name w:val="xl83"/>
    <w:basedOn w:val="1"/>
    <w:qFormat/>
    <w:uiPriority w:val="0"/>
    <w:pPr>
      <w:widowControl/>
      <w:spacing w:before="100" w:beforeAutospacing="1" w:after="100" w:afterAutospacing="1"/>
      <w:jc w:val="left"/>
    </w:pPr>
    <w:rPr>
      <w:rFonts w:eastAsia="宋体"/>
      <w:kern w:val="0"/>
      <w:sz w:val="24"/>
      <w:szCs w:val="24"/>
    </w:rPr>
  </w:style>
  <w:style w:type="paragraph" w:customStyle="1" w:styleId="297">
    <w:name w:val="font7"/>
    <w:basedOn w:val="1"/>
    <w:qFormat/>
    <w:uiPriority w:val="0"/>
    <w:pPr>
      <w:widowControl/>
      <w:spacing w:before="100" w:beforeAutospacing="1" w:after="100" w:afterAutospacing="1"/>
      <w:jc w:val="left"/>
    </w:pPr>
    <w:rPr>
      <w:rFonts w:ascii="宋体" w:hAnsi="宋体" w:eastAsia="宋体" w:cs="宋体"/>
      <w:kern w:val="0"/>
      <w:sz w:val="22"/>
      <w:szCs w:val="22"/>
    </w:rPr>
  </w:style>
  <w:style w:type="paragraph" w:customStyle="1" w:styleId="298">
    <w:name w:val="样式 标题 2 + 图案: 清除 (自定义颜色(RGB(202189233)))"/>
    <w:basedOn w:val="7"/>
    <w:qFormat/>
    <w:uiPriority w:val="0"/>
    <w:pPr>
      <w:shd w:val="clear" w:color="auto" w:fill="CABDE9"/>
      <w:tabs>
        <w:tab w:val="left" w:pos="840"/>
      </w:tabs>
      <w:overflowPunct/>
      <w:adjustRightInd/>
      <w:spacing w:before="100" w:beforeAutospacing="1" w:after="100" w:afterAutospacing="1" w:line="320" w:lineRule="exact"/>
      <w:ind w:left="1400" w:hanging="420"/>
      <w:jc w:val="both"/>
      <w:textAlignment w:val="auto"/>
    </w:pPr>
    <w:rPr>
      <w:rFonts w:ascii="Arial" w:hAnsi="Arial" w:eastAsia="黑体" w:cs="宋体"/>
      <w:bCs/>
      <w:sz w:val="28"/>
      <w:szCs w:val="28"/>
    </w:rPr>
  </w:style>
  <w:style w:type="paragraph" w:customStyle="1" w:styleId="299">
    <w:name w:val="xl14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b/>
      <w:bCs/>
      <w:kern w:val="0"/>
      <w:sz w:val="20"/>
    </w:rPr>
  </w:style>
  <w:style w:type="paragraph" w:customStyle="1" w:styleId="300">
    <w:name w:val="xl54"/>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301">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szCs w:val="22"/>
    </w:rPr>
  </w:style>
  <w:style w:type="paragraph" w:customStyle="1" w:styleId="302">
    <w:name w:val="xl129"/>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303">
    <w:name w:val="样式 正文首行缩进2字 + 仿宋_GB2312 段前: 自动 段后: 自动"/>
    <w:basedOn w:val="1"/>
    <w:qFormat/>
    <w:uiPriority w:val="0"/>
    <w:pPr>
      <w:spacing w:before="100" w:beforeAutospacing="1" w:after="100" w:afterAutospacing="1"/>
      <w:ind w:firstLine="200" w:firstLineChars="200"/>
    </w:pPr>
    <w:rPr>
      <w:rFonts w:ascii="仿宋_GB2312" w:eastAsia="仿宋_GB2312"/>
      <w:kern w:val="0"/>
      <w:sz w:val="28"/>
    </w:rPr>
  </w:style>
  <w:style w:type="paragraph" w:customStyle="1" w:styleId="304">
    <w:name w:val="xl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305">
    <w:name w:val="xl134"/>
    <w:basedOn w:val="1"/>
    <w:qFormat/>
    <w:uiPriority w:val="0"/>
    <w:pPr>
      <w:widowControl/>
      <w:pBdr>
        <w:left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306">
    <w:name w:val="xl11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color w:val="FF0000"/>
      <w:kern w:val="0"/>
      <w:sz w:val="24"/>
      <w:szCs w:val="24"/>
    </w:rPr>
  </w:style>
  <w:style w:type="paragraph" w:customStyle="1" w:styleId="307">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rPr>
  </w:style>
  <w:style w:type="paragraph" w:customStyle="1" w:styleId="308">
    <w:name w:val="xl12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309">
    <w:name w:val="默认段落字体 Para Char Char Char"/>
    <w:basedOn w:val="1"/>
    <w:qFormat/>
    <w:uiPriority w:val="0"/>
    <w:pPr>
      <w:spacing w:line="360" w:lineRule="auto"/>
      <w:ind w:firstLine="200" w:firstLineChars="200"/>
    </w:pPr>
    <w:rPr>
      <w:rFonts w:eastAsia="宋体"/>
      <w:sz w:val="24"/>
      <w:szCs w:val="24"/>
    </w:rPr>
  </w:style>
  <w:style w:type="character" w:customStyle="1" w:styleId="310">
    <w:name w:val="bigfont1"/>
    <w:qFormat/>
    <w:uiPriority w:val="0"/>
    <w:rPr>
      <w:rFonts w:hint="default"/>
      <w:color w:val="000000"/>
      <w:sz w:val="24"/>
      <w:szCs w:val="24"/>
      <w:u w:val="none"/>
    </w:rPr>
  </w:style>
  <w:style w:type="character" w:customStyle="1" w:styleId="311">
    <w:name w:val="页眉 Char Char"/>
    <w:qFormat/>
    <w:uiPriority w:val="0"/>
    <w:rPr>
      <w:kern w:val="2"/>
      <w:sz w:val="18"/>
    </w:rPr>
  </w:style>
  <w:style w:type="character" w:customStyle="1" w:styleId="312">
    <w:name w:val="font21"/>
    <w:qFormat/>
    <w:uiPriority w:val="0"/>
    <w:rPr>
      <w:rFonts w:hint="eastAsia" w:ascii="微软雅黑" w:hAnsi="微软雅黑" w:eastAsia="微软雅黑" w:cs="微软雅黑"/>
      <w:color w:val="000000"/>
      <w:sz w:val="20"/>
      <w:szCs w:val="20"/>
      <w:u w:val="none"/>
    </w:rPr>
  </w:style>
  <w:style w:type="character" w:customStyle="1" w:styleId="313">
    <w:name w:val="不明显强调1"/>
    <w:qFormat/>
    <w:uiPriority w:val="19"/>
    <w:rPr>
      <w:rFonts w:ascii="Times New Roman" w:hAnsi="Times New Roman" w:eastAsia="宋体" w:cs="Times New Roman"/>
      <w:i/>
      <w:iCs/>
      <w:color w:val="7F7F7F"/>
    </w:rPr>
  </w:style>
  <w:style w:type="character" w:customStyle="1" w:styleId="314">
    <w:name w:val="明显强调1"/>
    <w:qFormat/>
    <w:uiPriority w:val="0"/>
    <w:rPr>
      <w:b/>
      <w:bCs/>
      <w:i/>
      <w:iCs/>
      <w:color w:val="4F81BD"/>
    </w:rPr>
  </w:style>
  <w:style w:type="character" w:customStyle="1" w:styleId="315">
    <w:name w:val="标题 4 Char Char"/>
    <w:qFormat/>
    <w:uiPriority w:val="0"/>
    <w:rPr>
      <w:rFonts w:ascii="Arial" w:hAnsi="Arial" w:eastAsia="黑体"/>
      <w:b/>
      <w:bCs/>
      <w:kern w:val="2"/>
      <w:sz w:val="28"/>
      <w:szCs w:val="28"/>
    </w:rPr>
  </w:style>
  <w:style w:type="character" w:customStyle="1" w:styleId="316">
    <w:name w:val="书籍标题1"/>
    <w:qFormat/>
    <w:uiPriority w:val="0"/>
    <w:rPr>
      <w:b/>
      <w:bCs/>
      <w:smallCaps/>
      <w:spacing w:val="5"/>
    </w:rPr>
  </w:style>
  <w:style w:type="character" w:customStyle="1" w:styleId="317">
    <w:name w:val="页脚 Char Char"/>
    <w:qFormat/>
    <w:uiPriority w:val="0"/>
    <w:rPr>
      <w:kern w:val="2"/>
      <w:sz w:val="18"/>
    </w:rPr>
  </w:style>
  <w:style w:type="character" w:customStyle="1" w:styleId="318">
    <w:name w:val="样式 Char Char"/>
    <w:link w:val="319"/>
    <w:qFormat/>
    <w:uiPriority w:val="0"/>
    <w:rPr>
      <w:rFonts w:ascii="宋体" w:hAnsi="宋体" w:cs="宋体"/>
      <w:sz w:val="24"/>
      <w:szCs w:val="24"/>
      <w:lang w:val="en-US" w:eastAsia="zh-CN" w:bidi="ar-SA"/>
    </w:rPr>
  </w:style>
  <w:style w:type="paragraph" w:customStyle="1" w:styleId="319">
    <w:name w:val="样式"/>
    <w:link w:val="318"/>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20">
    <w:name w:val="标题 Char1"/>
    <w:qFormat/>
    <w:uiPriority w:val="10"/>
    <w:rPr>
      <w:rFonts w:ascii="Cambria" w:hAnsi="Cambria" w:eastAsia="宋体" w:cs="Times New Roman"/>
      <w:b/>
      <w:bCs/>
      <w:sz w:val="32"/>
      <w:szCs w:val="32"/>
    </w:rPr>
  </w:style>
  <w:style w:type="character" w:customStyle="1" w:styleId="321">
    <w:name w:val="font161"/>
    <w:qFormat/>
    <w:uiPriority w:val="0"/>
    <w:rPr>
      <w:b/>
      <w:bCs/>
      <w:sz w:val="32"/>
      <w:szCs w:val="32"/>
    </w:rPr>
  </w:style>
  <w:style w:type="character" w:customStyle="1" w:styleId="322">
    <w:name w:val="标题 3 Char Char"/>
    <w:qFormat/>
    <w:uiPriority w:val="0"/>
    <w:rPr>
      <w:rFonts w:ascii="黑体" w:hAnsi="宋体" w:eastAsia="黑体"/>
      <w:bCs/>
      <w:kern w:val="2"/>
      <w:sz w:val="28"/>
      <w:szCs w:val="28"/>
    </w:rPr>
  </w:style>
  <w:style w:type="character" w:customStyle="1" w:styleId="323">
    <w:name w:val="不明显参考1"/>
    <w:qFormat/>
    <w:uiPriority w:val="0"/>
    <w:rPr>
      <w:smallCaps/>
      <w:color w:val="C0504D"/>
      <w:u w:val="single"/>
    </w:rPr>
  </w:style>
  <w:style w:type="character" w:customStyle="1" w:styleId="324">
    <w:name w:val="副标题 Char"/>
    <w:qFormat/>
    <w:uiPriority w:val="0"/>
    <w:rPr>
      <w:rFonts w:ascii="Cambria" w:hAnsi="Cambria"/>
      <w:b/>
      <w:bCs/>
      <w:kern w:val="28"/>
      <w:sz w:val="32"/>
      <w:szCs w:val="32"/>
    </w:rPr>
  </w:style>
  <w:style w:type="character" w:customStyle="1" w:styleId="325">
    <w:name w:val="Char Char7"/>
    <w:qFormat/>
    <w:uiPriority w:val="0"/>
    <w:rPr>
      <w:rFonts w:ascii="Arial" w:hAnsi="Arial" w:eastAsia="黑体"/>
      <w:b/>
      <w:bCs/>
      <w:kern w:val="2"/>
      <w:sz w:val="32"/>
      <w:szCs w:val="32"/>
      <w:lang w:val="en-US" w:eastAsia="zh-CN" w:bidi="ar-SA"/>
    </w:rPr>
  </w:style>
  <w:style w:type="character" w:customStyle="1" w:styleId="326">
    <w:name w:val="无间隔 Char"/>
    <w:link w:val="327"/>
    <w:qFormat/>
    <w:uiPriority w:val="0"/>
    <w:rPr>
      <w:szCs w:val="24"/>
      <w:lang w:val="en-US" w:eastAsia="zh-CN" w:bidi="ar-SA"/>
    </w:rPr>
  </w:style>
  <w:style w:type="paragraph" w:styleId="327">
    <w:name w:val="No Spacing"/>
    <w:link w:val="326"/>
    <w:qFormat/>
    <w:uiPriority w:val="0"/>
    <w:pPr>
      <w:widowControl w:val="0"/>
      <w:jc w:val="both"/>
    </w:pPr>
    <w:rPr>
      <w:rFonts w:ascii="Calibri" w:hAnsi="Calibri" w:eastAsia="宋体" w:cs="Times New Roman"/>
      <w:szCs w:val="24"/>
      <w:lang w:val="en-US" w:eastAsia="zh-CN" w:bidi="ar-SA"/>
    </w:rPr>
  </w:style>
  <w:style w:type="character" w:customStyle="1" w:styleId="328">
    <w:name w:val="明显引用 Char1"/>
    <w:qFormat/>
    <w:uiPriority w:val="30"/>
    <w:rPr>
      <w:rFonts w:ascii="Times New Roman" w:hAnsi="Times New Roman" w:eastAsia="宋体" w:cs="Times New Roman"/>
      <w:b/>
      <w:bCs/>
      <w:i/>
      <w:iCs/>
      <w:color w:val="4F81BD"/>
      <w:szCs w:val="24"/>
    </w:rPr>
  </w:style>
  <w:style w:type="character" w:customStyle="1" w:styleId="329">
    <w:name w:val="Char Char21"/>
    <w:qFormat/>
    <w:uiPriority w:val="0"/>
    <w:rPr>
      <w:rFonts w:eastAsia="宋体"/>
      <w:kern w:val="2"/>
      <w:sz w:val="21"/>
      <w:szCs w:val="24"/>
      <w:lang w:val="en-US" w:eastAsia="zh-CN" w:bidi="ar-SA"/>
    </w:rPr>
  </w:style>
  <w:style w:type="character" w:customStyle="1" w:styleId="330">
    <w:name w:val="明显引用 Char"/>
    <w:qFormat/>
    <w:uiPriority w:val="0"/>
    <w:rPr>
      <w:b/>
      <w:bCs/>
      <w:i/>
      <w:iCs/>
      <w:color w:val="4F81BD"/>
      <w:szCs w:val="24"/>
    </w:rPr>
  </w:style>
  <w:style w:type="paragraph" w:styleId="331">
    <w:name w:val="Intense Quote"/>
    <w:basedOn w:val="1"/>
    <w:next w:val="1"/>
    <w:link w:val="347"/>
    <w:qFormat/>
    <w:uiPriority w:val="0"/>
    <w:pPr>
      <w:pBdr>
        <w:bottom w:val="single" w:color="4F81BD" w:sz="4" w:space="4"/>
      </w:pBdr>
      <w:spacing w:before="200" w:after="280"/>
      <w:ind w:left="936" w:right="936"/>
    </w:pPr>
    <w:rPr>
      <w:rFonts w:eastAsia="宋体"/>
      <w:b/>
      <w:bCs/>
      <w:i/>
      <w:iCs/>
      <w:color w:val="4F81BD"/>
      <w:kern w:val="0"/>
      <w:sz w:val="20"/>
      <w:szCs w:val="24"/>
    </w:rPr>
  </w:style>
  <w:style w:type="character" w:customStyle="1" w:styleId="332">
    <w:name w:val="Char Char8"/>
    <w:qFormat/>
    <w:uiPriority w:val="0"/>
    <w:rPr>
      <w:rFonts w:ascii="Arial" w:hAnsi="Arial" w:eastAsia="黑体"/>
      <w:b/>
      <w:bCs/>
      <w:kern w:val="2"/>
      <w:sz w:val="32"/>
      <w:szCs w:val="32"/>
      <w:lang w:val="en-US" w:eastAsia="zh-CN" w:bidi="ar-SA"/>
    </w:rPr>
  </w:style>
  <w:style w:type="character" w:customStyle="1" w:styleId="333">
    <w:name w:val="批注文字 Char Char"/>
    <w:qFormat/>
    <w:uiPriority w:val="0"/>
    <w:rPr>
      <w:rFonts w:eastAsia="宋体"/>
      <w:kern w:val="2"/>
      <w:sz w:val="21"/>
      <w:szCs w:val="24"/>
      <w:lang w:val="en-US" w:eastAsia="zh-CN" w:bidi="ar-SA"/>
    </w:rPr>
  </w:style>
  <w:style w:type="character" w:customStyle="1" w:styleId="334">
    <w:name w:val="明显参考1"/>
    <w:qFormat/>
    <w:uiPriority w:val="0"/>
    <w:rPr>
      <w:b/>
      <w:bCs/>
      <w:smallCaps/>
      <w:color w:val="C0504D"/>
      <w:spacing w:val="5"/>
      <w:u w:val="single"/>
    </w:rPr>
  </w:style>
  <w:style w:type="character" w:customStyle="1" w:styleId="335">
    <w:name w:val="font31"/>
    <w:basedOn w:val="59"/>
    <w:qFormat/>
    <w:uiPriority w:val="0"/>
    <w:rPr>
      <w:rFonts w:hint="eastAsia" w:ascii="宋体" w:hAnsi="宋体" w:eastAsia="宋体" w:cs="宋体"/>
      <w:color w:val="000000"/>
      <w:sz w:val="20"/>
      <w:szCs w:val="20"/>
      <w:u w:val="none"/>
    </w:rPr>
  </w:style>
  <w:style w:type="character" w:customStyle="1" w:styleId="336">
    <w:name w:val="引用 Char"/>
    <w:qFormat/>
    <w:uiPriority w:val="0"/>
    <w:rPr>
      <w:i/>
      <w:iCs/>
      <w:color w:val="000000"/>
      <w:szCs w:val="24"/>
    </w:rPr>
  </w:style>
  <w:style w:type="paragraph" w:styleId="337">
    <w:name w:val="Quote"/>
    <w:basedOn w:val="1"/>
    <w:next w:val="1"/>
    <w:link w:val="348"/>
    <w:qFormat/>
    <w:uiPriority w:val="0"/>
    <w:rPr>
      <w:rFonts w:eastAsia="宋体"/>
      <w:i/>
      <w:iCs/>
      <w:color w:val="000000"/>
      <w:kern w:val="0"/>
      <w:sz w:val="20"/>
      <w:szCs w:val="24"/>
    </w:rPr>
  </w:style>
  <w:style w:type="character" w:customStyle="1" w:styleId="338">
    <w:name w:val="正文文本 3 Char"/>
    <w:qFormat/>
    <w:uiPriority w:val="0"/>
    <w:rPr>
      <w:rFonts w:ascii="宋体"/>
      <w:sz w:val="24"/>
    </w:rPr>
  </w:style>
  <w:style w:type="character" w:customStyle="1" w:styleId="339">
    <w:name w:val="副标题 Char1"/>
    <w:qFormat/>
    <w:uiPriority w:val="11"/>
    <w:rPr>
      <w:rFonts w:ascii="Cambria" w:hAnsi="Cambria" w:eastAsia="宋体" w:cs="Times New Roman"/>
      <w:b/>
      <w:bCs/>
      <w:kern w:val="28"/>
      <w:sz w:val="32"/>
      <w:szCs w:val="32"/>
    </w:rPr>
  </w:style>
  <w:style w:type="character" w:customStyle="1" w:styleId="340">
    <w:name w:val="引用 Char1"/>
    <w:qFormat/>
    <w:uiPriority w:val="29"/>
    <w:rPr>
      <w:rFonts w:ascii="Times New Roman" w:hAnsi="Times New Roman" w:eastAsia="宋体" w:cs="Times New Roman"/>
      <w:i/>
      <w:iCs/>
      <w:color w:val="000000"/>
      <w:szCs w:val="24"/>
    </w:rPr>
  </w:style>
  <w:style w:type="character" w:customStyle="1" w:styleId="341">
    <w:name w:val="不明显强调2"/>
    <w:qFormat/>
    <w:uiPriority w:val="19"/>
    <w:rPr>
      <w:i/>
      <w:iCs/>
      <w:color w:val="808080"/>
    </w:rPr>
  </w:style>
  <w:style w:type="paragraph" w:customStyle="1" w:styleId="342">
    <w:name w:val="注"/>
    <w:basedOn w:val="1"/>
    <w:qFormat/>
    <w:uiPriority w:val="0"/>
    <w:pPr>
      <w:adjustRightInd w:val="0"/>
      <w:spacing w:line="360" w:lineRule="atLeast"/>
      <w:ind w:left="840" w:hanging="420"/>
      <w:textAlignment w:val="baseline"/>
    </w:pPr>
    <w:rPr>
      <w:rFonts w:ascii="Times New Roman" w:hAnsi="Times New Roman" w:eastAsia="宋体"/>
      <w:kern w:val="0"/>
      <w:sz w:val="21"/>
    </w:rPr>
  </w:style>
  <w:style w:type="character" w:customStyle="1" w:styleId="343">
    <w:name w:val="副标题 Char2"/>
    <w:link w:val="41"/>
    <w:qFormat/>
    <w:uiPriority w:val="11"/>
    <w:rPr>
      <w:rFonts w:ascii="Cambria" w:hAnsi="Cambria" w:eastAsia="宋体" w:cs="Times New Roman"/>
      <w:b/>
      <w:bCs/>
      <w:kern w:val="28"/>
      <w:sz w:val="32"/>
      <w:szCs w:val="32"/>
    </w:rPr>
  </w:style>
  <w:style w:type="character" w:customStyle="1" w:styleId="344">
    <w:name w:val="正文文本 3 Char1"/>
    <w:link w:val="23"/>
    <w:semiHidden/>
    <w:qFormat/>
    <w:uiPriority w:val="99"/>
    <w:rPr>
      <w:rFonts w:ascii="Times New Roman" w:hAnsi="Times New Roman" w:eastAsia="楷体_GB2312" w:cs="Times New Roman"/>
      <w:kern w:val="2"/>
      <w:sz w:val="16"/>
      <w:szCs w:val="16"/>
    </w:rPr>
  </w:style>
  <w:style w:type="paragraph" w:customStyle="1" w:styleId="345">
    <w:name w:val="样式 标题 2 + 黑色 行距: 1.5 倍行距"/>
    <w:basedOn w:val="7"/>
    <w:qFormat/>
    <w:uiPriority w:val="0"/>
    <w:pPr>
      <w:overflowPunct/>
      <w:adjustRightInd/>
      <w:spacing w:before="260" w:after="260" w:line="360" w:lineRule="auto"/>
      <w:jc w:val="both"/>
      <w:textAlignment w:val="auto"/>
    </w:pPr>
    <w:rPr>
      <w:rFonts w:ascii="Arial" w:hAnsi="Arial" w:eastAsia="宋体" w:cs="宋体"/>
      <w:bCs/>
      <w:color w:val="000000"/>
      <w:sz w:val="32"/>
    </w:rPr>
  </w:style>
  <w:style w:type="paragraph" w:customStyle="1" w:styleId="346">
    <w:name w:val="纯文本21"/>
    <w:basedOn w:val="1"/>
    <w:qFormat/>
    <w:uiPriority w:val="0"/>
    <w:pPr>
      <w:adjustRightInd w:val="0"/>
    </w:pPr>
    <w:rPr>
      <w:rFonts w:ascii="宋体" w:hAnsi="Courier New"/>
      <w:szCs w:val="24"/>
    </w:rPr>
  </w:style>
  <w:style w:type="character" w:customStyle="1" w:styleId="347">
    <w:name w:val="明显引用 Char2"/>
    <w:link w:val="331"/>
    <w:qFormat/>
    <w:uiPriority w:val="30"/>
    <w:rPr>
      <w:rFonts w:ascii="Times New Roman" w:hAnsi="Times New Roman" w:eastAsia="楷体_GB2312" w:cs="Times New Roman"/>
      <w:b/>
      <w:bCs/>
      <w:i/>
      <w:iCs/>
      <w:color w:val="4F81BD"/>
      <w:kern w:val="2"/>
      <w:sz w:val="26"/>
    </w:rPr>
  </w:style>
  <w:style w:type="character" w:customStyle="1" w:styleId="348">
    <w:name w:val="引用 Char2"/>
    <w:link w:val="337"/>
    <w:qFormat/>
    <w:uiPriority w:val="29"/>
    <w:rPr>
      <w:rFonts w:ascii="Times New Roman" w:hAnsi="Times New Roman" w:eastAsia="楷体_GB2312" w:cs="Times New Roman"/>
      <w:i/>
      <w:iCs/>
      <w:color w:val="000000"/>
      <w:kern w:val="2"/>
      <w:sz w:val="26"/>
    </w:rPr>
  </w:style>
  <w:style w:type="paragraph" w:customStyle="1" w:styleId="3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50">
    <w:name w:val="标题 Char2"/>
    <w:qFormat/>
    <w:uiPriority w:val="10"/>
    <w:rPr>
      <w:rFonts w:ascii="Cambria" w:hAnsi="Cambria" w:eastAsia="宋体" w:cs="Times New Roman"/>
      <w:b/>
      <w:bCs/>
      <w:sz w:val="32"/>
      <w:szCs w:val="32"/>
    </w:rPr>
  </w:style>
  <w:style w:type="paragraph" w:customStyle="1" w:styleId="351">
    <w:name w:val="默认段落字体 Para Char Char Char Char Char Char Char Char Char1 Char Char Char Char Char Char Char"/>
    <w:basedOn w:val="202"/>
    <w:qFormat/>
    <w:uiPriority w:val="0"/>
    <w:pPr>
      <w:widowControl/>
      <w:spacing w:line="270" w:lineRule="exact"/>
      <w:ind w:firstLine="0" w:firstLineChars="0"/>
      <w:jc w:val="center"/>
    </w:pPr>
  </w:style>
  <w:style w:type="paragraph" w:customStyle="1" w:styleId="352">
    <w:name w:val="正文文字3"/>
    <w:basedOn w:val="1"/>
    <w:qFormat/>
    <w:uiPriority w:val="0"/>
    <w:pPr>
      <w:adjustRightInd w:val="0"/>
      <w:spacing w:line="360" w:lineRule="atLeast"/>
      <w:ind w:left="72" w:leftChars="30" w:right="72" w:rightChars="30"/>
      <w:textAlignment w:val="baseline"/>
    </w:pPr>
    <w:rPr>
      <w:rFonts w:eastAsia="宋体"/>
      <w:kern w:val="0"/>
      <w:sz w:val="21"/>
      <w:szCs w:val="24"/>
    </w:rPr>
  </w:style>
  <w:style w:type="character" w:customStyle="1" w:styleId="353">
    <w:name w:val="layui-this"/>
    <w:basedOn w:val="59"/>
    <w:qFormat/>
    <w:uiPriority w:val="0"/>
    <w:rPr>
      <w:bdr w:val="single" w:color="EEEEEE" w:sz="4" w:space="0"/>
      <w:shd w:val="clear" w:color="auto" w:fill="FFFFFF"/>
    </w:rPr>
  </w:style>
  <w:style w:type="character" w:customStyle="1" w:styleId="354">
    <w:name w:val="first-child"/>
    <w:basedOn w:val="59"/>
    <w:qFormat/>
    <w:uiPriority w:val="0"/>
  </w:style>
  <w:style w:type="character" w:customStyle="1" w:styleId="355">
    <w:name w:val="hover2"/>
    <w:basedOn w:val="59"/>
    <w:qFormat/>
    <w:uiPriority w:val="0"/>
    <w:rPr>
      <w:color w:val="5FB878"/>
    </w:rPr>
  </w:style>
  <w:style w:type="character" w:customStyle="1" w:styleId="356">
    <w:name w:val="hover3"/>
    <w:basedOn w:val="59"/>
    <w:qFormat/>
    <w:uiPriority w:val="0"/>
    <w:rPr>
      <w:color w:val="5FB878"/>
    </w:rPr>
  </w:style>
  <w:style w:type="character" w:customStyle="1" w:styleId="357">
    <w:name w:val="hover4"/>
    <w:basedOn w:val="59"/>
    <w:qFormat/>
    <w:uiPriority w:val="0"/>
    <w:rPr>
      <w:color w:val="FFFFFF"/>
    </w:rPr>
  </w:style>
  <w:style w:type="paragraph" w:customStyle="1" w:styleId="358">
    <w:name w:val="标题 11"/>
    <w:basedOn w:val="1"/>
    <w:qFormat/>
    <w:uiPriority w:val="1"/>
    <w:pPr>
      <w:spacing w:line="702" w:lineRule="exact"/>
      <w:ind w:right="297"/>
      <w:jc w:val="center"/>
      <w:outlineLvl w:val="1"/>
    </w:pPr>
    <w:rPr>
      <w:rFonts w:ascii="Microsoft JhengHei" w:hAnsi="Microsoft JhengHei" w:eastAsia="Microsoft JhengHei" w:cs="Microsoft JhengHei"/>
      <w:b/>
      <w:bCs/>
      <w:sz w:val="44"/>
      <w:szCs w:val="44"/>
    </w:rPr>
  </w:style>
  <w:style w:type="character" w:customStyle="1" w:styleId="359">
    <w:name w:val="layui-this2"/>
    <w:basedOn w:val="59"/>
    <w:qFormat/>
    <w:uiPriority w:val="0"/>
    <w:rPr>
      <w:bdr w:val="single" w:color="EEEEEE" w:sz="6" w:space="0"/>
      <w:shd w:val="clear" w:color="auto" w:fill="FFFFFF"/>
    </w:rPr>
  </w:style>
  <w:style w:type="character" w:customStyle="1" w:styleId="360">
    <w:name w:val="hover1"/>
    <w:basedOn w:val="59"/>
    <w:qFormat/>
    <w:uiPriority w:val="0"/>
    <w:rPr>
      <w:color w:val="5FB878"/>
    </w:rPr>
  </w:style>
  <w:style w:type="character" w:customStyle="1" w:styleId="361">
    <w:name w:val="hover"/>
    <w:basedOn w:val="59"/>
    <w:qFormat/>
    <w:uiPriority w:val="0"/>
    <w:rPr>
      <w:color w:val="5FB878"/>
    </w:rPr>
  </w:style>
  <w:style w:type="character" w:customStyle="1" w:styleId="362">
    <w:name w:val="正文缩进 Char1"/>
    <w:qFormat/>
    <w:uiPriority w:val="0"/>
    <w:rPr>
      <w:rFonts w:ascii="Times New Roman" w:hAnsi="Times New Roman" w:eastAsia="仿宋" w:cs="Times New Roman"/>
      <w:sz w:val="24"/>
      <w:szCs w:val="24"/>
    </w:rPr>
  </w:style>
  <w:style w:type="character" w:customStyle="1" w:styleId="363">
    <w:name w:val="列出段落 Char"/>
    <w:link w:val="202"/>
    <w:qFormat/>
    <w:uiPriority w:val="34"/>
    <w:rPr>
      <w:kern w:val="2"/>
      <w:sz w:val="21"/>
      <w:szCs w:val="24"/>
    </w:rPr>
  </w:style>
  <w:style w:type="character" w:customStyle="1" w:styleId="364">
    <w:name w:val="font81"/>
    <w:basedOn w:val="59"/>
    <w:qFormat/>
    <w:uiPriority w:val="0"/>
    <w:rPr>
      <w:rFonts w:hint="default" w:ascii="微软雅黑" w:hAnsi="微软雅黑" w:eastAsia="微软雅黑" w:cs="微软雅黑"/>
      <w:color w:val="000000"/>
      <w:sz w:val="22"/>
      <w:szCs w:val="22"/>
      <w:u w:val="none"/>
    </w:rPr>
  </w:style>
  <w:style w:type="character" w:customStyle="1" w:styleId="365">
    <w:name w:val="font51"/>
    <w:basedOn w:val="59"/>
    <w:qFormat/>
    <w:uiPriority w:val="0"/>
    <w:rPr>
      <w:rFonts w:hint="default" w:ascii="微软雅黑" w:hAnsi="微软雅黑" w:eastAsia="微软雅黑" w:cs="微软雅黑"/>
      <w:color w:val="000000"/>
      <w:sz w:val="22"/>
      <w:szCs w:val="22"/>
      <w:u w:val="none"/>
    </w:rPr>
  </w:style>
  <w:style w:type="paragraph" w:customStyle="1" w:styleId="366">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character" w:customStyle="1" w:styleId="367">
    <w:name w:val="font41"/>
    <w:basedOn w:val="5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tzls\Desktop\2019&#22312;&#32447;&#27700;&#36136;&#20202;&#22120;&#36816;&#32500;&#39033;&#30446;\&#25307;&#26631;&#25991;&#20214;2002&#24180;&#20462;&#25913;&#264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7FBC69-3247-4AC8-A286-743A172A7033}">
  <ds:schemaRefs/>
</ds:datastoreItem>
</file>

<file path=docProps/app.xml><?xml version="1.0" encoding="utf-8"?>
<Properties xmlns="http://schemas.openxmlformats.org/officeDocument/2006/extended-properties" xmlns:vt="http://schemas.openxmlformats.org/officeDocument/2006/docPropsVTypes">
  <Template>招标文件2002年修改本</Template>
  <Company>南京国衡南通分公司</Company>
  <Pages>28</Pages>
  <Words>16495</Words>
  <Characters>16904</Characters>
  <Lines>171</Lines>
  <Paragraphs>48</Paragraphs>
  <TotalTime>19</TotalTime>
  <ScaleCrop>false</ScaleCrop>
  <LinksUpToDate>false</LinksUpToDate>
  <CharactersWithSpaces>17230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2021-08-05T08:25:00Z</dcterms:created>
  <dc:creator>国衡南通</dc:creator>
  <cp:lastModifiedBy>€ 喵帕斯 。</cp:lastModifiedBy>
  <cp:lastPrinted>2022-11-04T09:40:00Z</cp:lastPrinted>
  <dcterms:modified xsi:type="dcterms:W3CDTF">2022-11-23T07:52:48Z</dcterms:modified>
  <dc:title>崇川区政府采购</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A11CE167C042472BA52BD3CE6D7BE615</vt:lpwstr>
  </property>
  <property fmtid="{D5CDD505-2E9C-101B-9397-08002B2CF9AE}" pid="4" name="commondata">
    <vt:lpwstr>eyJoZGlkIjoiMDI5Y2YxNmU5Yjc3YzRlMGVlZDU1ZTZmMWJkNDU1OWYifQ==</vt:lpwstr>
  </property>
</Properties>
</file>